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D5E32" w14:textId="55809B96" w:rsidR="004210AE" w:rsidRDefault="00903941" w:rsidP="00E77E5A">
      <w:pPr>
        <w:spacing w:before="21"/>
        <w:ind w:left="100" w:right="681"/>
        <w:jc w:val="center"/>
        <w:rPr>
          <w:b/>
          <w:color w:val="1F3862"/>
          <w:sz w:val="32"/>
        </w:rPr>
      </w:pPr>
      <w:r>
        <w:rPr>
          <w:b/>
          <w:color w:val="1F3862"/>
          <w:sz w:val="32"/>
        </w:rPr>
        <w:t>Student Opportunity Act Plan: SY 2021- 2023</w:t>
      </w:r>
    </w:p>
    <w:p w14:paraId="41DDB0AB" w14:textId="70CF79FE" w:rsidR="00E77E5A" w:rsidRDefault="00E77E5A" w:rsidP="00E77E5A">
      <w:pPr>
        <w:spacing w:before="21"/>
        <w:ind w:left="100" w:right="681"/>
        <w:jc w:val="center"/>
        <w:rPr>
          <w:b/>
          <w:sz w:val="32"/>
        </w:rPr>
      </w:pPr>
      <w:r w:rsidRPr="00CA4C4C">
        <w:rPr>
          <w:b/>
          <w:i/>
          <w:color w:val="0070C0"/>
          <w:sz w:val="32"/>
        </w:rPr>
        <w:t>KIPP Academy Boston Charter School</w:t>
      </w:r>
    </w:p>
    <w:p w14:paraId="22C39156" w14:textId="77777777" w:rsidR="004210AE" w:rsidRDefault="004210AE">
      <w:pPr>
        <w:pStyle w:val="BodyText"/>
        <w:spacing w:before="7"/>
        <w:rPr>
          <w:b/>
          <w:sz w:val="24"/>
        </w:rPr>
      </w:pPr>
    </w:p>
    <w:p w14:paraId="43AB5CBE" w14:textId="77777777" w:rsidR="004210AE" w:rsidRDefault="00903941">
      <w:pPr>
        <w:pStyle w:val="Heading1"/>
      </w:pPr>
      <w:r>
        <w:rPr>
          <w:rFonts w:ascii="Arial" w:hAnsi="Arial"/>
          <w:b w:val="0"/>
          <w:color w:val="2C74B5"/>
        </w:rPr>
        <w:t xml:space="preserve">→ </w:t>
      </w:r>
      <w:r>
        <w:rPr>
          <w:color w:val="2C74B5"/>
        </w:rPr>
        <w:t>Commitment 1: Focusing on Student Subgroups</w:t>
      </w:r>
    </w:p>
    <w:p w14:paraId="2011D053" w14:textId="77777777" w:rsidR="004210AE" w:rsidRDefault="00903941">
      <w:pPr>
        <w:pStyle w:val="Heading2"/>
        <w:ind w:right="914"/>
      </w:pPr>
      <w:r>
        <w:rPr>
          <w:color w:val="1F3862"/>
        </w:rPr>
        <w:t>Which student groups will require focused support to ensure all students achieve at high levels in school and are successfully prepared for life?</w:t>
      </w:r>
    </w:p>
    <w:p w14:paraId="6671B7D2" w14:textId="77777777" w:rsidR="004210AE" w:rsidRDefault="00903941">
      <w:pPr>
        <w:pStyle w:val="ListParagraph"/>
        <w:numPr>
          <w:ilvl w:val="0"/>
          <w:numId w:val="5"/>
        </w:numPr>
        <w:tabs>
          <w:tab w:val="left" w:pos="820"/>
          <w:tab w:val="left" w:pos="821"/>
        </w:tabs>
        <w:spacing w:line="273" w:lineRule="auto"/>
        <w:ind w:right="1122" w:hanging="360"/>
      </w:pPr>
      <w:r>
        <w:t>The following student subgroups receive focused support to ensure achievement: ELL, SWD, students demonstratin</w:t>
      </w:r>
      <w:r>
        <w:t>g current skills below grade level, and students with chronic</w:t>
      </w:r>
      <w:r>
        <w:rPr>
          <w:spacing w:val="-25"/>
        </w:rPr>
        <w:t xml:space="preserve"> </w:t>
      </w:r>
      <w:r>
        <w:t>absenteeism.</w:t>
      </w:r>
    </w:p>
    <w:p w14:paraId="33A5F1EB" w14:textId="77777777" w:rsidR="004210AE" w:rsidRDefault="00903941">
      <w:pPr>
        <w:pStyle w:val="ListParagraph"/>
        <w:numPr>
          <w:ilvl w:val="0"/>
          <w:numId w:val="5"/>
        </w:numPr>
        <w:tabs>
          <w:tab w:val="left" w:pos="820"/>
          <w:tab w:val="left" w:pos="821"/>
        </w:tabs>
        <w:spacing w:before="4"/>
        <w:ind w:hanging="360"/>
      </w:pPr>
      <w:r>
        <w:t>These subgroups have been selected for the following</w:t>
      </w:r>
      <w:r>
        <w:rPr>
          <w:spacing w:val="-27"/>
        </w:rPr>
        <w:t xml:space="preserve"> </w:t>
      </w:r>
      <w:proofErr w:type="gramStart"/>
      <w:r>
        <w:t>reasons</w:t>
      </w:r>
      <w:proofErr w:type="gramEnd"/>
    </w:p>
    <w:p w14:paraId="003E9D2A" w14:textId="77777777" w:rsidR="004210AE" w:rsidRDefault="00903941">
      <w:pPr>
        <w:pStyle w:val="ListParagraph"/>
        <w:numPr>
          <w:ilvl w:val="1"/>
          <w:numId w:val="5"/>
        </w:numPr>
        <w:tabs>
          <w:tab w:val="left" w:pos="1540"/>
          <w:tab w:val="left" w:pos="1541"/>
        </w:tabs>
        <w:spacing w:before="41" w:line="276" w:lineRule="auto"/>
        <w:ind w:right="116"/>
      </w:pPr>
      <w:r>
        <w:rPr>
          <w:b/>
        </w:rPr>
        <w:t xml:space="preserve">ELL: </w:t>
      </w:r>
      <w:r>
        <w:t>One hundred and twenty of the 393 3-8th grade students attending KIPP Academy Boston who took the MCAS in 2019 were</w:t>
      </w:r>
      <w:r>
        <w:t xml:space="preserve"> English language learners (ELL). Twenty and twenty-six percent of those students were proficient on the 2019 ELA and math assessments, respectively, compared to at least 50% of non-ELL students. These disparities between ELL and non-ELL student performanc</w:t>
      </w:r>
      <w:r>
        <w:t>e on the MCAS is why ELLs will receive additional</w:t>
      </w:r>
      <w:r>
        <w:rPr>
          <w:spacing w:val="-11"/>
        </w:rPr>
        <w:t xml:space="preserve"> </w:t>
      </w:r>
      <w:r>
        <w:t>support.</w:t>
      </w:r>
    </w:p>
    <w:p w14:paraId="7D201119" w14:textId="77777777" w:rsidR="004210AE" w:rsidRDefault="00903941">
      <w:pPr>
        <w:pStyle w:val="ListParagraph"/>
        <w:numPr>
          <w:ilvl w:val="1"/>
          <w:numId w:val="5"/>
        </w:numPr>
        <w:tabs>
          <w:tab w:val="left" w:pos="1540"/>
          <w:tab w:val="left" w:pos="1541"/>
        </w:tabs>
        <w:spacing w:line="276" w:lineRule="auto"/>
        <w:ind w:right="250"/>
      </w:pPr>
      <w:r>
        <w:rPr>
          <w:b/>
        </w:rPr>
        <w:t>SWD</w:t>
      </w:r>
      <w:r>
        <w:t>: Students with disabilities account for 25% of the 393 3-8th grade students attending KIPP Academy Boston who took MCAS in 2019, and while 3-8th grade students with disabilities at KIPP Academy</w:t>
      </w:r>
      <w:r>
        <w:t xml:space="preserve"> Boston demonstrated some of the strongest average growth in the state (35th in ELA and 5th in math) on the 2019 MCAS ≤10% of 100 students with disabilities who took the MCAS scored meeting/exceeding expectations in 2019 compared to 40%+ percent of the 394</w:t>
      </w:r>
      <w:r>
        <w:t xml:space="preserve"> students at the school. Because of these disparities in academic achievement, students with disabilities will receive focused support to ensure that we continue to meet students where they’re at and support their continued monumental growth compared to th</w:t>
      </w:r>
      <w:r>
        <w:t>eir</w:t>
      </w:r>
      <w:r>
        <w:rPr>
          <w:spacing w:val="-12"/>
        </w:rPr>
        <w:t xml:space="preserve"> </w:t>
      </w:r>
      <w:r>
        <w:t>peers.</w:t>
      </w:r>
    </w:p>
    <w:p w14:paraId="523CD8CE" w14:textId="77777777" w:rsidR="004210AE" w:rsidRDefault="00903941">
      <w:pPr>
        <w:pStyle w:val="ListParagraph"/>
        <w:numPr>
          <w:ilvl w:val="1"/>
          <w:numId w:val="5"/>
        </w:numPr>
        <w:tabs>
          <w:tab w:val="left" w:pos="1540"/>
          <w:tab w:val="left" w:pos="1541"/>
        </w:tabs>
        <w:spacing w:line="276" w:lineRule="auto"/>
        <w:ind w:right="237"/>
      </w:pPr>
      <w:r>
        <w:rPr>
          <w:b/>
        </w:rPr>
        <w:t>Students demonstrating current skills below grade level</w:t>
      </w:r>
      <w:r>
        <w:t>: Studies on long term student academic success indicators show that as early as 3rd grade students performing below grade level are at significant risk of dropping out of high school. On th</w:t>
      </w:r>
      <w:r>
        <w:t>e Spring 2019, NWEA MAP assessment, a nationally normed academic growth assessment, 27% and 23% of students scored in the bottom quartile on the spring 2019 Reading and Math assessments, respectively. Based on mapping studies to predict student performance</w:t>
      </w:r>
      <w:r>
        <w:t xml:space="preserve"> on the MCAS, students who perform in the bottom quartile are not expected to pass the MCAS or be considered on grade</w:t>
      </w:r>
      <w:r>
        <w:rPr>
          <w:spacing w:val="-13"/>
        </w:rPr>
        <w:t xml:space="preserve"> </w:t>
      </w:r>
      <w:r>
        <w:t>level.</w:t>
      </w:r>
    </w:p>
    <w:p w14:paraId="03562E48" w14:textId="77777777" w:rsidR="004210AE" w:rsidRDefault="00903941">
      <w:pPr>
        <w:pStyle w:val="ListParagraph"/>
        <w:numPr>
          <w:ilvl w:val="1"/>
          <w:numId w:val="5"/>
        </w:numPr>
        <w:tabs>
          <w:tab w:val="left" w:pos="1540"/>
          <w:tab w:val="left" w:pos="1541"/>
        </w:tabs>
        <w:spacing w:line="276" w:lineRule="auto"/>
        <w:ind w:right="113"/>
      </w:pPr>
      <w:r>
        <w:rPr>
          <w:b/>
        </w:rPr>
        <w:t>Students with chronic absenteeism</w:t>
      </w:r>
      <w:r>
        <w:t>: Students who are chronically absent miss out on a significant amount of learning time that their</w:t>
      </w:r>
      <w:r>
        <w:t xml:space="preserve"> peers receive. Studies show that this missed learning time over the course of a year results in significant disparities in student achievement and are indicative of longer term risk of dropping out. At KIPP Academy Boston, 16% of students were chronically</w:t>
      </w:r>
      <w:r>
        <w:t xml:space="preserve"> absent. Because</w:t>
      </w:r>
      <w:r>
        <w:rPr>
          <w:spacing w:val="-31"/>
        </w:rPr>
        <w:t xml:space="preserve"> </w:t>
      </w:r>
      <w:r>
        <w:t>of this knowledge and the commitment to serve all KIPP students, this is a group who will receive additional</w:t>
      </w:r>
      <w:r>
        <w:rPr>
          <w:spacing w:val="-1"/>
        </w:rPr>
        <w:t xml:space="preserve"> </w:t>
      </w:r>
      <w:r>
        <w:t>focus.</w:t>
      </w:r>
    </w:p>
    <w:p w14:paraId="1C3A32A9" w14:textId="77777777" w:rsidR="004210AE" w:rsidRDefault="004210AE">
      <w:pPr>
        <w:pStyle w:val="BodyText"/>
      </w:pPr>
    </w:p>
    <w:p w14:paraId="7FB64133" w14:textId="77777777" w:rsidR="004210AE" w:rsidRDefault="004210AE">
      <w:pPr>
        <w:pStyle w:val="BodyText"/>
      </w:pPr>
    </w:p>
    <w:p w14:paraId="0DF0507E" w14:textId="77777777" w:rsidR="004210AE" w:rsidRDefault="004210AE">
      <w:pPr>
        <w:pStyle w:val="BodyText"/>
        <w:spacing w:before="8"/>
        <w:rPr>
          <w:sz w:val="24"/>
        </w:rPr>
      </w:pPr>
    </w:p>
    <w:p w14:paraId="574CBB21" w14:textId="77777777" w:rsidR="004210AE" w:rsidRDefault="00903941">
      <w:pPr>
        <w:pStyle w:val="Heading1"/>
      </w:pPr>
      <w:r>
        <w:rPr>
          <w:rFonts w:ascii="Arial" w:hAnsi="Arial"/>
          <w:b w:val="0"/>
          <w:color w:val="2C74B5"/>
        </w:rPr>
        <w:t xml:space="preserve">→ </w:t>
      </w:r>
      <w:r>
        <w:rPr>
          <w:color w:val="2C74B5"/>
        </w:rPr>
        <w:t>Commitment 2: Using Evidence-Based Programs to Close Gaps</w:t>
      </w:r>
    </w:p>
    <w:p w14:paraId="35B3B429" w14:textId="77777777" w:rsidR="004210AE" w:rsidRDefault="00903941">
      <w:pPr>
        <w:pStyle w:val="Heading2"/>
        <w:spacing w:before="73"/>
        <w:ind w:right="899"/>
      </w:pPr>
      <w:r>
        <w:rPr>
          <w:color w:val="1F3862"/>
        </w:rPr>
        <w:t>What evidence-based programs will your charter school adopt, deepen, or continue to best support the closure of achievement and opportunity gaps? What resources will be allocated to these programs?</w:t>
      </w:r>
    </w:p>
    <w:p w14:paraId="4A135432" w14:textId="77777777" w:rsidR="004210AE" w:rsidRDefault="004210AE">
      <w:pPr>
        <w:pStyle w:val="BodyText"/>
        <w:rPr>
          <w:b/>
          <w:sz w:val="21"/>
        </w:rPr>
      </w:pPr>
    </w:p>
    <w:p w14:paraId="6291F10E" w14:textId="77777777" w:rsidR="004210AE" w:rsidRDefault="00903941">
      <w:pPr>
        <w:pStyle w:val="Heading3"/>
        <w:ind w:left="100" w:right="2573"/>
      </w:pPr>
      <w:r>
        <w:t>Evidence-based program #1: Increased Personnel - ELL Achi</w:t>
      </w:r>
      <w:r>
        <w:t>evement Leader and Data Team Expanded these teams and/or positions.</w:t>
      </w:r>
    </w:p>
    <w:p w14:paraId="13D99FB3" w14:textId="77777777" w:rsidR="004210AE" w:rsidRDefault="004210AE">
      <w:pPr>
        <w:sectPr w:rsidR="004210AE">
          <w:type w:val="continuous"/>
          <w:pgSz w:w="12240" w:h="15840"/>
          <w:pgMar w:top="980" w:right="620" w:bottom="280" w:left="620" w:header="720" w:footer="720" w:gutter="0"/>
          <w:cols w:space="720"/>
        </w:sectPr>
      </w:pPr>
    </w:p>
    <w:p w14:paraId="1ED041F0" w14:textId="77777777" w:rsidR="004210AE" w:rsidRDefault="00903941">
      <w:pPr>
        <w:pStyle w:val="BodyText"/>
        <w:spacing w:before="39"/>
        <w:ind w:left="120" w:right="110"/>
      </w:pPr>
      <w:r>
        <w:lastRenderedPageBreak/>
        <w:t>We created a position of English Language Learner Achievement Leader. This role focuses on ensuring KIPP MA is providing excellent support and oversees the quality of our ELL p</w:t>
      </w:r>
      <w:r>
        <w:t>rogramming, both in terms of specific ELL instruction and Sheltered English Immersion. Additionally, this role leads our ELPAC (English Learner Parent Advisory Council) which over the next few years will create a revised vision for the experience of our st</w:t>
      </w:r>
      <w:r>
        <w:t>udents who are English Language Learners at KIPP MA.</w:t>
      </w:r>
    </w:p>
    <w:p w14:paraId="367E5899" w14:textId="77777777" w:rsidR="004210AE" w:rsidRDefault="00903941">
      <w:pPr>
        <w:pStyle w:val="BodyText"/>
        <w:ind w:left="120" w:right="266"/>
      </w:pPr>
      <w:r>
        <w:t>We also expanded our regional data team to 3 full time roles. This allows us to collect and report out on more frequent checkpoints on student growth and achievement, as well as numerous other data point</w:t>
      </w:r>
      <w:r>
        <w:t>s connected to our long term goals including post-secondary outcomes. In addition, the data team now has the bandwidth to disaggregate all data sets by subgroup which allows our instructional staff to be much more thoughtful and equitable with our analysis</w:t>
      </w:r>
      <w:r>
        <w:t xml:space="preserve"> and action planning.</w:t>
      </w:r>
    </w:p>
    <w:p w14:paraId="2819B934" w14:textId="77777777" w:rsidR="004210AE" w:rsidRDefault="004210AE">
      <w:pPr>
        <w:pStyle w:val="BodyText"/>
        <w:rPr>
          <w:sz w:val="20"/>
        </w:rPr>
      </w:pPr>
    </w:p>
    <w:p w14:paraId="7DE2CEA3" w14:textId="77777777" w:rsidR="004210AE" w:rsidRDefault="004210AE">
      <w:pPr>
        <w:pStyle w:val="BodyText"/>
        <w:spacing w:before="1"/>
        <w:rPr>
          <w:sz w:val="20"/>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3"/>
        <w:gridCol w:w="1759"/>
        <w:gridCol w:w="5663"/>
      </w:tblGrid>
      <w:tr w:rsidR="004210AE" w14:paraId="5092AA09" w14:textId="77777777">
        <w:trPr>
          <w:trHeight w:hRule="exact" w:val="301"/>
        </w:trPr>
        <w:tc>
          <w:tcPr>
            <w:tcW w:w="3083" w:type="dxa"/>
            <w:shd w:val="clear" w:color="auto" w:fill="D9D9D9"/>
          </w:tcPr>
          <w:p w14:paraId="011E3FC0" w14:textId="77777777" w:rsidR="004210AE" w:rsidRDefault="00903941">
            <w:pPr>
              <w:pStyle w:val="TableParagraph"/>
              <w:spacing w:line="228" w:lineRule="exact"/>
              <w:ind w:left="100"/>
              <w:rPr>
                <w:b/>
                <w:sz w:val="20"/>
              </w:rPr>
            </w:pPr>
            <w:r>
              <w:rPr>
                <w:b/>
                <w:sz w:val="20"/>
              </w:rPr>
              <w:t>FY21 budget item</w:t>
            </w:r>
          </w:p>
        </w:tc>
        <w:tc>
          <w:tcPr>
            <w:tcW w:w="1759" w:type="dxa"/>
            <w:shd w:val="clear" w:color="auto" w:fill="D9D9D9"/>
          </w:tcPr>
          <w:p w14:paraId="00805809" w14:textId="77777777" w:rsidR="004210AE" w:rsidRDefault="00903941">
            <w:pPr>
              <w:pStyle w:val="TableParagraph"/>
              <w:spacing w:line="228" w:lineRule="exact"/>
              <w:ind w:left="103"/>
              <w:rPr>
                <w:b/>
                <w:sz w:val="20"/>
              </w:rPr>
            </w:pPr>
            <w:r>
              <w:rPr>
                <w:b/>
                <w:sz w:val="20"/>
              </w:rPr>
              <w:t>Amount</w:t>
            </w:r>
          </w:p>
        </w:tc>
        <w:tc>
          <w:tcPr>
            <w:tcW w:w="5663" w:type="dxa"/>
            <w:shd w:val="clear" w:color="auto" w:fill="D9D9D9"/>
          </w:tcPr>
          <w:p w14:paraId="56BDF5FC" w14:textId="77777777" w:rsidR="004210AE" w:rsidRDefault="00903941">
            <w:pPr>
              <w:pStyle w:val="TableParagraph"/>
              <w:spacing w:line="228" w:lineRule="exact"/>
              <w:ind w:left="105"/>
              <w:rPr>
                <w:b/>
                <w:sz w:val="13"/>
              </w:rPr>
            </w:pPr>
            <w:r>
              <w:rPr>
                <w:b/>
                <w:sz w:val="20"/>
              </w:rPr>
              <w:t>Foundation Category</w:t>
            </w:r>
            <w:r>
              <w:rPr>
                <w:b/>
                <w:position w:val="7"/>
                <w:sz w:val="13"/>
              </w:rPr>
              <w:t>1</w:t>
            </w:r>
          </w:p>
        </w:tc>
      </w:tr>
      <w:tr w:rsidR="004210AE" w14:paraId="7641F3E1" w14:textId="77777777">
        <w:trPr>
          <w:trHeight w:hRule="exact" w:val="497"/>
        </w:trPr>
        <w:tc>
          <w:tcPr>
            <w:tcW w:w="3083" w:type="dxa"/>
            <w:tcBorders>
              <w:top w:val="single" w:sz="28" w:space="0" w:color="D9D9D9"/>
            </w:tcBorders>
          </w:tcPr>
          <w:p w14:paraId="2591F290" w14:textId="77777777" w:rsidR="004210AE" w:rsidRDefault="00903941">
            <w:pPr>
              <w:pStyle w:val="TableParagraph"/>
              <w:spacing w:line="215" w:lineRule="exact"/>
              <w:rPr>
                <w:sz w:val="20"/>
              </w:rPr>
            </w:pPr>
            <w:r>
              <w:rPr>
                <w:sz w:val="20"/>
              </w:rPr>
              <w:t>English Language Learner</w:t>
            </w:r>
          </w:p>
          <w:p w14:paraId="6B13493D" w14:textId="77777777" w:rsidR="004210AE" w:rsidRDefault="00903941">
            <w:pPr>
              <w:pStyle w:val="TableParagraph"/>
              <w:spacing w:line="243" w:lineRule="exact"/>
              <w:rPr>
                <w:sz w:val="20"/>
              </w:rPr>
            </w:pPr>
            <w:r>
              <w:rPr>
                <w:sz w:val="20"/>
              </w:rPr>
              <w:t>Achievement Leader</w:t>
            </w:r>
          </w:p>
        </w:tc>
        <w:tc>
          <w:tcPr>
            <w:tcW w:w="1759" w:type="dxa"/>
            <w:tcBorders>
              <w:top w:val="single" w:sz="28" w:space="0" w:color="D9D9D9"/>
            </w:tcBorders>
          </w:tcPr>
          <w:p w14:paraId="5DED9B93" w14:textId="77777777" w:rsidR="004210AE" w:rsidRDefault="00903941">
            <w:pPr>
              <w:pStyle w:val="TableParagraph"/>
              <w:spacing w:line="216" w:lineRule="exact"/>
              <w:rPr>
                <w:sz w:val="20"/>
              </w:rPr>
            </w:pPr>
            <w:r>
              <w:rPr>
                <w:sz w:val="20"/>
              </w:rPr>
              <w:t>$81,600</w:t>
            </w:r>
          </w:p>
        </w:tc>
        <w:tc>
          <w:tcPr>
            <w:tcW w:w="5663" w:type="dxa"/>
            <w:tcBorders>
              <w:top w:val="single" w:sz="28" w:space="0" w:color="D9D9D9"/>
            </w:tcBorders>
          </w:tcPr>
          <w:p w14:paraId="7F763E53" w14:textId="77777777" w:rsidR="004210AE" w:rsidRDefault="00903941">
            <w:pPr>
              <w:pStyle w:val="TableParagraph"/>
              <w:spacing w:line="216" w:lineRule="exact"/>
              <w:rPr>
                <w:sz w:val="20"/>
              </w:rPr>
            </w:pPr>
            <w:r>
              <w:rPr>
                <w:sz w:val="20"/>
              </w:rPr>
              <w:t>Administration</w:t>
            </w:r>
          </w:p>
        </w:tc>
      </w:tr>
      <w:tr w:rsidR="004210AE" w14:paraId="5150531C" w14:textId="77777777">
        <w:trPr>
          <w:trHeight w:hRule="exact" w:val="302"/>
        </w:trPr>
        <w:tc>
          <w:tcPr>
            <w:tcW w:w="3083" w:type="dxa"/>
          </w:tcPr>
          <w:p w14:paraId="5B35F726" w14:textId="77777777" w:rsidR="004210AE" w:rsidRDefault="00903941">
            <w:pPr>
              <w:pStyle w:val="TableParagraph"/>
              <w:spacing w:before="1"/>
              <w:rPr>
                <w:sz w:val="20"/>
              </w:rPr>
            </w:pPr>
            <w:r>
              <w:rPr>
                <w:sz w:val="20"/>
              </w:rPr>
              <w:t>Data Analyst</w:t>
            </w:r>
          </w:p>
        </w:tc>
        <w:tc>
          <w:tcPr>
            <w:tcW w:w="1759" w:type="dxa"/>
          </w:tcPr>
          <w:p w14:paraId="405742BF" w14:textId="77777777" w:rsidR="004210AE" w:rsidRDefault="00903941">
            <w:pPr>
              <w:pStyle w:val="TableParagraph"/>
              <w:spacing w:before="1"/>
              <w:rPr>
                <w:sz w:val="20"/>
              </w:rPr>
            </w:pPr>
            <w:r>
              <w:rPr>
                <w:sz w:val="20"/>
              </w:rPr>
              <w:t>$64,000</w:t>
            </w:r>
          </w:p>
        </w:tc>
        <w:tc>
          <w:tcPr>
            <w:tcW w:w="5663" w:type="dxa"/>
          </w:tcPr>
          <w:p w14:paraId="6EA88056" w14:textId="77777777" w:rsidR="004210AE" w:rsidRDefault="00903941">
            <w:pPr>
              <w:pStyle w:val="TableParagraph"/>
              <w:spacing w:before="1"/>
              <w:rPr>
                <w:sz w:val="20"/>
              </w:rPr>
            </w:pPr>
            <w:r>
              <w:rPr>
                <w:sz w:val="20"/>
              </w:rPr>
              <w:t>Administration</w:t>
            </w:r>
          </w:p>
        </w:tc>
      </w:tr>
      <w:tr w:rsidR="004210AE" w14:paraId="108D4688" w14:textId="77777777">
        <w:trPr>
          <w:trHeight w:hRule="exact" w:val="315"/>
        </w:trPr>
        <w:tc>
          <w:tcPr>
            <w:tcW w:w="3083" w:type="dxa"/>
            <w:tcBorders>
              <w:bottom w:val="single" w:sz="8" w:space="0" w:color="000000"/>
            </w:tcBorders>
          </w:tcPr>
          <w:p w14:paraId="11913A5B" w14:textId="77777777" w:rsidR="004210AE" w:rsidRDefault="00903941">
            <w:pPr>
              <w:pStyle w:val="TableParagraph"/>
              <w:spacing w:before="2"/>
              <w:rPr>
                <w:sz w:val="20"/>
              </w:rPr>
            </w:pPr>
            <w:r>
              <w:rPr>
                <w:sz w:val="20"/>
              </w:rPr>
              <w:t>Data Analyst</w:t>
            </w:r>
          </w:p>
        </w:tc>
        <w:tc>
          <w:tcPr>
            <w:tcW w:w="1759" w:type="dxa"/>
            <w:tcBorders>
              <w:bottom w:val="single" w:sz="8" w:space="0" w:color="000000"/>
            </w:tcBorders>
          </w:tcPr>
          <w:p w14:paraId="0B787F17" w14:textId="77777777" w:rsidR="004210AE" w:rsidRDefault="00903941">
            <w:pPr>
              <w:pStyle w:val="TableParagraph"/>
              <w:spacing w:before="2"/>
              <w:rPr>
                <w:sz w:val="20"/>
              </w:rPr>
            </w:pPr>
            <w:r>
              <w:rPr>
                <w:sz w:val="20"/>
              </w:rPr>
              <w:t>$58,000</w:t>
            </w:r>
          </w:p>
        </w:tc>
        <w:tc>
          <w:tcPr>
            <w:tcW w:w="5663" w:type="dxa"/>
            <w:tcBorders>
              <w:bottom w:val="single" w:sz="8" w:space="0" w:color="000000"/>
            </w:tcBorders>
          </w:tcPr>
          <w:p w14:paraId="28B05A84" w14:textId="77777777" w:rsidR="004210AE" w:rsidRDefault="00903941">
            <w:pPr>
              <w:pStyle w:val="TableParagraph"/>
              <w:spacing w:before="2"/>
              <w:rPr>
                <w:sz w:val="20"/>
              </w:rPr>
            </w:pPr>
            <w:r>
              <w:rPr>
                <w:sz w:val="20"/>
              </w:rPr>
              <w:t>Administration</w:t>
            </w:r>
          </w:p>
        </w:tc>
      </w:tr>
      <w:tr w:rsidR="004210AE" w14:paraId="5EF402AC" w14:textId="77777777">
        <w:trPr>
          <w:trHeight w:hRule="exact" w:val="312"/>
        </w:trPr>
        <w:tc>
          <w:tcPr>
            <w:tcW w:w="4842" w:type="dxa"/>
            <w:gridSpan w:val="2"/>
            <w:tcBorders>
              <w:top w:val="single" w:sz="8" w:space="0" w:color="000000"/>
            </w:tcBorders>
            <w:shd w:val="clear" w:color="auto" w:fill="D9D9D9"/>
          </w:tcPr>
          <w:p w14:paraId="16D79B50" w14:textId="77777777" w:rsidR="004210AE" w:rsidRDefault="00903941">
            <w:pPr>
              <w:pStyle w:val="TableParagraph"/>
              <w:spacing w:line="229" w:lineRule="exact"/>
              <w:ind w:left="100"/>
              <w:rPr>
                <w:b/>
                <w:sz w:val="20"/>
              </w:rPr>
            </w:pPr>
            <w:r>
              <w:rPr>
                <w:b/>
                <w:sz w:val="20"/>
              </w:rPr>
              <w:t>Evidence-based program identified by the Department:</w:t>
            </w:r>
          </w:p>
        </w:tc>
        <w:tc>
          <w:tcPr>
            <w:tcW w:w="5663" w:type="dxa"/>
            <w:tcBorders>
              <w:top w:val="single" w:sz="8" w:space="0" w:color="000000"/>
            </w:tcBorders>
          </w:tcPr>
          <w:p w14:paraId="686DFF9C" w14:textId="77777777" w:rsidR="004210AE" w:rsidRDefault="004210AE"/>
        </w:tc>
      </w:tr>
      <w:tr w:rsidR="004210AE" w14:paraId="50D34BBB" w14:textId="77777777">
        <w:trPr>
          <w:trHeight w:hRule="exact" w:val="305"/>
        </w:trPr>
        <w:tc>
          <w:tcPr>
            <w:tcW w:w="4842" w:type="dxa"/>
            <w:gridSpan w:val="2"/>
            <w:shd w:val="clear" w:color="auto" w:fill="D9D9D9"/>
          </w:tcPr>
          <w:p w14:paraId="52177C1E" w14:textId="77777777" w:rsidR="004210AE" w:rsidRDefault="00903941">
            <w:pPr>
              <w:pStyle w:val="TableParagraph"/>
              <w:spacing w:before="1"/>
              <w:ind w:left="100"/>
              <w:rPr>
                <w:b/>
                <w:sz w:val="20"/>
              </w:rPr>
            </w:pPr>
            <w:r>
              <w:rPr>
                <w:b/>
                <w:sz w:val="20"/>
              </w:rPr>
              <w:t>SOA program categories:</w:t>
            </w:r>
          </w:p>
        </w:tc>
        <w:tc>
          <w:tcPr>
            <w:tcW w:w="5663" w:type="dxa"/>
          </w:tcPr>
          <w:p w14:paraId="6A01597F" w14:textId="77777777" w:rsidR="004210AE" w:rsidRDefault="00903941">
            <w:pPr>
              <w:pStyle w:val="TableParagraph"/>
              <w:spacing w:before="1"/>
              <w:ind w:left="45"/>
              <w:rPr>
                <w:sz w:val="20"/>
              </w:rPr>
            </w:pPr>
            <w:r>
              <w:rPr>
                <w:w w:val="99"/>
                <w:sz w:val="20"/>
              </w:rPr>
              <w:t>D</w:t>
            </w:r>
          </w:p>
        </w:tc>
      </w:tr>
    </w:tbl>
    <w:p w14:paraId="550D22AB" w14:textId="77777777" w:rsidR="004210AE" w:rsidRDefault="004210AE">
      <w:pPr>
        <w:pStyle w:val="BodyText"/>
        <w:spacing w:before="4"/>
        <w:rPr>
          <w:sz w:val="15"/>
        </w:rPr>
      </w:pPr>
    </w:p>
    <w:p w14:paraId="73F7DCE0" w14:textId="77777777" w:rsidR="004210AE" w:rsidRDefault="00903941">
      <w:pPr>
        <w:pStyle w:val="Heading3"/>
        <w:spacing w:before="57" w:line="267" w:lineRule="exact"/>
      </w:pPr>
      <w:r>
        <w:t>Evidence-based program #2: Expanded Substantially Separate programming</w:t>
      </w:r>
    </w:p>
    <w:p w14:paraId="06E166A7" w14:textId="77777777" w:rsidR="004210AE" w:rsidRDefault="00903941">
      <w:pPr>
        <w:ind w:left="120" w:right="515"/>
        <w:rPr>
          <w:b/>
        </w:rPr>
      </w:pPr>
      <w:r>
        <w:rPr>
          <w:b/>
        </w:rPr>
        <w:t>Aligns with categories C and D. Redesigned space and curricular materials. Developing new family communication tools.</w:t>
      </w:r>
    </w:p>
    <w:p w14:paraId="102BD017" w14:textId="77777777" w:rsidR="004210AE" w:rsidRDefault="00903941">
      <w:pPr>
        <w:pStyle w:val="BodyText"/>
        <w:spacing w:before="1"/>
        <w:ind w:left="120" w:right="205"/>
      </w:pPr>
      <w:r>
        <w:t xml:space="preserve">We are deeply committed to ensuring that our programs meet the needs of our learners. To that end, we expanded our substantially separate </w:t>
      </w:r>
      <w:r>
        <w:t xml:space="preserve">programs to include our youngest learners in K-4. In FY21, we are starting a therapeutic program in Boston and a cognitive focused program in Lynn. Planning for this program involved and will continue to include redesigning our facilities to best meet the </w:t>
      </w:r>
      <w:r>
        <w:t>needs of our students (ex: create a “calm down” space adjacent to the classroom), design, create, and purchase curricular materials, and utilize robust family communication tools such as the platform Canvas.</w:t>
      </w:r>
    </w:p>
    <w:p w14:paraId="7BDAB767" w14:textId="77777777" w:rsidR="004210AE" w:rsidRDefault="004210AE">
      <w:pPr>
        <w:pStyle w:val="BodyText"/>
        <w:spacing w:before="1"/>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1706"/>
        <w:gridCol w:w="5687"/>
      </w:tblGrid>
      <w:tr w:rsidR="004210AE" w14:paraId="53A38962" w14:textId="77777777">
        <w:trPr>
          <w:trHeight w:hRule="exact" w:val="247"/>
        </w:trPr>
        <w:tc>
          <w:tcPr>
            <w:tcW w:w="3071" w:type="dxa"/>
            <w:shd w:val="clear" w:color="auto" w:fill="D9D9D9"/>
          </w:tcPr>
          <w:p w14:paraId="10BADB57" w14:textId="77777777" w:rsidR="004210AE" w:rsidRDefault="00903941">
            <w:pPr>
              <w:pStyle w:val="TableParagraph"/>
              <w:spacing w:line="229" w:lineRule="exact"/>
              <w:ind w:left="100"/>
              <w:rPr>
                <w:b/>
                <w:sz w:val="20"/>
              </w:rPr>
            </w:pPr>
            <w:r>
              <w:rPr>
                <w:b/>
                <w:sz w:val="20"/>
              </w:rPr>
              <w:t>FY21 budget item</w:t>
            </w:r>
          </w:p>
        </w:tc>
        <w:tc>
          <w:tcPr>
            <w:tcW w:w="1706" w:type="dxa"/>
            <w:shd w:val="clear" w:color="auto" w:fill="D9D9D9"/>
          </w:tcPr>
          <w:p w14:paraId="6B7D41E3" w14:textId="77777777" w:rsidR="004210AE" w:rsidRDefault="00903941">
            <w:pPr>
              <w:pStyle w:val="TableParagraph"/>
              <w:spacing w:line="229" w:lineRule="exact"/>
              <w:ind w:left="103"/>
              <w:rPr>
                <w:b/>
                <w:sz w:val="20"/>
              </w:rPr>
            </w:pPr>
            <w:r>
              <w:rPr>
                <w:b/>
                <w:sz w:val="20"/>
              </w:rPr>
              <w:t>Amount</w:t>
            </w:r>
          </w:p>
        </w:tc>
        <w:tc>
          <w:tcPr>
            <w:tcW w:w="5687" w:type="dxa"/>
            <w:shd w:val="clear" w:color="auto" w:fill="D9D9D9"/>
          </w:tcPr>
          <w:p w14:paraId="3F55A4E4" w14:textId="77777777" w:rsidR="004210AE" w:rsidRDefault="00903941">
            <w:pPr>
              <w:pStyle w:val="TableParagraph"/>
              <w:spacing w:line="229" w:lineRule="exact"/>
              <w:ind w:left="105"/>
              <w:rPr>
                <w:b/>
                <w:sz w:val="20"/>
              </w:rPr>
            </w:pPr>
            <w:r>
              <w:rPr>
                <w:b/>
                <w:sz w:val="20"/>
              </w:rPr>
              <w:t>Foundation Category</w:t>
            </w:r>
          </w:p>
        </w:tc>
      </w:tr>
      <w:tr w:rsidR="004210AE" w14:paraId="66052007" w14:textId="77777777">
        <w:trPr>
          <w:trHeight w:hRule="exact" w:val="286"/>
        </w:trPr>
        <w:tc>
          <w:tcPr>
            <w:tcW w:w="3071" w:type="dxa"/>
            <w:tcBorders>
              <w:top w:val="single" w:sz="12" w:space="0" w:color="D9D9D9"/>
              <w:bottom w:val="single" w:sz="8" w:space="0" w:color="000000"/>
            </w:tcBorders>
          </w:tcPr>
          <w:p w14:paraId="43DA442D" w14:textId="77777777" w:rsidR="004210AE" w:rsidRDefault="00903941">
            <w:pPr>
              <w:pStyle w:val="TableParagraph"/>
              <w:spacing w:before="6"/>
              <w:rPr>
                <w:sz w:val="20"/>
              </w:rPr>
            </w:pPr>
            <w:r>
              <w:rPr>
                <w:sz w:val="20"/>
              </w:rPr>
              <w:t>Canvas</w:t>
            </w:r>
          </w:p>
        </w:tc>
        <w:tc>
          <w:tcPr>
            <w:tcW w:w="1706" w:type="dxa"/>
            <w:tcBorders>
              <w:top w:val="single" w:sz="12" w:space="0" w:color="D9D9D9"/>
              <w:bottom w:val="single" w:sz="8" w:space="0" w:color="000000"/>
            </w:tcBorders>
          </w:tcPr>
          <w:p w14:paraId="27764871" w14:textId="77777777" w:rsidR="004210AE" w:rsidRDefault="00903941">
            <w:pPr>
              <w:pStyle w:val="TableParagraph"/>
              <w:spacing w:before="6"/>
              <w:ind w:left="-1"/>
              <w:rPr>
                <w:sz w:val="20"/>
              </w:rPr>
            </w:pPr>
            <w:r>
              <w:rPr>
                <w:sz w:val="20"/>
              </w:rPr>
              <w:t>$5,174</w:t>
            </w:r>
          </w:p>
        </w:tc>
        <w:tc>
          <w:tcPr>
            <w:tcW w:w="5687" w:type="dxa"/>
            <w:tcBorders>
              <w:top w:val="single" w:sz="12" w:space="0" w:color="D9D9D9"/>
              <w:bottom w:val="single" w:sz="8" w:space="0" w:color="000000"/>
            </w:tcBorders>
          </w:tcPr>
          <w:p w14:paraId="7FC5E592" w14:textId="77777777" w:rsidR="004210AE" w:rsidRDefault="00903941">
            <w:pPr>
              <w:pStyle w:val="TableParagraph"/>
              <w:spacing w:before="6"/>
              <w:ind w:left="-1"/>
              <w:rPr>
                <w:sz w:val="20"/>
              </w:rPr>
            </w:pPr>
            <w:r>
              <w:rPr>
                <w:sz w:val="20"/>
              </w:rPr>
              <w:t>Other Teaching Services</w:t>
            </w:r>
          </w:p>
        </w:tc>
      </w:tr>
      <w:tr w:rsidR="004210AE" w14:paraId="08C1162A" w14:textId="77777777">
        <w:trPr>
          <w:trHeight w:hRule="exact" w:val="276"/>
        </w:trPr>
        <w:tc>
          <w:tcPr>
            <w:tcW w:w="4777" w:type="dxa"/>
            <w:gridSpan w:val="2"/>
            <w:tcBorders>
              <w:top w:val="single" w:sz="8" w:space="0" w:color="000000"/>
            </w:tcBorders>
            <w:shd w:val="clear" w:color="auto" w:fill="D9D9D9"/>
          </w:tcPr>
          <w:p w14:paraId="6DAA8E79" w14:textId="77777777" w:rsidR="004210AE" w:rsidRDefault="00903941">
            <w:pPr>
              <w:pStyle w:val="TableParagraph"/>
              <w:spacing w:line="229" w:lineRule="exact"/>
              <w:ind w:left="100"/>
              <w:rPr>
                <w:b/>
                <w:sz w:val="20"/>
              </w:rPr>
            </w:pPr>
            <w:r>
              <w:rPr>
                <w:b/>
                <w:sz w:val="20"/>
              </w:rPr>
              <w:t>Evidence-based program identified by the Department:</w:t>
            </w:r>
          </w:p>
        </w:tc>
        <w:tc>
          <w:tcPr>
            <w:tcW w:w="5687" w:type="dxa"/>
            <w:tcBorders>
              <w:top w:val="single" w:sz="8" w:space="0" w:color="000000"/>
            </w:tcBorders>
          </w:tcPr>
          <w:p w14:paraId="4328A14E" w14:textId="77777777" w:rsidR="004210AE" w:rsidRDefault="004210AE"/>
        </w:tc>
      </w:tr>
      <w:tr w:rsidR="004210AE" w14:paraId="6943301B" w14:textId="77777777">
        <w:trPr>
          <w:trHeight w:hRule="exact" w:val="271"/>
        </w:trPr>
        <w:tc>
          <w:tcPr>
            <w:tcW w:w="4777" w:type="dxa"/>
            <w:gridSpan w:val="2"/>
            <w:shd w:val="clear" w:color="auto" w:fill="D9D9D9"/>
          </w:tcPr>
          <w:p w14:paraId="727C0127" w14:textId="77777777" w:rsidR="004210AE" w:rsidRDefault="00903941">
            <w:pPr>
              <w:pStyle w:val="TableParagraph"/>
              <w:spacing w:before="1"/>
              <w:ind w:left="100"/>
              <w:rPr>
                <w:b/>
                <w:sz w:val="20"/>
              </w:rPr>
            </w:pPr>
            <w:r>
              <w:rPr>
                <w:b/>
                <w:sz w:val="20"/>
              </w:rPr>
              <w:t>SOA program categories:</w:t>
            </w:r>
          </w:p>
        </w:tc>
        <w:tc>
          <w:tcPr>
            <w:tcW w:w="5687" w:type="dxa"/>
          </w:tcPr>
          <w:p w14:paraId="1A452257" w14:textId="77777777" w:rsidR="004210AE" w:rsidRDefault="00903941">
            <w:pPr>
              <w:pStyle w:val="TableParagraph"/>
              <w:spacing w:before="1"/>
              <w:ind w:left="45"/>
              <w:rPr>
                <w:sz w:val="20"/>
              </w:rPr>
            </w:pPr>
            <w:r>
              <w:rPr>
                <w:sz w:val="20"/>
              </w:rPr>
              <w:t>C and D</w:t>
            </w:r>
          </w:p>
        </w:tc>
      </w:tr>
    </w:tbl>
    <w:p w14:paraId="5199671B" w14:textId="77777777" w:rsidR="004210AE" w:rsidRDefault="004210AE">
      <w:pPr>
        <w:pStyle w:val="BodyText"/>
        <w:spacing w:before="11"/>
        <w:rPr>
          <w:sz w:val="21"/>
        </w:rPr>
      </w:pPr>
    </w:p>
    <w:p w14:paraId="051554D9" w14:textId="77777777" w:rsidR="004210AE" w:rsidRDefault="00903941">
      <w:pPr>
        <w:pStyle w:val="Heading3"/>
      </w:pPr>
      <w:r>
        <w:t>Evidence-based program #3: Curriculum Consultants</w:t>
      </w:r>
    </w:p>
    <w:p w14:paraId="1E64BABD" w14:textId="77777777" w:rsidR="004210AE" w:rsidRDefault="00903941">
      <w:pPr>
        <w:pStyle w:val="BodyText"/>
        <w:ind w:left="120" w:right="133"/>
        <w:jc w:val="both"/>
      </w:pPr>
      <w:r>
        <w:t>As we continue to use the cycle of creating curriculum, implementing it, and then reflecting and revising, it is critical that we continue to leverage curriculum experts to give us new ideas grounded in the latest research. We also are committed to creatin</w:t>
      </w:r>
      <w:r>
        <w:t>g a culturally responsive curriculum that includes teaching history and social studies.</w:t>
      </w:r>
    </w:p>
    <w:p w14:paraId="195C9717" w14:textId="77777777" w:rsidR="004210AE" w:rsidRDefault="004210AE">
      <w:pPr>
        <w:pStyle w:val="BodyText"/>
        <w:spacing w:before="1"/>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1706"/>
        <w:gridCol w:w="5687"/>
      </w:tblGrid>
      <w:tr w:rsidR="004210AE" w14:paraId="1736D11C" w14:textId="77777777">
        <w:trPr>
          <w:trHeight w:hRule="exact" w:val="262"/>
        </w:trPr>
        <w:tc>
          <w:tcPr>
            <w:tcW w:w="3071" w:type="dxa"/>
            <w:shd w:val="clear" w:color="auto" w:fill="D9D9D9"/>
          </w:tcPr>
          <w:p w14:paraId="101D0A33" w14:textId="77777777" w:rsidR="004210AE" w:rsidRDefault="00903941">
            <w:pPr>
              <w:pStyle w:val="TableParagraph"/>
              <w:spacing w:line="229" w:lineRule="exact"/>
              <w:ind w:left="100"/>
              <w:rPr>
                <w:b/>
                <w:sz w:val="20"/>
              </w:rPr>
            </w:pPr>
            <w:r>
              <w:rPr>
                <w:b/>
                <w:sz w:val="20"/>
              </w:rPr>
              <w:t>FY21 budget item</w:t>
            </w:r>
          </w:p>
        </w:tc>
        <w:tc>
          <w:tcPr>
            <w:tcW w:w="1706" w:type="dxa"/>
            <w:shd w:val="clear" w:color="auto" w:fill="D9D9D9"/>
          </w:tcPr>
          <w:p w14:paraId="451D0CE3" w14:textId="77777777" w:rsidR="004210AE" w:rsidRDefault="00903941">
            <w:pPr>
              <w:pStyle w:val="TableParagraph"/>
              <w:spacing w:line="229" w:lineRule="exact"/>
              <w:ind w:left="103"/>
              <w:rPr>
                <w:b/>
                <w:sz w:val="20"/>
              </w:rPr>
            </w:pPr>
            <w:r>
              <w:rPr>
                <w:b/>
                <w:sz w:val="20"/>
              </w:rPr>
              <w:t>Amount</w:t>
            </w:r>
          </w:p>
        </w:tc>
        <w:tc>
          <w:tcPr>
            <w:tcW w:w="5687" w:type="dxa"/>
            <w:shd w:val="clear" w:color="auto" w:fill="D9D9D9"/>
          </w:tcPr>
          <w:p w14:paraId="06842973" w14:textId="77777777" w:rsidR="004210AE" w:rsidRDefault="00903941">
            <w:pPr>
              <w:pStyle w:val="TableParagraph"/>
              <w:spacing w:line="229" w:lineRule="exact"/>
              <w:ind w:left="105"/>
              <w:rPr>
                <w:b/>
                <w:sz w:val="20"/>
              </w:rPr>
            </w:pPr>
            <w:r>
              <w:rPr>
                <w:b/>
                <w:sz w:val="20"/>
              </w:rPr>
              <w:t>Foundation Category</w:t>
            </w:r>
          </w:p>
        </w:tc>
      </w:tr>
      <w:tr w:rsidR="004210AE" w14:paraId="4DBA6944" w14:textId="77777777">
        <w:trPr>
          <w:trHeight w:hRule="exact" w:val="272"/>
        </w:trPr>
        <w:tc>
          <w:tcPr>
            <w:tcW w:w="3071" w:type="dxa"/>
            <w:tcBorders>
              <w:bottom w:val="single" w:sz="8" w:space="0" w:color="000000"/>
            </w:tcBorders>
          </w:tcPr>
          <w:p w14:paraId="2D00D8B8" w14:textId="77777777" w:rsidR="004210AE" w:rsidRDefault="00903941">
            <w:pPr>
              <w:pStyle w:val="TableParagraph"/>
              <w:spacing w:before="2"/>
              <w:rPr>
                <w:sz w:val="20"/>
              </w:rPr>
            </w:pPr>
            <w:r>
              <w:rPr>
                <w:sz w:val="20"/>
              </w:rPr>
              <w:t>Curriculum Consultant</w:t>
            </w:r>
          </w:p>
        </w:tc>
        <w:tc>
          <w:tcPr>
            <w:tcW w:w="1706" w:type="dxa"/>
            <w:tcBorders>
              <w:bottom w:val="single" w:sz="8" w:space="0" w:color="000000"/>
            </w:tcBorders>
          </w:tcPr>
          <w:p w14:paraId="1486D181" w14:textId="77777777" w:rsidR="004210AE" w:rsidRDefault="00903941">
            <w:pPr>
              <w:pStyle w:val="TableParagraph"/>
              <w:spacing w:before="2"/>
              <w:ind w:left="-1"/>
              <w:rPr>
                <w:sz w:val="20"/>
              </w:rPr>
            </w:pPr>
            <w:r>
              <w:rPr>
                <w:sz w:val="20"/>
              </w:rPr>
              <w:t>$3,500</w:t>
            </w:r>
          </w:p>
        </w:tc>
        <w:tc>
          <w:tcPr>
            <w:tcW w:w="5687" w:type="dxa"/>
            <w:tcBorders>
              <w:bottom w:val="single" w:sz="8" w:space="0" w:color="000000"/>
            </w:tcBorders>
          </w:tcPr>
          <w:p w14:paraId="1320005B" w14:textId="77777777" w:rsidR="004210AE" w:rsidRDefault="00903941">
            <w:pPr>
              <w:pStyle w:val="TableParagraph"/>
              <w:spacing w:before="2"/>
              <w:ind w:left="-1"/>
              <w:rPr>
                <w:sz w:val="20"/>
              </w:rPr>
            </w:pPr>
            <w:r>
              <w:rPr>
                <w:sz w:val="20"/>
              </w:rPr>
              <w:t>Instructional Materials</w:t>
            </w:r>
          </w:p>
        </w:tc>
      </w:tr>
      <w:tr w:rsidR="004210AE" w14:paraId="65DD46F7" w14:textId="77777777">
        <w:trPr>
          <w:trHeight w:hRule="exact" w:val="274"/>
        </w:trPr>
        <w:tc>
          <w:tcPr>
            <w:tcW w:w="4777" w:type="dxa"/>
            <w:gridSpan w:val="2"/>
            <w:tcBorders>
              <w:top w:val="single" w:sz="8" w:space="0" w:color="000000"/>
            </w:tcBorders>
            <w:shd w:val="clear" w:color="auto" w:fill="D9D9D9"/>
          </w:tcPr>
          <w:p w14:paraId="0365371D" w14:textId="77777777" w:rsidR="004210AE" w:rsidRDefault="00903941">
            <w:pPr>
              <w:pStyle w:val="TableParagraph"/>
              <w:spacing w:line="229" w:lineRule="exact"/>
              <w:ind w:left="100"/>
              <w:rPr>
                <w:b/>
                <w:sz w:val="20"/>
              </w:rPr>
            </w:pPr>
            <w:r>
              <w:rPr>
                <w:b/>
                <w:sz w:val="20"/>
              </w:rPr>
              <w:t>Evidence-based program identified by the Department:</w:t>
            </w:r>
          </w:p>
        </w:tc>
        <w:tc>
          <w:tcPr>
            <w:tcW w:w="5687" w:type="dxa"/>
            <w:tcBorders>
              <w:top w:val="single" w:sz="8" w:space="0" w:color="000000"/>
            </w:tcBorders>
          </w:tcPr>
          <w:p w14:paraId="5D000C1B" w14:textId="77777777" w:rsidR="004210AE" w:rsidRDefault="004210AE"/>
        </w:tc>
      </w:tr>
      <w:tr w:rsidR="004210AE" w14:paraId="7CC5723C" w14:textId="77777777">
        <w:trPr>
          <w:trHeight w:hRule="exact" w:val="274"/>
        </w:trPr>
        <w:tc>
          <w:tcPr>
            <w:tcW w:w="4777" w:type="dxa"/>
            <w:gridSpan w:val="2"/>
            <w:shd w:val="clear" w:color="auto" w:fill="D9D9D9"/>
          </w:tcPr>
          <w:p w14:paraId="74F865CB" w14:textId="77777777" w:rsidR="004210AE" w:rsidRDefault="00903941">
            <w:pPr>
              <w:pStyle w:val="TableParagraph"/>
              <w:spacing w:before="4"/>
              <w:ind w:left="100"/>
              <w:rPr>
                <w:b/>
                <w:sz w:val="20"/>
              </w:rPr>
            </w:pPr>
            <w:r>
              <w:rPr>
                <w:b/>
                <w:sz w:val="20"/>
              </w:rPr>
              <w:t>SOA program categories:</w:t>
            </w:r>
          </w:p>
        </w:tc>
        <w:tc>
          <w:tcPr>
            <w:tcW w:w="5687" w:type="dxa"/>
          </w:tcPr>
          <w:p w14:paraId="78660472" w14:textId="77777777" w:rsidR="004210AE" w:rsidRDefault="00903941">
            <w:pPr>
              <w:pStyle w:val="TableParagraph"/>
              <w:spacing w:before="4"/>
              <w:ind w:left="45"/>
              <w:rPr>
                <w:sz w:val="20"/>
              </w:rPr>
            </w:pPr>
            <w:r>
              <w:rPr>
                <w:w w:val="99"/>
                <w:sz w:val="20"/>
              </w:rPr>
              <w:t>F</w:t>
            </w:r>
          </w:p>
        </w:tc>
      </w:tr>
    </w:tbl>
    <w:p w14:paraId="3DBC6C7F" w14:textId="77777777" w:rsidR="004210AE" w:rsidRDefault="004210AE">
      <w:pPr>
        <w:pStyle w:val="BodyText"/>
        <w:spacing w:before="11"/>
        <w:rPr>
          <w:sz w:val="21"/>
        </w:rPr>
      </w:pPr>
    </w:p>
    <w:p w14:paraId="009B11FE" w14:textId="77777777" w:rsidR="004210AE" w:rsidRDefault="00903941">
      <w:pPr>
        <w:pStyle w:val="Heading3"/>
      </w:pPr>
      <w:r>
        <w:t xml:space="preserve">Evidence-based program #4: Hire Teaching Fellows for small group instruction (includes </w:t>
      </w:r>
      <w:proofErr w:type="spellStart"/>
      <w:r>
        <w:t>SpEd</w:t>
      </w:r>
      <w:proofErr w:type="spellEnd"/>
      <w:r>
        <w:t>)</w:t>
      </w:r>
    </w:p>
    <w:p w14:paraId="580DE62F" w14:textId="77777777" w:rsidR="004210AE" w:rsidRDefault="00903941">
      <w:pPr>
        <w:pStyle w:val="BodyText"/>
        <w:ind w:left="120"/>
      </w:pPr>
      <w:r>
        <w:t>Having a strong talent pipeline is imperative to ensuring the quality of instruction does not vary across our schools and</w:t>
      </w:r>
    </w:p>
    <w:p w14:paraId="284479A9" w14:textId="09E2F893" w:rsidR="004210AE" w:rsidRDefault="004210AE">
      <w:pPr>
        <w:pStyle w:val="BodyText"/>
        <w:spacing w:before="3"/>
        <w:rPr>
          <w:sz w:val="20"/>
        </w:rPr>
      </w:pPr>
    </w:p>
    <w:p w14:paraId="65FC0C81" w14:textId="77777777" w:rsidR="004210AE" w:rsidRDefault="00903941">
      <w:pPr>
        <w:spacing w:before="60"/>
        <w:ind w:left="120" w:right="110"/>
        <w:rPr>
          <w:sz w:val="20"/>
        </w:rPr>
      </w:pPr>
      <w:r>
        <w:rPr>
          <w:rFonts w:ascii="Times New Roman"/>
          <w:position w:val="9"/>
          <w:sz w:val="16"/>
        </w:rPr>
        <w:t xml:space="preserve">1 </w:t>
      </w:r>
      <w:r>
        <w:rPr>
          <w:sz w:val="20"/>
        </w:rPr>
        <w:t>The foundation categories are: Admini</w:t>
      </w:r>
      <w:r>
        <w:rPr>
          <w:sz w:val="20"/>
        </w:rPr>
        <w:t>stration; Instructional Leadership; Classroom &amp; Specialist Teachers; Other Teaching Services; Professional Development; Instructional Materials, Equipment, and Technology; Guidance and Psychological; Pupil Services; Operations and Maintenance; Employee Ben</w:t>
      </w:r>
      <w:r>
        <w:rPr>
          <w:sz w:val="20"/>
        </w:rPr>
        <w:t>efits/Fixed Charges; and Special Education Tuition.</w:t>
      </w:r>
    </w:p>
    <w:p w14:paraId="11788EFA" w14:textId="77777777" w:rsidR="004210AE" w:rsidRDefault="004210AE">
      <w:pPr>
        <w:rPr>
          <w:sz w:val="20"/>
        </w:rPr>
        <w:sectPr w:rsidR="004210AE">
          <w:footerReference w:type="default" r:id="rId7"/>
          <w:pgSz w:w="12240" w:h="15840"/>
          <w:pgMar w:top="680" w:right="600" w:bottom="1140" w:left="600" w:header="0" w:footer="948" w:gutter="0"/>
          <w:pgNumType w:start="2"/>
          <w:cols w:space="720"/>
        </w:sectPr>
      </w:pPr>
    </w:p>
    <w:p w14:paraId="5911C5B1" w14:textId="77777777" w:rsidR="004210AE" w:rsidRDefault="00903941">
      <w:pPr>
        <w:pStyle w:val="BodyText"/>
        <w:spacing w:before="39"/>
        <w:ind w:left="100" w:right="454"/>
      </w:pPr>
      <w:r>
        <w:lastRenderedPageBreak/>
        <w:t>classrooms. Particularly in harder to staff areas such as Special Education, we have found the need to create our own internal pipeline. Our teaching fellows program trains new teachers with effective strategies for teaching our exceptional learners.</w:t>
      </w:r>
    </w:p>
    <w:p w14:paraId="19D9EBF9" w14:textId="77777777" w:rsidR="004210AE" w:rsidRDefault="004210AE">
      <w:pPr>
        <w:pStyle w:val="BodyText"/>
        <w:spacing w:before="1"/>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1706"/>
        <w:gridCol w:w="5687"/>
      </w:tblGrid>
      <w:tr w:rsidR="004210AE" w14:paraId="386D9CB4" w14:textId="77777777">
        <w:trPr>
          <w:trHeight w:hRule="exact" w:val="247"/>
        </w:trPr>
        <w:tc>
          <w:tcPr>
            <w:tcW w:w="3071" w:type="dxa"/>
            <w:shd w:val="clear" w:color="auto" w:fill="D9D9D9"/>
          </w:tcPr>
          <w:p w14:paraId="583E6CAC" w14:textId="77777777" w:rsidR="004210AE" w:rsidRDefault="00903941">
            <w:pPr>
              <w:pStyle w:val="TableParagraph"/>
              <w:spacing w:line="229" w:lineRule="exact"/>
              <w:ind w:left="100"/>
              <w:rPr>
                <w:b/>
                <w:sz w:val="20"/>
              </w:rPr>
            </w:pPr>
            <w:r>
              <w:rPr>
                <w:b/>
                <w:sz w:val="20"/>
              </w:rPr>
              <w:t>FY21</w:t>
            </w:r>
            <w:r>
              <w:rPr>
                <w:b/>
                <w:sz w:val="20"/>
              </w:rPr>
              <w:t xml:space="preserve"> budget item</w:t>
            </w:r>
          </w:p>
        </w:tc>
        <w:tc>
          <w:tcPr>
            <w:tcW w:w="1706" w:type="dxa"/>
            <w:shd w:val="clear" w:color="auto" w:fill="D9D9D9"/>
          </w:tcPr>
          <w:p w14:paraId="6DDBEBAE" w14:textId="77777777" w:rsidR="004210AE" w:rsidRDefault="00903941">
            <w:pPr>
              <w:pStyle w:val="TableParagraph"/>
              <w:spacing w:line="229" w:lineRule="exact"/>
              <w:ind w:left="103"/>
              <w:rPr>
                <w:b/>
                <w:sz w:val="20"/>
              </w:rPr>
            </w:pPr>
            <w:r>
              <w:rPr>
                <w:b/>
                <w:sz w:val="20"/>
              </w:rPr>
              <w:t>Amount</w:t>
            </w:r>
          </w:p>
        </w:tc>
        <w:tc>
          <w:tcPr>
            <w:tcW w:w="5687" w:type="dxa"/>
            <w:shd w:val="clear" w:color="auto" w:fill="D9D9D9"/>
          </w:tcPr>
          <w:p w14:paraId="28ED7350" w14:textId="77777777" w:rsidR="004210AE" w:rsidRDefault="00903941">
            <w:pPr>
              <w:pStyle w:val="TableParagraph"/>
              <w:spacing w:line="229" w:lineRule="exact"/>
              <w:ind w:left="105"/>
              <w:rPr>
                <w:b/>
                <w:sz w:val="20"/>
              </w:rPr>
            </w:pPr>
            <w:r>
              <w:rPr>
                <w:b/>
                <w:sz w:val="20"/>
              </w:rPr>
              <w:t>Foundation Category</w:t>
            </w:r>
          </w:p>
        </w:tc>
      </w:tr>
      <w:tr w:rsidR="004210AE" w14:paraId="3AACB362" w14:textId="77777777">
        <w:trPr>
          <w:trHeight w:hRule="exact" w:val="286"/>
        </w:trPr>
        <w:tc>
          <w:tcPr>
            <w:tcW w:w="3071" w:type="dxa"/>
            <w:tcBorders>
              <w:top w:val="single" w:sz="15" w:space="0" w:color="D9D9D9"/>
              <w:bottom w:val="single" w:sz="8" w:space="0" w:color="000000"/>
            </w:tcBorders>
          </w:tcPr>
          <w:p w14:paraId="60217AA8" w14:textId="77777777" w:rsidR="004210AE" w:rsidRDefault="00903941">
            <w:pPr>
              <w:pStyle w:val="TableParagraph"/>
              <w:spacing w:before="1"/>
              <w:rPr>
                <w:sz w:val="20"/>
              </w:rPr>
            </w:pPr>
            <w:r>
              <w:rPr>
                <w:sz w:val="20"/>
              </w:rPr>
              <w:t>Teaching Fellows</w:t>
            </w:r>
          </w:p>
        </w:tc>
        <w:tc>
          <w:tcPr>
            <w:tcW w:w="1706" w:type="dxa"/>
            <w:tcBorders>
              <w:top w:val="single" w:sz="15" w:space="0" w:color="D9D9D9"/>
              <w:bottom w:val="single" w:sz="8" w:space="0" w:color="000000"/>
            </w:tcBorders>
          </w:tcPr>
          <w:p w14:paraId="7F6B73FE" w14:textId="77777777" w:rsidR="004210AE" w:rsidRDefault="00903941">
            <w:pPr>
              <w:pStyle w:val="TableParagraph"/>
              <w:spacing w:before="1"/>
              <w:ind w:left="-1"/>
              <w:rPr>
                <w:sz w:val="20"/>
              </w:rPr>
            </w:pPr>
            <w:r>
              <w:rPr>
                <w:sz w:val="20"/>
              </w:rPr>
              <w:t>$240,000</w:t>
            </w:r>
          </w:p>
        </w:tc>
        <w:tc>
          <w:tcPr>
            <w:tcW w:w="5687" w:type="dxa"/>
            <w:tcBorders>
              <w:top w:val="single" w:sz="15" w:space="0" w:color="D9D9D9"/>
              <w:bottom w:val="single" w:sz="8" w:space="0" w:color="000000"/>
            </w:tcBorders>
          </w:tcPr>
          <w:p w14:paraId="584DC5DE" w14:textId="77777777" w:rsidR="004210AE" w:rsidRDefault="00903941">
            <w:pPr>
              <w:pStyle w:val="TableParagraph"/>
              <w:spacing w:before="1"/>
              <w:ind w:left="-1"/>
              <w:rPr>
                <w:sz w:val="20"/>
              </w:rPr>
            </w:pPr>
            <w:r>
              <w:rPr>
                <w:sz w:val="20"/>
              </w:rPr>
              <w:t>Classroom &amp; Specialist Teachers</w:t>
            </w:r>
          </w:p>
        </w:tc>
      </w:tr>
      <w:tr w:rsidR="004210AE" w14:paraId="102D9B97" w14:textId="77777777">
        <w:trPr>
          <w:trHeight w:hRule="exact" w:val="274"/>
        </w:trPr>
        <w:tc>
          <w:tcPr>
            <w:tcW w:w="4777" w:type="dxa"/>
            <w:gridSpan w:val="2"/>
            <w:tcBorders>
              <w:top w:val="single" w:sz="8" w:space="0" w:color="000000"/>
            </w:tcBorders>
            <w:shd w:val="clear" w:color="auto" w:fill="D9D9D9"/>
          </w:tcPr>
          <w:p w14:paraId="0E6A995C" w14:textId="77777777" w:rsidR="004210AE" w:rsidRDefault="00903941">
            <w:pPr>
              <w:pStyle w:val="TableParagraph"/>
              <w:spacing w:line="229" w:lineRule="exact"/>
              <w:ind w:left="100"/>
              <w:rPr>
                <w:b/>
                <w:sz w:val="20"/>
              </w:rPr>
            </w:pPr>
            <w:r>
              <w:rPr>
                <w:b/>
                <w:sz w:val="20"/>
              </w:rPr>
              <w:t>Evidence-based program identified by the Department:</w:t>
            </w:r>
          </w:p>
        </w:tc>
        <w:tc>
          <w:tcPr>
            <w:tcW w:w="5687" w:type="dxa"/>
            <w:tcBorders>
              <w:top w:val="single" w:sz="8" w:space="0" w:color="000000"/>
            </w:tcBorders>
          </w:tcPr>
          <w:p w14:paraId="2A8A2156" w14:textId="77777777" w:rsidR="004210AE" w:rsidRDefault="004210AE"/>
        </w:tc>
      </w:tr>
      <w:tr w:rsidR="004210AE" w14:paraId="7D6DC37B" w14:textId="77777777">
        <w:trPr>
          <w:trHeight w:hRule="exact" w:val="274"/>
        </w:trPr>
        <w:tc>
          <w:tcPr>
            <w:tcW w:w="4777" w:type="dxa"/>
            <w:gridSpan w:val="2"/>
            <w:shd w:val="clear" w:color="auto" w:fill="D9D9D9"/>
          </w:tcPr>
          <w:p w14:paraId="40B69DF0" w14:textId="77777777" w:rsidR="004210AE" w:rsidRDefault="00903941">
            <w:pPr>
              <w:pStyle w:val="TableParagraph"/>
              <w:spacing w:before="4"/>
              <w:ind w:left="100"/>
              <w:rPr>
                <w:b/>
                <w:sz w:val="20"/>
              </w:rPr>
            </w:pPr>
            <w:r>
              <w:rPr>
                <w:b/>
                <w:sz w:val="20"/>
              </w:rPr>
              <w:t>SOA program categories:</w:t>
            </w:r>
          </w:p>
        </w:tc>
        <w:tc>
          <w:tcPr>
            <w:tcW w:w="5687" w:type="dxa"/>
          </w:tcPr>
          <w:p w14:paraId="38D5CEDD" w14:textId="77777777" w:rsidR="004210AE" w:rsidRDefault="00903941">
            <w:pPr>
              <w:pStyle w:val="TableParagraph"/>
              <w:spacing w:before="4"/>
              <w:ind w:left="45"/>
              <w:rPr>
                <w:sz w:val="20"/>
              </w:rPr>
            </w:pPr>
            <w:r>
              <w:rPr>
                <w:w w:val="99"/>
                <w:sz w:val="20"/>
              </w:rPr>
              <w:t>D</w:t>
            </w:r>
          </w:p>
        </w:tc>
      </w:tr>
    </w:tbl>
    <w:p w14:paraId="76F145A8" w14:textId="77777777" w:rsidR="004210AE" w:rsidRDefault="004210AE">
      <w:pPr>
        <w:pStyle w:val="BodyText"/>
      </w:pPr>
    </w:p>
    <w:p w14:paraId="210A4787" w14:textId="77777777" w:rsidR="004210AE" w:rsidRDefault="004210AE">
      <w:pPr>
        <w:pStyle w:val="BodyText"/>
        <w:spacing w:before="1"/>
        <w:rPr>
          <w:sz w:val="28"/>
        </w:rPr>
      </w:pPr>
    </w:p>
    <w:p w14:paraId="2266C582" w14:textId="77777777" w:rsidR="004210AE" w:rsidRDefault="00903941">
      <w:pPr>
        <w:pStyle w:val="Heading1"/>
      </w:pPr>
      <w:r>
        <w:rPr>
          <w:rFonts w:ascii="Arial" w:hAnsi="Arial"/>
          <w:b w:val="0"/>
          <w:color w:val="2C74B5"/>
        </w:rPr>
        <w:t xml:space="preserve">→ </w:t>
      </w:r>
      <w:r>
        <w:rPr>
          <w:color w:val="2C74B5"/>
        </w:rPr>
        <w:t>Commitment 3: Monitoring Success with Outcome Metrics and Targets</w:t>
      </w:r>
    </w:p>
    <w:p w14:paraId="5BB3E04B" w14:textId="77777777" w:rsidR="004210AE" w:rsidRDefault="00903941">
      <w:pPr>
        <w:pStyle w:val="Heading2"/>
        <w:spacing w:before="147"/>
        <w:ind w:right="454"/>
      </w:pPr>
      <w:r>
        <w:rPr>
          <w:color w:val="1F3862"/>
        </w:rPr>
        <w:t>What metrics will your charter school use to monitor success in reducing disparities in achievement among student subgroups? Select from the list of Department metrics or provide your own.</w:t>
      </w:r>
    </w:p>
    <w:p w14:paraId="1EB095CF" w14:textId="77777777" w:rsidR="004210AE" w:rsidRDefault="00903941">
      <w:pPr>
        <w:pStyle w:val="ListParagraph"/>
        <w:numPr>
          <w:ilvl w:val="0"/>
          <w:numId w:val="1"/>
        </w:numPr>
        <w:tabs>
          <w:tab w:val="left" w:pos="542"/>
        </w:tabs>
        <w:spacing w:line="261" w:lineRule="exact"/>
        <w:ind w:hanging="242"/>
        <w:rPr>
          <w:sz w:val="21"/>
        </w:rPr>
      </w:pPr>
      <w:r>
        <w:rPr>
          <w:sz w:val="21"/>
        </w:rPr>
        <w:t>W</w:t>
      </w:r>
      <w:r>
        <w:rPr>
          <w:sz w:val="21"/>
        </w:rPr>
        <w:t>e will monitor the following</w:t>
      </w:r>
      <w:r>
        <w:rPr>
          <w:spacing w:val="-11"/>
          <w:sz w:val="21"/>
        </w:rPr>
        <w:t xml:space="preserve"> </w:t>
      </w:r>
      <w:proofErr w:type="gramStart"/>
      <w:r>
        <w:rPr>
          <w:sz w:val="21"/>
        </w:rPr>
        <w:t>metrics</w:t>
      </w:r>
      <w:proofErr w:type="gramEnd"/>
    </w:p>
    <w:p w14:paraId="776FE3A3" w14:textId="77777777" w:rsidR="004210AE" w:rsidRDefault="00903941">
      <w:pPr>
        <w:pStyle w:val="ListParagraph"/>
        <w:numPr>
          <w:ilvl w:val="1"/>
          <w:numId w:val="1"/>
        </w:numPr>
        <w:tabs>
          <w:tab w:val="left" w:pos="900"/>
        </w:tabs>
        <w:spacing w:line="293" w:lineRule="exact"/>
        <w:rPr>
          <w:sz w:val="21"/>
        </w:rPr>
      </w:pPr>
      <w:r>
        <w:rPr>
          <w:sz w:val="21"/>
        </w:rPr>
        <w:t>Assessment Data- We will monitor internal and external assessment data, disaggregated by subgroup, to</w:t>
      </w:r>
      <w:r>
        <w:rPr>
          <w:spacing w:val="-32"/>
          <w:sz w:val="21"/>
        </w:rPr>
        <w:t xml:space="preserve"> </w:t>
      </w:r>
      <w:proofErr w:type="gramStart"/>
      <w:r>
        <w:rPr>
          <w:sz w:val="21"/>
        </w:rPr>
        <w:t>assess</w:t>
      </w:r>
      <w:proofErr w:type="gramEnd"/>
    </w:p>
    <w:p w14:paraId="1A7CE252" w14:textId="77777777" w:rsidR="004210AE" w:rsidRDefault="00903941">
      <w:pPr>
        <w:ind w:left="899" w:right="265"/>
        <w:rPr>
          <w:sz w:val="21"/>
        </w:rPr>
      </w:pPr>
      <w:r>
        <w:rPr>
          <w:sz w:val="21"/>
        </w:rPr>
        <w:t>student achievement and student growth. Some of the assessments we will monitor include: MCAS (assuming they w</w:t>
      </w:r>
      <w:r>
        <w:rPr>
          <w:sz w:val="21"/>
        </w:rPr>
        <w:t>ill be taken by students in SY20-21), MAP assessments taken twice per year in 3-8th grade, STEP reading assessment for grades K-4, ACT assessment for students in 9-11. Additionally, in each MCAS aligned subject, our courses (ELA, Math, Science) assess stud</w:t>
      </w:r>
      <w:r>
        <w:rPr>
          <w:sz w:val="21"/>
        </w:rPr>
        <w:t>ents using common internal assessments that have been offered year- over-year, allowing us to track longitudinal data.</w:t>
      </w:r>
    </w:p>
    <w:p w14:paraId="4403323D" w14:textId="77777777" w:rsidR="004210AE" w:rsidRDefault="00903941">
      <w:pPr>
        <w:pStyle w:val="ListParagraph"/>
        <w:numPr>
          <w:ilvl w:val="2"/>
          <w:numId w:val="1"/>
        </w:numPr>
        <w:tabs>
          <w:tab w:val="left" w:pos="1198"/>
        </w:tabs>
        <w:rPr>
          <w:sz w:val="21"/>
        </w:rPr>
      </w:pPr>
      <w:r>
        <w:rPr>
          <w:sz w:val="21"/>
        </w:rPr>
        <w:t>All data will be disaggregated by student</w:t>
      </w:r>
      <w:r>
        <w:rPr>
          <w:spacing w:val="-17"/>
          <w:sz w:val="21"/>
        </w:rPr>
        <w:t xml:space="preserve"> </w:t>
      </w:r>
      <w:proofErr w:type="gramStart"/>
      <w:r>
        <w:rPr>
          <w:sz w:val="21"/>
        </w:rPr>
        <w:t>subgroup</w:t>
      </w:r>
      <w:proofErr w:type="gramEnd"/>
    </w:p>
    <w:p w14:paraId="49AB2ED1" w14:textId="77777777" w:rsidR="004210AE" w:rsidRDefault="00903941">
      <w:pPr>
        <w:pStyle w:val="ListParagraph"/>
        <w:numPr>
          <w:ilvl w:val="2"/>
          <w:numId w:val="1"/>
        </w:numPr>
        <w:tabs>
          <w:tab w:val="left" w:pos="1198"/>
        </w:tabs>
        <w:rPr>
          <w:sz w:val="21"/>
        </w:rPr>
      </w:pPr>
      <w:r>
        <w:rPr>
          <w:sz w:val="21"/>
        </w:rPr>
        <w:t xml:space="preserve">All data will be </w:t>
      </w:r>
      <w:proofErr w:type="gramStart"/>
      <w:r>
        <w:rPr>
          <w:sz w:val="21"/>
        </w:rPr>
        <w:t>analyze</w:t>
      </w:r>
      <w:proofErr w:type="gramEnd"/>
      <w:r>
        <w:rPr>
          <w:sz w:val="21"/>
        </w:rPr>
        <w:t xml:space="preserve"> for both student growth and</w:t>
      </w:r>
      <w:r>
        <w:rPr>
          <w:spacing w:val="-20"/>
          <w:sz w:val="21"/>
        </w:rPr>
        <w:t xml:space="preserve"> </w:t>
      </w:r>
      <w:r>
        <w:rPr>
          <w:sz w:val="21"/>
        </w:rPr>
        <w:t>achievement</w:t>
      </w:r>
    </w:p>
    <w:p w14:paraId="472FEDE7" w14:textId="77777777" w:rsidR="004210AE" w:rsidRDefault="00903941">
      <w:pPr>
        <w:pStyle w:val="ListParagraph"/>
        <w:numPr>
          <w:ilvl w:val="0"/>
          <w:numId w:val="1"/>
        </w:numPr>
        <w:tabs>
          <w:tab w:val="left" w:pos="542"/>
        </w:tabs>
        <w:spacing w:line="259" w:lineRule="exact"/>
        <w:ind w:hanging="242"/>
        <w:rPr>
          <w:sz w:val="21"/>
        </w:rPr>
      </w:pPr>
      <w:r>
        <w:rPr>
          <w:sz w:val="21"/>
        </w:rPr>
        <w:t>Attendance</w:t>
      </w:r>
      <w:r>
        <w:rPr>
          <w:spacing w:val="-5"/>
          <w:sz w:val="21"/>
        </w:rPr>
        <w:t xml:space="preserve"> </w:t>
      </w:r>
      <w:r>
        <w:rPr>
          <w:sz w:val="21"/>
        </w:rPr>
        <w:t>data</w:t>
      </w:r>
    </w:p>
    <w:p w14:paraId="14C698ED" w14:textId="77777777" w:rsidR="004210AE" w:rsidRDefault="00903941">
      <w:pPr>
        <w:pStyle w:val="ListParagraph"/>
        <w:numPr>
          <w:ilvl w:val="1"/>
          <w:numId w:val="1"/>
        </w:numPr>
        <w:tabs>
          <w:tab w:val="left" w:pos="900"/>
        </w:tabs>
        <w:spacing w:before="30" w:line="256" w:lineRule="exact"/>
        <w:ind w:right="374"/>
        <w:rPr>
          <w:sz w:val="21"/>
        </w:rPr>
      </w:pPr>
      <w:r>
        <w:rPr>
          <w:sz w:val="21"/>
        </w:rPr>
        <w:t>In conjunction with academic performance data, we will monitor student attendance data, disaggregated by subgroup</w:t>
      </w:r>
      <w:r>
        <w:rPr>
          <w:spacing w:val="-3"/>
          <w:sz w:val="21"/>
        </w:rPr>
        <w:t xml:space="preserve"> </w:t>
      </w:r>
      <w:r>
        <w:rPr>
          <w:sz w:val="21"/>
        </w:rPr>
        <w:t>to</w:t>
      </w:r>
      <w:r>
        <w:rPr>
          <w:spacing w:val="-3"/>
          <w:sz w:val="21"/>
        </w:rPr>
        <w:t xml:space="preserve"> </w:t>
      </w:r>
      <w:proofErr w:type="gramStart"/>
      <w:r>
        <w:rPr>
          <w:sz w:val="21"/>
        </w:rPr>
        <w:t>understand</w:t>
      </w:r>
      <w:proofErr w:type="gramEnd"/>
      <w:r>
        <w:rPr>
          <w:spacing w:val="-2"/>
          <w:sz w:val="21"/>
        </w:rPr>
        <w:t xml:space="preserve"> </w:t>
      </w:r>
      <w:r>
        <w:rPr>
          <w:sz w:val="21"/>
        </w:rPr>
        <w:t>and</w:t>
      </w:r>
      <w:r>
        <w:rPr>
          <w:spacing w:val="-5"/>
          <w:sz w:val="21"/>
        </w:rPr>
        <w:t xml:space="preserve"> </w:t>
      </w:r>
      <w:r>
        <w:rPr>
          <w:sz w:val="21"/>
        </w:rPr>
        <w:t>respond</w:t>
      </w:r>
      <w:r>
        <w:rPr>
          <w:spacing w:val="-5"/>
          <w:sz w:val="21"/>
        </w:rPr>
        <w:t xml:space="preserve"> </w:t>
      </w:r>
      <w:r>
        <w:rPr>
          <w:sz w:val="21"/>
        </w:rPr>
        <w:t>to</w:t>
      </w:r>
      <w:r>
        <w:rPr>
          <w:spacing w:val="-3"/>
          <w:sz w:val="21"/>
        </w:rPr>
        <w:t xml:space="preserve"> </w:t>
      </w:r>
      <w:r>
        <w:rPr>
          <w:sz w:val="21"/>
        </w:rPr>
        <w:t>students</w:t>
      </w:r>
      <w:r>
        <w:rPr>
          <w:spacing w:val="-3"/>
          <w:sz w:val="21"/>
        </w:rPr>
        <w:t xml:space="preserve"> </w:t>
      </w:r>
      <w:r>
        <w:rPr>
          <w:sz w:val="21"/>
        </w:rPr>
        <w:t>who</w:t>
      </w:r>
      <w:r>
        <w:rPr>
          <w:spacing w:val="-3"/>
          <w:sz w:val="21"/>
        </w:rPr>
        <w:t xml:space="preserve"> </w:t>
      </w:r>
      <w:r>
        <w:rPr>
          <w:sz w:val="21"/>
        </w:rPr>
        <w:t>are</w:t>
      </w:r>
      <w:r>
        <w:rPr>
          <w:spacing w:val="-2"/>
          <w:sz w:val="21"/>
        </w:rPr>
        <w:t xml:space="preserve"> </w:t>
      </w:r>
      <w:r>
        <w:rPr>
          <w:sz w:val="21"/>
        </w:rPr>
        <w:t>chronically</w:t>
      </w:r>
      <w:r>
        <w:rPr>
          <w:spacing w:val="-4"/>
          <w:sz w:val="21"/>
        </w:rPr>
        <w:t xml:space="preserve"> </w:t>
      </w:r>
      <w:r>
        <w:rPr>
          <w:sz w:val="21"/>
        </w:rPr>
        <w:t>abs</w:t>
      </w:r>
      <w:r>
        <w:rPr>
          <w:sz w:val="21"/>
        </w:rPr>
        <w:t>ent</w:t>
      </w:r>
      <w:r>
        <w:rPr>
          <w:spacing w:val="-1"/>
          <w:sz w:val="21"/>
        </w:rPr>
        <w:t xml:space="preserve"> </w:t>
      </w:r>
      <w:r>
        <w:rPr>
          <w:sz w:val="21"/>
        </w:rPr>
        <w:t>(missing</w:t>
      </w:r>
      <w:r>
        <w:rPr>
          <w:spacing w:val="-6"/>
          <w:sz w:val="21"/>
        </w:rPr>
        <w:t xml:space="preserve"> </w:t>
      </w:r>
      <w:r>
        <w:rPr>
          <w:sz w:val="21"/>
        </w:rPr>
        <w:t>10%</w:t>
      </w:r>
      <w:r>
        <w:rPr>
          <w:spacing w:val="-2"/>
          <w:sz w:val="21"/>
        </w:rPr>
        <w:t xml:space="preserve"> </w:t>
      </w:r>
      <w:r>
        <w:rPr>
          <w:sz w:val="21"/>
        </w:rPr>
        <w:t>or</w:t>
      </w:r>
      <w:r>
        <w:rPr>
          <w:spacing w:val="-2"/>
          <w:sz w:val="21"/>
        </w:rPr>
        <w:t xml:space="preserve"> </w:t>
      </w:r>
      <w:r>
        <w:rPr>
          <w:sz w:val="21"/>
        </w:rPr>
        <w:t>more</w:t>
      </w:r>
      <w:r>
        <w:rPr>
          <w:spacing w:val="-2"/>
          <w:sz w:val="21"/>
        </w:rPr>
        <w:t xml:space="preserve"> </w:t>
      </w:r>
      <w:r>
        <w:rPr>
          <w:sz w:val="21"/>
        </w:rPr>
        <w:t>school</w:t>
      </w:r>
      <w:r>
        <w:rPr>
          <w:spacing w:val="-2"/>
          <w:sz w:val="21"/>
        </w:rPr>
        <w:t xml:space="preserve"> </w:t>
      </w:r>
      <w:r>
        <w:rPr>
          <w:sz w:val="21"/>
        </w:rPr>
        <w:t>days)</w:t>
      </w:r>
      <w:r>
        <w:rPr>
          <w:spacing w:val="-4"/>
          <w:sz w:val="21"/>
        </w:rPr>
        <w:t xml:space="preserve"> </w:t>
      </w:r>
      <w:r>
        <w:rPr>
          <w:sz w:val="21"/>
        </w:rPr>
        <w:t>at regular intervals. This indicator was selected because research shows that in conjunction with a student's attendance and behavior, attendance is one of the strongest indicators of high school graduation and post- secondary</w:t>
      </w:r>
      <w:r>
        <w:rPr>
          <w:spacing w:val="-7"/>
          <w:sz w:val="21"/>
        </w:rPr>
        <w:t xml:space="preserve"> </w:t>
      </w:r>
      <w:r>
        <w:rPr>
          <w:sz w:val="21"/>
        </w:rPr>
        <w:t>success.</w:t>
      </w:r>
    </w:p>
    <w:p w14:paraId="21E5860E" w14:textId="77777777" w:rsidR="004210AE" w:rsidRDefault="00903941">
      <w:pPr>
        <w:pStyle w:val="ListParagraph"/>
        <w:numPr>
          <w:ilvl w:val="1"/>
          <w:numId w:val="1"/>
        </w:numPr>
        <w:tabs>
          <w:tab w:val="left" w:pos="900"/>
        </w:tabs>
        <w:spacing w:line="284" w:lineRule="exact"/>
        <w:rPr>
          <w:sz w:val="21"/>
        </w:rPr>
      </w:pPr>
      <w:r>
        <w:rPr>
          <w:sz w:val="21"/>
        </w:rPr>
        <w:t>At KIPP Academy Bost</w:t>
      </w:r>
      <w:r>
        <w:rPr>
          <w:sz w:val="21"/>
        </w:rPr>
        <w:t xml:space="preserve">on, </w:t>
      </w:r>
      <w:r>
        <w:rPr>
          <w:spacing w:val="-2"/>
          <w:sz w:val="21"/>
        </w:rPr>
        <w:t xml:space="preserve">our </w:t>
      </w:r>
      <w:r>
        <w:rPr>
          <w:sz w:val="21"/>
        </w:rPr>
        <w:t>goal is that 15% or fewer students are chronically absent for the school</w:t>
      </w:r>
      <w:r>
        <w:rPr>
          <w:spacing w:val="-25"/>
          <w:sz w:val="21"/>
        </w:rPr>
        <w:t xml:space="preserve"> </w:t>
      </w:r>
      <w:r>
        <w:rPr>
          <w:sz w:val="21"/>
        </w:rPr>
        <w:t>year.</w:t>
      </w:r>
    </w:p>
    <w:p w14:paraId="7D548546" w14:textId="77777777" w:rsidR="004210AE" w:rsidRDefault="004210AE">
      <w:pPr>
        <w:pStyle w:val="BodyText"/>
        <w:spacing w:before="7"/>
        <w:rPr>
          <w:sz w:val="21"/>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4141"/>
      </w:tblGrid>
      <w:tr w:rsidR="004210AE" w14:paraId="1C2A91E6" w14:textId="77777777">
        <w:trPr>
          <w:trHeight w:hRule="exact" w:val="1757"/>
        </w:trPr>
        <w:tc>
          <w:tcPr>
            <w:tcW w:w="4025" w:type="dxa"/>
          </w:tcPr>
          <w:p w14:paraId="2E89C57E" w14:textId="77777777" w:rsidR="004210AE" w:rsidRDefault="00903941">
            <w:pPr>
              <w:pStyle w:val="TableParagraph"/>
              <w:numPr>
                <w:ilvl w:val="0"/>
                <w:numId w:val="4"/>
              </w:numPr>
              <w:tabs>
                <w:tab w:val="left" w:pos="442"/>
              </w:tabs>
              <w:spacing w:line="232" w:lineRule="exact"/>
              <w:ind w:hanging="242"/>
              <w:rPr>
                <w:b/>
                <w:sz w:val="23"/>
              </w:rPr>
            </w:pPr>
            <w:r>
              <w:rPr>
                <w:b/>
                <w:sz w:val="23"/>
              </w:rPr>
              <w:t>Department outcome</w:t>
            </w:r>
            <w:r>
              <w:rPr>
                <w:b/>
                <w:spacing w:val="-15"/>
                <w:sz w:val="23"/>
              </w:rPr>
              <w:t xml:space="preserve"> </w:t>
            </w:r>
            <w:r>
              <w:rPr>
                <w:b/>
                <w:sz w:val="23"/>
              </w:rPr>
              <w:t>metrics:</w:t>
            </w:r>
          </w:p>
          <w:p w14:paraId="766A3E60" w14:textId="77777777" w:rsidR="004210AE" w:rsidRDefault="00903941">
            <w:pPr>
              <w:pStyle w:val="TableParagraph"/>
              <w:numPr>
                <w:ilvl w:val="1"/>
                <w:numId w:val="4"/>
              </w:numPr>
              <w:tabs>
                <w:tab w:val="left" w:pos="800"/>
              </w:tabs>
              <w:spacing w:line="293" w:lineRule="exact"/>
            </w:pPr>
            <w:r>
              <w:t>Student</w:t>
            </w:r>
            <w:r>
              <w:rPr>
                <w:spacing w:val="-4"/>
              </w:rPr>
              <w:t xml:space="preserve"> </w:t>
            </w:r>
            <w:r>
              <w:t>Achievement</w:t>
            </w:r>
          </w:p>
          <w:p w14:paraId="64E7CD47" w14:textId="77777777" w:rsidR="004210AE" w:rsidRDefault="00903941">
            <w:pPr>
              <w:pStyle w:val="TableParagraph"/>
              <w:numPr>
                <w:ilvl w:val="1"/>
                <w:numId w:val="4"/>
              </w:numPr>
              <w:tabs>
                <w:tab w:val="left" w:pos="800"/>
              </w:tabs>
              <w:spacing w:line="313" w:lineRule="exact"/>
            </w:pPr>
            <w:r>
              <w:t>Student</w:t>
            </w:r>
            <w:r>
              <w:rPr>
                <w:spacing w:val="-1"/>
              </w:rPr>
              <w:t xml:space="preserve"> </w:t>
            </w:r>
            <w:r>
              <w:t>Growth</w:t>
            </w:r>
          </w:p>
          <w:p w14:paraId="2BBB05EB" w14:textId="77777777" w:rsidR="004210AE" w:rsidRDefault="00903941">
            <w:pPr>
              <w:pStyle w:val="TableParagraph"/>
              <w:numPr>
                <w:ilvl w:val="1"/>
                <w:numId w:val="4"/>
              </w:numPr>
              <w:tabs>
                <w:tab w:val="left" w:pos="800"/>
              </w:tabs>
              <w:spacing w:line="315" w:lineRule="exact"/>
            </w:pPr>
            <w:r>
              <w:t>Additional</w:t>
            </w:r>
            <w:r>
              <w:rPr>
                <w:spacing w:val="-3"/>
              </w:rPr>
              <w:t xml:space="preserve"> </w:t>
            </w:r>
            <w:r>
              <w:t>Indicators</w:t>
            </w:r>
          </w:p>
        </w:tc>
        <w:tc>
          <w:tcPr>
            <w:tcW w:w="4141" w:type="dxa"/>
          </w:tcPr>
          <w:p w14:paraId="40DEDC24" w14:textId="77777777" w:rsidR="004210AE" w:rsidRDefault="00903941">
            <w:pPr>
              <w:pStyle w:val="TableParagraph"/>
              <w:numPr>
                <w:ilvl w:val="0"/>
                <w:numId w:val="3"/>
              </w:numPr>
              <w:tabs>
                <w:tab w:val="left" w:pos="449"/>
              </w:tabs>
              <w:spacing w:line="211" w:lineRule="auto"/>
              <w:ind w:right="115" w:firstLine="208"/>
              <w:rPr>
                <w:b/>
                <w:sz w:val="23"/>
              </w:rPr>
            </w:pPr>
            <w:r>
              <w:rPr>
                <w:b/>
                <w:sz w:val="23"/>
              </w:rPr>
              <w:t>Custom metrics (must include targets as</w:t>
            </w:r>
            <w:r>
              <w:rPr>
                <w:b/>
                <w:spacing w:val="-5"/>
                <w:sz w:val="23"/>
              </w:rPr>
              <w:t xml:space="preserve"> </w:t>
            </w:r>
            <w:r>
              <w:rPr>
                <w:b/>
                <w:sz w:val="23"/>
              </w:rPr>
              <w:t>well):</w:t>
            </w:r>
          </w:p>
          <w:p w14:paraId="40B02DC4" w14:textId="77777777" w:rsidR="004210AE" w:rsidRDefault="00903941">
            <w:pPr>
              <w:pStyle w:val="TableParagraph"/>
              <w:numPr>
                <w:ilvl w:val="1"/>
                <w:numId w:val="3"/>
              </w:numPr>
              <w:tabs>
                <w:tab w:val="left" w:pos="800"/>
              </w:tabs>
              <w:spacing w:line="279" w:lineRule="exact"/>
            </w:pPr>
            <w:r>
              <w:t>ELA, Math and Science</w:t>
            </w:r>
            <w:r>
              <w:rPr>
                <w:spacing w:val="-8"/>
              </w:rPr>
              <w:t xml:space="preserve"> </w:t>
            </w:r>
            <w:r>
              <w:t>Achievement</w:t>
            </w:r>
          </w:p>
          <w:p w14:paraId="41D88621" w14:textId="77777777" w:rsidR="004210AE" w:rsidRDefault="00903941">
            <w:pPr>
              <w:pStyle w:val="TableParagraph"/>
              <w:numPr>
                <w:ilvl w:val="1"/>
                <w:numId w:val="3"/>
              </w:numPr>
              <w:tabs>
                <w:tab w:val="left" w:pos="800"/>
              </w:tabs>
              <w:spacing w:line="313" w:lineRule="exact"/>
            </w:pPr>
            <w:r>
              <w:t>ELA, Math and Science</w:t>
            </w:r>
            <w:r>
              <w:rPr>
                <w:spacing w:val="-6"/>
              </w:rPr>
              <w:t xml:space="preserve"> </w:t>
            </w:r>
            <w:r>
              <w:t>Growth</w:t>
            </w:r>
          </w:p>
          <w:p w14:paraId="2A9E763B" w14:textId="77777777" w:rsidR="004210AE" w:rsidRDefault="00903941">
            <w:pPr>
              <w:pStyle w:val="TableParagraph"/>
              <w:numPr>
                <w:ilvl w:val="1"/>
                <w:numId w:val="3"/>
              </w:numPr>
              <w:tabs>
                <w:tab w:val="left" w:pos="800"/>
              </w:tabs>
              <w:spacing w:line="315" w:lineRule="exact"/>
            </w:pPr>
            <w:r>
              <w:t>Chronic</w:t>
            </w:r>
            <w:r>
              <w:rPr>
                <w:spacing w:val="-7"/>
              </w:rPr>
              <w:t xml:space="preserve"> </w:t>
            </w:r>
            <w:r>
              <w:t>Absenteeism</w:t>
            </w:r>
          </w:p>
        </w:tc>
      </w:tr>
    </w:tbl>
    <w:p w14:paraId="282BDD94" w14:textId="77777777" w:rsidR="004210AE" w:rsidRDefault="004210AE">
      <w:pPr>
        <w:pStyle w:val="BodyText"/>
        <w:rPr>
          <w:sz w:val="24"/>
        </w:rPr>
      </w:pPr>
    </w:p>
    <w:p w14:paraId="35E03302" w14:textId="77777777" w:rsidR="004210AE" w:rsidRDefault="004210AE">
      <w:pPr>
        <w:pStyle w:val="BodyText"/>
        <w:spacing w:before="5"/>
        <w:rPr>
          <w:sz w:val="31"/>
        </w:rPr>
      </w:pPr>
    </w:p>
    <w:p w14:paraId="7511AF10" w14:textId="77777777" w:rsidR="004210AE" w:rsidRDefault="00903941">
      <w:pPr>
        <w:pStyle w:val="Heading1"/>
      </w:pPr>
      <w:r>
        <w:rPr>
          <w:rFonts w:ascii="Arial" w:hAnsi="Arial"/>
          <w:b w:val="0"/>
          <w:color w:val="2C74B5"/>
        </w:rPr>
        <w:t xml:space="preserve">→ </w:t>
      </w:r>
      <w:r>
        <w:rPr>
          <w:color w:val="2C74B5"/>
        </w:rPr>
        <w:t>Commitment 4: Engaging All Families</w:t>
      </w:r>
    </w:p>
    <w:p w14:paraId="4275E2C3" w14:textId="77777777" w:rsidR="004210AE" w:rsidRDefault="00903941">
      <w:pPr>
        <w:pStyle w:val="Heading2"/>
        <w:spacing w:before="71"/>
      </w:pPr>
      <w:r>
        <w:rPr>
          <w:color w:val="1F3862"/>
        </w:rPr>
        <w:t>How will your charter school ensure that all families, particularly those representing the student subgroups most in need of support, have the opportunity to meaningfully engage with the charter school regarding their students’ needs?</w:t>
      </w:r>
    </w:p>
    <w:p w14:paraId="3F8926AF" w14:textId="77777777" w:rsidR="004210AE" w:rsidRDefault="004210AE">
      <w:pPr>
        <w:pStyle w:val="BodyText"/>
        <w:spacing w:before="11"/>
        <w:rPr>
          <w:b/>
          <w:sz w:val="20"/>
        </w:rPr>
      </w:pPr>
    </w:p>
    <w:p w14:paraId="0B9DEB3B" w14:textId="77777777" w:rsidR="004210AE" w:rsidRDefault="00903941">
      <w:pPr>
        <w:pStyle w:val="BodyText"/>
        <w:spacing w:before="1"/>
        <w:ind w:left="100"/>
      </w:pPr>
      <w:r>
        <w:t xml:space="preserve">The school provides </w:t>
      </w:r>
      <w:r>
        <w:t>specialized support for students who require accommodations based on their level of need.</w:t>
      </w:r>
    </w:p>
    <w:p w14:paraId="4456003D" w14:textId="77777777" w:rsidR="004210AE" w:rsidRDefault="00903941">
      <w:pPr>
        <w:pStyle w:val="ListParagraph"/>
        <w:numPr>
          <w:ilvl w:val="0"/>
          <w:numId w:val="2"/>
        </w:numPr>
        <w:tabs>
          <w:tab w:val="left" w:pos="821"/>
        </w:tabs>
        <w:spacing w:before="38" w:line="276" w:lineRule="auto"/>
        <w:ind w:right="289" w:hanging="360"/>
        <w:jc w:val="both"/>
      </w:pPr>
      <w:r>
        <w:t>Families of children who receive special education services or who are English Language Learners are invited to participate in SPEDPAC or ELLPAC meetings throughout t</w:t>
      </w:r>
      <w:r>
        <w:t>he year. These meetings are hosted by staff members on</w:t>
      </w:r>
      <w:r>
        <w:rPr>
          <w:spacing w:val="-3"/>
        </w:rPr>
        <w:t xml:space="preserve"> </w:t>
      </w:r>
      <w:r>
        <w:t>the</w:t>
      </w:r>
      <w:r>
        <w:rPr>
          <w:spacing w:val="-4"/>
        </w:rPr>
        <w:t xml:space="preserve"> </w:t>
      </w:r>
      <w:r>
        <w:t>Student</w:t>
      </w:r>
      <w:r>
        <w:rPr>
          <w:spacing w:val="-3"/>
        </w:rPr>
        <w:t xml:space="preserve"> </w:t>
      </w:r>
      <w:r>
        <w:t>Support</w:t>
      </w:r>
      <w:r>
        <w:rPr>
          <w:spacing w:val="-2"/>
        </w:rPr>
        <w:t xml:space="preserve"> </w:t>
      </w:r>
      <w:r>
        <w:t>Services</w:t>
      </w:r>
      <w:r>
        <w:rPr>
          <w:spacing w:val="-4"/>
        </w:rPr>
        <w:t xml:space="preserve"> </w:t>
      </w:r>
      <w:r>
        <w:t>Team</w:t>
      </w:r>
      <w:r>
        <w:rPr>
          <w:spacing w:val="-3"/>
        </w:rPr>
        <w:t xml:space="preserve"> </w:t>
      </w:r>
      <w:r>
        <w:t>and</w:t>
      </w:r>
      <w:r>
        <w:rPr>
          <w:spacing w:val="-3"/>
        </w:rPr>
        <w:t xml:space="preserve"> </w:t>
      </w:r>
      <w:r>
        <w:t>provide</w:t>
      </w:r>
      <w:r>
        <w:rPr>
          <w:spacing w:val="-2"/>
        </w:rPr>
        <w:t xml:space="preserve"> </w:t>
      </w:r>
      <w:r>
        <w:t>a</w:t>
      </w:r>
      <w:r>
        <w:rPr>
          <w:spacing w:val="-4"/>
        </w:rPr>
        <w:t xml:space="preserve"> </w:t>
      </w:r>
      <w:r>
        <w:t>space</w:t>
      </w:r>
      <w:r>
        <w:rPr>
          <w:spacing w:val="-2"/>
        </w:rPr>
        <w:t xml:space="preserve"> </w:t>
      </w:r>
      <w:r>
        <w:t>for</w:t>
      </w:r>
      <w:r>
        <w:rPr>
          <w:spacing w:val="-2"/>
        </w:rPr>
        <w:t xml:space="preserve"> </w:t>
      </w:r>
      <w:r>
        <w:t>families</w:t>
      </w:r>
      <w:r>
        <w:rPr>
          <w:spacing w:val="-4"/>
        </w:rPr>
        <w:t xml:space="preserve"> </w:t>
      </w:r>
      <w:r>
        <w:t>to</w:t>
      </w:r>
      <w:r>
        <w:rPr>
          <w:spacing w:val="-3"/>
        </w:rPr>
        <w:t xml:space="preserve"> </w:t>
      </w:r>
      <w:r>
        <w:t>a)</w:t>
      </w:r>
      <w:r>
        <w:rPr>
          <w:spacing w:val="-1"/>
        </w:rPr>
        <w:t xml:space="preserve"> </w:t>
      </w:r>
      <w:r>
        <w:t>connect</w:t>
      </w:r>
      <w:r>
        <w:rPr>
          <w:spacing w:val="-3"/>
        </w:rPr>
        <w:t xml:space="preserve"> </w:t>
      </w:r>
      <w:r>
        <w:t>with</w:t>
      </w:r>
      <w:r>
        <w:rPr>
          <w:spacing w:val="-2"/>
        </w:rPr>
        <w:t xml:space="preserve"> </w:t>
      </w:r>
      <w:r>
        <w:t>each</w:t>
      </w:r>
      <w:r>
        <w:rPr>
          <w:spacing w:val="-2"/>
        </w:rPr>
        <w:t xml:space="preserve"> </w:t>
      </w:r>
      <w:r>
        <w:t>other;</w:t>
      </w:r>
      <w:r>
        <w:rPr>
          <w:spacing w:val="-2"/>
        </w:rPr>
        <w:t xml:space="preserve"> </w:t>
      </w:r>
      <w:r>
        <w:t>b)</w:t>
      </w:r>
      <w:r>
        <w:rPr>
          <w:spacing w:val="-2"/>
        </w:rPr>
        <w:t xml:space="preserve"> </w:t>
      </w:r>
      <w:proofErr w:type="gramStart"/>
      <w:r>
        <w:t>learn</w:t>
      </w:r>
      <w:proofErr w:type="gramEnd"/>
    </w:p>
    <w:p w14:paraId="3253FAC7" w14:textId="77777777" w:rsidR="004210AE" w:rsidRDefault="004210AE">
      <w:pPr>
        <w:spacing w:line="276" w:lineRule="auto"/>
        <w:jc w:val="both"/>
        <w:sectPr w:rsidR="004210AE">
          <w:pgSz w:w="12240" w:h="15840"/>
          <w:pgMar w:top="680" w:right="600" w:bottom="1160" w:left="620" w:header="0" w:footer="948" w:gutter="0"/>
          <w:cols w:space="720"/>
        </w:sectPr>
      </w:pPr>
    </w:p>
    <w:p w14:paraId="5AC87D3B" w14:textId="77777777" w:rsidR="004210AE" w:rsidRDefault="00903941">
      <w:pPr>
        <w:pStyle w:val="BodyText"/>
        <w:spacing w:before="39" w:line="276" w:lineRule="auto"/>
        <w:ind w:left="820" w:right="947"/>
      </w:pPr>
      <w:r>
        <w:lastRenderedPageBreak/>
        <w:t>about the programming and staffing available for their child; c) learn about the</w:t>
      </w:r>
      <w:r>
        <w:t>ir rights and the school’s responsibilities toward their child’s learning.</w:t>
      </w:r>
    </w:p>
    <w:p w14:paraId="58793193" w14:textId="77777777" w:rsidR="004210AE" w:rsidRDefault="00903941">
      <w:pPr>
        <w:pStyle w:val="ListParagraph"/>
        <w:numPr>
          <w:ilvl w:val="0"/>
          <w:numId w:val="2"/>
        </w:numPr>
        <w:tabs>
          <w:tab w:val="left" w:pos="820"/>
          <w:tab w:val="left" w:pos="821"/>
        </w:tabs>
        <w:spacing w:line="276" w:lineRule="auto"/>
        <w:ind w:right="432" w:hanging="360"/>
      </w:pPr>
      <w:r>
        <w:t>The school has social emotional counselors who work directly with students who have high need academic</w:t>
      </w:r>
      <w:r>
        <w:rPr>
          <w:spacing w:val="-31"/>
        </w:rPr>
        <w:t xml:space="preserve"> </w:t>
      </w:r>
      <w:r>
        <w:t>or family situations. The counselors provide resources to families and relay i</w:t>
      </w:r>
      <w:r>
        <w:t>nformation to school staff so that adults are aligned on targeted</w:t>
      </w:r>
      <w:r>
        <w:rPr>
          <w:spacing w:val="-12"/>
        </w:rPr>
        <w:t xml:space="preserve"> </w:t>
      </w:r>
      <w:r>
        <w:t>accommodations.</w:t>
      </w:r>
    </w:p>
    <w:p w14:paraId="3C6FB8E2" w14:textId="77777777" w:rsidR="004210AE" w:rsidRDefault="00903941">
      <w:pPr>
        <w:pStyle w:val="ListParagraph"/>
        <w:numPr>
          <w:ilvl w:val="0"/>
          <w:numId w:val="2"/>
        </w:numPr>
        <w:tabs>
          <w:tab w:val="left" w:pos="820"/>
          <w:tab w:val="left" w:pos="821"/>
        </w:tabs>
        <w:spacing w:line="276" w:lineRule="auto"/>
        <w:ind w:right="697" w:hanging="360"/>
      </w:pPr>
      <w:r>
        <w:t>School updates from regional leaders and school leaders are frequently shared with families in English and Spanish (other languages available upon request) via email and text</w:t>
      </w:r>
      <w:r>
        <w:rPr>
          <w:spacing w:val="-18"/>
        </w:rPr>
        <w:t xml:space="preserve"> </w:t>
      </w:r>
      <w:r>
        <w:t>message.</w:t>
      </w:r>
    </w:p>
    <w:p w14:paraId="25147FD5" w14:textId="77777777" w:rsidR="004210AE" w:rsidRDefault="00903941">
      <w:pPr>
        <w:pStyle w:val="ListParagraph"/>
        <w:numPr>
          <w:ilvl w:val="0"/>
          <w:numId w:val="2"/>
        </w:numPr>
        <w:tabs>
          <w:tab w:val="left" w:pos="820"/>
          <w:tab w:val="left" w:pos="821"/>
        </w:tabs>
        <w:spacing w:line="273" w:lineRule="auto"/>
        <w:ind w:right="398" w:hanging="360"/>
      </w:pPr>
      <w:r>
        <w:t>School leaders host regular</w:t>
      </w:r>
      <w:r>
        <w:rPr>
          <w:spacing w:val="-35"/>
        </w:rPr>
        <w:t xml:space="preserve"> </w:t>
      </w:r>
      <w:r>
        <w:t>Town Hall meetings (live sessions held in person or via video) to communicate key messages and provide an opportunity for families to ask questions and provide input into</w:t>
      </w:r>
      <w:r>
        <w:rPr>
          <w:spacing w:val="-31"/>
        </w:rPr>
        <w:t xml:space="preserve"> </w:t>
      </w:r>
      <w:proofErr w:type="gramStart"/>
      <w:r>
        <w:t>decisions</w:t>
      </w:r>
      <w:proofErr w:type="gramEnd"/>
    </w:p>
    <w:p w14:paraId="1E78DE08" w14:textId="77777777" w:rsidR="004210AE" w:rsidRDefault="00903941">
      <w:pPr>
        <w:pStyle w:val="ListParagraph"/>
        <w:numPr>
          <w:ilvl w:val="0"/>
          <w:numId w:val="2"/>
        </w:numPr>
        <w:tabs>
          <w:tab w:val="left" w:pos="821"/>
        </w:tabs>
        <w:spacing w:before="3" w:line="276" w:lineRule="auto"/>
        <w:ind w:right="241" w:hanging="360"/>
        <w:jc w:val="both"/>
      </w:pPr>
      <w:r>
        <w:t>Through the adoption of remote learni</w:t>
      </w:r>
      <w:r>
        <w:t xml:space="preserve">ng through the Canvas platform, families will access the remote learning materials that their child engages </w:t>
      </w:r>
      <w:proofErr w:type="gramStart"/>
      <w:r>
        <w:t>in, and</w:t>
      </w:r>
      <w:proofErr w:type="gramEnd"/>
      <w:r>
        <w:t xml:space="preserve"> will receive training on the program so that they can track their</w:t>
      </w:r>
      <w:r>
        <w:rPr>
          <w:spacing w:val="-31"/>
        </w:rPr>
        <w:t xml:space="preserve"> </w:t>
      </w:r>
      <w:r>
        <w:t>child’s learning, join remote classes, and review material as it is assigned, graded, and</w:t>
      </w:r>
      <w:r>
        <w:rPr>
          <w:spacing w:val="-20"/>
        </w:rPr>
        <w:t xml:space="preserve"> </w:t>
      </w:r>
      <w:r>
        <w:t>returned.</w:t>
      </w:r>
    </w:p>
    <w:p w14:paraId="1DEA8F9B" w14:textId="77777777" w:rsidR="004210AE" w:rsidRDefault="00903941">
      <w:pPr>
        <w:pStyle w:val="BodyText"/>
        <w:spacing w:line="267" w:lineRule="exact"/>
        <w:ind w:left="100"/>
      </w:pPr>
      <w:r>
        <w:t>Families may bring their questions to teachers and school leaders through a variety of methods.</w:t>
      </w:r>
    </w:p>
    <w:p w14:paraId="4A93F7B6" w14:textId="77777777" w:rsidR="004210AE" w:rsidRDefault="00903941">
      <w:pPr>
        <w:pStyle w:val="ListParagraph"/>
        <w:numPr>
          <w:ilvl w:val="0"/>
          <w:numId w:val="2"/>
        </w:numPr>
        <w:tabs>
          <w:tab w:val="left" w:pos="820"/>
          <w:tab w:val="left" w:pos="821"/>
        </w:tabs>
        <w:spacing w:before="41" w:line="278" w:lineRule="auto"/>
        <w:ind w:right="481" w:hanging="360"/>
      </w:pPr>
      <w:r>
        <w:t>All families are provided with their child’s teacher and principal contact information. They may</w:t>
      </w:r>
      <w:r>
        <w:rPr>
          <w:spacing w:val="-26"/>
        </w:rPr>
        <w:t xml:space="preserve"> </w:t>
      </w:r>
      <w:r>
        <w:t>communicate directly with their child’s teacher or principal th</w:t>
      </w:r>
      <w:r>
        <w:t>rough a phone call or</w:t>
      </w:r>
      <w:r>
        <w:rPr>
          <w:spacing w:val="-11"/>
        </w:rPr>
        <w:t xml:space="preserve"> </w:t>
      </w:r>
      <w:r>
        <w:t>email.</w:t>
      </w:r>
    </w:p>
    <w:p w14:paraId="2992E91F" w14:textId="77777777" w:rsidR="004210AE" w:rsidRDefault="00903941">
      <w:pPr>
        <w:pStyle w:val="ListParagraph"/>
        <w:numPr>
          <w:ilvl w:val="0"/>
          <w:numId w:val="2"/>
        </w:numPr>
        <w:tabs>
          <w:tab w:val="left" w:pos="820"/>
          <w:tab w:val="left" w:pos="821"/>
        </w:tabs>
        <w:spacing w:line="276" w:lineRule="auto"/>
        <w:ind w:right="131" w:hanging="360"/>
      </w:pPr>
      <w:r>
        <w:t xml:space="preserve">Each school has parent/guardian leaders who serve on the school’s family council (FAKT, or Families and </w:t>
      </w:r>
      <w:proofErr w:type="spellStart"/>
      <w:r>
        <w:t>KIPPsters</w:t>
      </w:r>
      <w:proofErr w:type="spellEnd"/>
      <w:r>
        <w:t xml:space="preserve"> Together) and serve as a bridge between families who want to speak with a parent with a question or concern that </w:t>
      </w:r>
      <w:r>
        <w:t>they have about their child. The FAKT leaders communicate directly with school staff to ensure</w:t>
      </w:r>
      <w:r>
        <w:rPr>
          <w:spacing w:val="-32"/>
        </w:rPr>
        <w:t xml:space="preserve"> </w:t>
      </w:r>
      <w:proofErr w:type="gramStart"/>
      <w:r>
        <w:t>that</w:t>
      </w:r>
      <w:proofErr w:type="gramEnd"/>
    </w:p>
    <w:p w14:paraId="0406023D" w14:textId="77777777" w:rsidR="004210AE" w:rsidRDefault="00903941">
      <w:pPr>
        <w:pStyle w:val="ListParagraph"/>
        <w:numPr>
          <w:ilvl w:val="0"/>
          <w:numId w:val="2"/>
        </w:numPr>
        <w:tabs>
          <w:tab w:val="left" w:pos="820"/>
          <w:tab w:val="left" w:pos="821"/>
        </w:tabs>
        <w:spacing w:before="4" w:line="267" w:lineRule="exact"/>
        <w:ind w:hanging="360"/>
      </w:pPr>
      <w:r>
        <w:t xml:space="preserve">Families are invited to send general inquiries to </w:t>
      </w:r>
      <w:hyperlink r:id="rId8">
        <w:r>
          <w:rPr>
            <w:color w:val="1154CC"/>
            <w:u w:val="single" w:color="1154CC"/>
          </w:rPr>
          <w:t xml:space="preserve">info@kippma.org </w:t>
        </w:r>
      </w:hyperlink>
      <w:r>
        <w:t>to ask about school and community</w:t>
      </w:r>
      <w:r>
        <w:rPr>
          <w:spacing w:val="-28"/>
        </w:rPr>
        <w:t xml:space="preserve"> </w:t>
      </w:r>
      <w:proofErr w:type="gramStart"/>
      <w:r>
        <w:t>resources</w:t>
      </w:r>
      <w:proofErr w:type="gramEnd"/>
    </w:p>
    <w:p w14:paraId="75908592" w14:textId="77777777" w:rsidR="004210AE" w:rsidRDefault="00903941">
      <w:pPr>
        <w:pStyle w:val="BodyText"/>
        <w:spacing w:before="40"/>
        <w:ind w:left="820"/>
      </w:pPr>
      <w:r>
        <w:t>that</w:t>
      </w:r>
      <w:r>
        <w:t xml:space="preserve"> would benefit their child’s learning situation.</w:t>
      </w:r>
    </w:p>
    <w:p w14:paraId="446120B5" w14:textId="77777777" w:rsidR="004210AE" w:rsidRDefault="00903941">
      <w:pPr>
        <w:pStyle w:val="BodyText"/>
        <w:spacing w:before="40"/>
        <w:ind w:left="100" w:right="180"/>
      </w:pPr>
      <w:r>
        <w:t>The school sends an annual Healthy Schools and Regions survey that includes a section of questions on family engagement. The survey includes questions such as: “How comfortable do you feel talking with teach</w:t>
      </w:r>
      <w:r>
        <w:t>ers at your child’s school?”, “The school communicates with families openly and respectfully?”, “I am well informed about how my child is doing in school.” The school will measure increases in family engagement based on the same metrics included in the 202</w:t>
      </w:r>
      <w:r>
        <w:t>0 Accountability Plan, that the average score for the questions related to family engagement will be at least 75% agree or strongly agree, with a 50% response rate from families.</w:t>
      </w:r>
    </w:p>
    <w:p w14:paraId="5D30A488" w14:textId="77777777" w:rsidR="004210AE" w:rsidRDefault="004210AE">
      <w:pPr>
        <w:pStyle w:val="BodyText"/>
      </w:pPr>
    </w:p>
    <w:p w14:paraId="2E24DB03" w14:textId="77777777" w:rsidR="004210AE" w:rsidRDefault="004210AE">
      <w:pPr>
        <w:pStyle w:val="BodyText"/>
        <w:spacing w:before="1"/>
      </w:pPr>
    </w:p>
    <w:p w14:paraId="56F2C141" w14:textId="77777777" w:rsidR="004210AE" w:rsidRDefault="00903941">
      <w:pPr>
        <w:pStyle w:val="Heading1"/>
      </w:pPr>
      <w:r>
        <w:rPr>
          <w:color w:val="2C74B5"/>
        </w:rPr>
        <w:t>Certifications:</w:t>
      </w:r>
    </w:p>
    <w:p w14:paraId="39ECB92C" w14:textId="77777777" w:rsidR="004210AE" w:rsidRDefault="00903941">
      <w:pPr>
        <w:pStyle w:val="Heading3"/>
        <w:spacing w:before="78" w:line="242" w:lineRule="auto"/>
        <w:ind w:left="207" w:right="454"/>
      </w:pPr>
      <w:r>
        <w:rPr>
          <w:rFonts w:ascii="MS Gothic" w:hAnsi="MS Gothic"/>
          <w:color w:val="1F3862"/>
        </w:rPr>
        <w:t>☒</w:t>
      </w:r>
      <w:r>
        <w:rPr>
          <w:rFonts w:ascii="MS Gothic" w:hAnsi="MS Gothic"/>
          <w:color w:val="1F3862"/>
          <w:spacing w:val="-63"/>
        </w:rPr>
        <w:t xml:space="preserve"> </w:t>
      </w:r>
      <w:r>
        <w:rPr>
          <w:color w:val="1F3862"/>
        </w:rPr>
        <w:t>By checking here, I certify that our charter school has e</w:t>
      </w:r>
      <w:r>
        <w:rPr>
          <w:color w:val="1F3862"/>
        </w:rPr>
        <w:t>ngaged stakeholders in our community in accordance with the Student Opportunity Act</w:t>
      </w:r>
    </w:p>
    <w:p w14:paraId="4988AFAA" w14:textId="77777777" w:rsidR="004210AE" w:rsidRDefault="00903941">
      <w:pPr>
        <w:spacing w:before="191"/>
        <w:ind w:left="207"/>
        <w:rPr>
          <w:b/>
        </w:rPr>
      </w:pPr>
      <w:r>
        <w:rPr>
          <w:b/>
          <w:color w:val="1F3862"/>
        </w:rPr>
        <w:t>Please summarize your stakeholder engagement process, including specific groups that were engaged:</w:t>
      </w:r>
    </w:p>
    <w:p w14:paraId="1BC7EF11" w14:textId="77777777" w:rsidR="004210AE" w:rsidRDefault="00903941">
      <w:pPr>
        <w:pStyle w:val="BodyText"/>
        <w:spacing w:before="74"/>
        <w:ind w:left="207" w:right="180"/>
      </w:pPr>
      <w:r>
        <w:t>The Executive Director (with the support of the Leadership Team) presente</w:t>
      </w:r>
      <w:r>
        <w:t>d the context and initial plans re: Student Opportunity Act during in-person meetings with staff, families, and board members over the course of early spring 2020. Families were engaged via family council meetings, staff were informed during professional d</w:t>
      </w:r>
      <w:r>
        <w:t>evelopment sessions, and the board was engaged during a board meeting. During each of the meetings, participants were provided background information about the Student Opportunity Act, discussed the potential impact on school and student programming, and a</w:t>
      </w:r>
      <w:r>
        <w:t>sked questions.</w:t>
      </w:r>
    </w:p>
    <w:p w14:paraId="602B1EA3" w14:textId="77777777" w:rsidR="004210AE" w:rsidRDefault="004210AE">
      <w:pPr>
        <w:pStyle w:val="BodyText"/>
      </w:pPr>
    </w:p>
    <w:p w14:paraId="71434DA5" w14:textId="77777777" w:rsidR="004210AE" w:rsidRDefault="004210AE">
      <w:pPr>
        <w:pStyle w:val="BodyText"/>
        <w:spacing w:before="8"/>
        <w:rPr>
          <w:sz w:val="18"/>
        </w:rPr>
      </w:pPr>
    </w:p>
    <w:p w14:paraId="3E06AB80" w14:textId="77777777" w:rsidR="004210AE" w:rsidRDefault="00903941">
      <w:pPr>
        <w:pStyle w:val="Heading3"/>
        <w:spacing w:before="1" w:line="242" w:lineRule="auto"/>
        <w:ind w:left="100"/>
      </w:pPr>
      <w:r>
        <w:rPr>
          <w:rFonts w:ascii="MS Gothic" w:hAnsi="MS Gothic"/>
          <w:color w:val="1F3862"/>
        </w:rPr>
        <w:t>☒</w:t>
      </w:r>
      <w:r>
        <w:rPr>
          <w:rFonts w:ascii="MS Gothic" w:hAnsi="MS Gothic"/>
          <w:color w:val="1F3862"/>
          <w:spacing w:val="-62"/>
        </w:rPr>
        <w:t xml:space="preserve"> </w:t>
      </w:r>
      <w:r>
        <w:rPr>
          <w:color w:val="1F3862"/>
        </w:rPr>
        <w:t>By checking here, I certify that the KIPP Academy Boston Charter School Board of Trustees voted on our Student Opportunity Act Plan.</w:t>
      </w:r>
    </w:p>
    <w:p w14:paraId="20EE3162" w14:textId="77777777" w:rsidR="004210AE" w:rsidRDefault="00903941">
      <w:pPr>
        <w:tabs>
          <w:tab w:val="left" w:pos="2159"/>
          <w:tab w:val="left" w:pos="4932"/>
          <w:tab w:val="left" w:pos="7092"/>
        </w:tabs>
        <w:spacing w:before="144"/>
        <w:ind w:right="1167"/>
        <w:jc w:val="center"/>
        <w:rPr>
          <w:b/>
        </w:rPr>
      </w:pPr>
      <w:r>
        <w:rPr>
          <w:b/>
          <w:color w:val="1F3862"/>
        </w:rPr>
        <w:t>Date of vote:</w:t>
      </w:r>
      <w:r>
        <w:rPr>
          <w:b/>
          <w:color w:val="1F3862"/>
        </w:rPr>
        <w:tab/>
        <w:t>07-29-2020</w:t>
      </w:r>
      <w:r>
        <w:rPr>
          <w:b/>
          <w:color w:val="1F3862"/>
        </w:rPr>
        <w:tab/>
        <w:t>Outcome</w:t>
      </w:r>
      <w:r>
        <w:rPr>
          <w:b/>
          <w:color w:val="1F3862"/>
          <w:spacing w:val="-1"/>
        </w:rPr>
        <w:t xml:space="preserve"> </w:t>
      </w:r>
      <w:r>
        <w:rPr>
          <w:b/>
          <w:color w:val="1F3862"/>
        </w:rPr>
        <w:t>of</w:t>
      </w:r>
      <w:r>
        <w:rPr>
          <w:b/>
          <w:color w:val="1F3862"/>
          <w:spacing w:val="-3"/>
        </w:rPr>
        <w:t xml:space="preserve"> </w:t>
      </w:r>
      <w:r>
        <w:rPr>
          <w:b/>
          <w:color w:val="1F3862"/>
        </w:rPr>
        <w:t>vote:</w:t>
      </w:r>
      <w:r>
        <w:rPr>
          <w:b/>
          <w:color w:val="1F3862"/>
        </w:rPr>
        <w:tab/>
        <w:t>Approved</w:t>
      </w:r>
    </w:p>
    <w:sectPr w:rsidR="004210AE">
      <w:pgSz w:w="12240" w:h="15840"/>
      <w:pgMar w:top="680" w:right="600" w:bottom="1160" w:left="62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EA04" w14:textId="77777777" w:rsidR="00903941" w:rsidRDefault="00903941">
      <w:r>
        <w:separator/>
      </w:r>
    </w:p>
  </w:endnote>
  <w:endnote w:type="continuationSeparator" w:id="0">
    <w:p w14:paraId="7B1F961F" w14:textId="77777777" w:rsidR="00903941" w:rsidRDefault="0090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0602" w14:textId="39277482" w:rsidR="004210AE" w:rsidRDefault="00CA4C4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15C338" wp14:editId="6366C7C9">
              <wp:simplePos x="0" y="0"/>
              <wp:positionH relativeFrom="page">
                <wp:posOffset>7226935</wp:posOffset>
              </wp:positionH>
              <wp:positionV relativeFrom="page">
                <wp:posOffset>9305925</wp:posOffset>
              </wp:positionV>
              <wp:extent cx="114935" cy="152400"/>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23F2" w14:textId="77777777" w:rsidR="004210AE" w:rsidRDefault="00903941">
                          <w:pPr>
                            <w:spacing w:line="223" w:lineRule="exact"/>
                            <w:ind w:left="40"/>
                            <w:rPr>
                              <w:i/>
                              <w:sz w:val="20"/>
                            </w:rPr>
                          </w:pPr>
                          <w:r>
                            <w:fldChar w:fldCharType="begin"/>
                          </w:r>
                          <w:r>
                            <w:rPr>
                              <w:i/>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C338" id="_x0000_t202" coordsize="21600,21600" o:spt="202" path="m,l,21600r21600,l21600,xe">
              <v:stroke joinstyle="miter"/>
              <v:path gradientshapeok="t" o:connecttype="rect"/>
            </v:shapetype>
            <v:shape id="Text Box 1" o:spid="_x0000_s1026" type="#_x0000_t202" alt="&quot;&quot;" style="position:absolute;margin-left:569.05pt;margin-top:732.75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" filled="f" stroked="f">
              <v:textbox inset="0,0,0,0">
                <w:txbxContent>
                  <w:p w14:paraId="46EF23F2" w14:textId="77777777" w:rsidR="004210AE" w:rsidRDefault="00903941">
                    <w:pPr>
                      <w:spacing w:line="223" w:lineRule="exact"/>
                      <w:ind w:left="40"/>
                      <w:rPr>
                        <w:i/>
                        <w:sz w:val="20"/>
                      </w:rPr>
                    </w:pPr>
                    <w:r>
                      <w:fldChar w:fldCharType="begin"/>
                    </w:r>
                    <w:r>
                      <w:rPr>
                        <w:i/>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1BEBB" w14:textId="77777777" w:rsidR="00903941" w:rsidRDefault="00903941">
      <w:r>
        <w:separator/>
      </w:r>
    </w:p>
  </w:footnote>
  <w:footnote w:type="continuationSeparator" w:id="0">
    <w:p w14:paraId="3BCC566F" w14:textId="77777777" w:rsidR="00903941" w:rsidRDefault="0090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40A2B"/>
    <w:multiLevelType w:val="hybridMultilevel"/>
    <w:tmpl w:val="9B7C6470"/>
    <w:lvl w:ilvl="0" w:tplc="B2ACF0B8">
      <w:start w:val="2"/>
      <w:numFmt w:val="decimal"/>
      <w:lvlText w:val="%1)"/>
      <w:lvlJc w:val="left"/>
      <w:pPr>
        <w:ind w:left="0" w:hanging="240"/>
        <w:jc w:val="left"/>
      </w:pPr>
      <w:rPr>
        <w:rFonts w:ascii="Calibri" w:eastAsia="Calibri" w:hAnsi="Calibri" w:cs="Calibri" w:hint="default"/>
        <w:b/>
        <w:bCs/>
        <w:w w:val="100"/>
        <w:sz w:val="23"/>
        <w:szCs w:val="23"/>
      </w:rPr>
    </w:lvl>
    <w:lvl w:ilvl="1" w:tplc="669E388C">
      <w:numFmt w:val="bullet"/>
      <w:lvlText w:val="✓"/>
      <w:lvlJc w:val="left"/>
      <w:pPr>
        <w:ind w:left="799" w:hanging="269"/>
      </w:pPr>
      <w:rPr>
        <w:rFonts w:ascii="MS UI Gothic" w:eastAsia="MS UI Gothic" w:hAnsi="MS UI Gothic" w:cs="MS UI Gothic" w:hint="default"/>
        <w:w w:val="100"/>
        <w:sz w:val="22"/>
        <w:szCs w:val="22"/>
      </w:rPr>
    </w:lvl>
    <w:lvl w:ilvl="2" w:tplc="CB7E4368">
      <w:numFmt w:val="bullet"/>
      <w:lvlText w:val="•"/>
      <w:lvlJc w:val="left"/>
      <w:pPr>
        <w:ind w:left="1170" w:hanging="269"/>
      </w:pPr>
      <w:rPr>
        <w:rFonts w:hint="default"/>
      </w:rPr>
    </w:lvl>
    <w:lvl w:ilvl="3" w:tplc="5A22544E">
      <w:numFmt w:val="bullet"/>
      <w:lvlText w:val="•"/>
      <w:lvlJc w:val="left"/>
      <w:pPr>
        <w:ind w:left="1540" w:hanging="269"/>
      </w:pPr>
      <w:rPr>
        <w:rFonts w:hint="default"/>
      </w:rPr>
    </w:lvl>
    <w:lvl w:ilvl="4" w:tplc="86420B88">
      <w:numFmt w:val="bullet"/>
      <w:lvlText w:val="•"/>
      <w:lvlJc w:val="left"/>
      <w:pPr>
        <w:ind w:left="1910" w:hanging="269"/>
      </w:pPr>
      <w:rPr>
        <w:rFonts w:hint="default"/>
      </w:rPr>
    </w:lvl>
    <w:lvl w:ilvl="5" w:tplc="B91C0424">
      <w:numFmt w:val="bullet"/>
      <w:lvlText w:val="•"/>
      <w:lvlJc w:val="left"/>
      <w:pPr>
        <w:ind w:left="2280" w:hanging="269"/>
      </w:pPr>
      <w:rPr>
        <w:rFonts w:hint="default"/>
      </w:rPr>
    </w:lvl>
    <w:lvl w:ilvl="6" w:tplc="21A2A1A4">
      <w:numFmt w:val="bullet"/>
      <w:lvlText w:val="•"/>
      <w:lvlJc w:val="left"/>
      <w:pPr>
        <w:ind w:left="2650" w:hanging="269"/>
      </w:pPr>
      <w:rPr>
        <w:rFonts w:hint="default"/>
      </w:rPr>
    </w:lvl>
    <w:lvl w:ilvl="7" w:tplc="96C6B402">
      <w:numFmt w:val="bullet"/>
      <w:lvlText w:val="•"/>
      <w:lvlJc w:val="left"/>
      <w:pPr>
        <w:ind w:left="3020" w:hanging="269"/>
      </w:pPr>
      <w:rPr>
        <w:rFonts w:hint="default"/>
      </w:rPr>
    </w:lvl>
    <w:lvl w:ilvl="8" w:tplc="4C12BD26">
      <w:numFmt w:val="bullet"/>
      <w:lvlText w:val="•"/>
      <w:lvlJc w:val="left"/>
      <w:pPr>
        <w:ind w:left="3391" w:hanging="269"/>
      </w:pPr>
      <w:rPr>
        <w:rFonts w:hint="default"/>
      </w:rPr>
    </w:lvl>
  </w:abstractNum>
  <w:abstractNum w:abstractNumId="1" w15:restartNumberingAfterBreak="0">
    <w:nsid w:val="31135E45"/>
    <w:multiLevelType w:val="hybridMultilevel"/>
    <w:tmpl w:val="82CE819C"/>
    <w:lvl w:ilvl="0" w:tplc="9E3AA1B8">
      <w:numFmt w:val="bullet"/>
      <w:lvlText w:val="●"/>
      <w:lvlJc w:val="left"/>
      <w:pPr>
        <w:ind w:left="820" w:hanging="361"/>
      </w:pPr>
      <w:rPr>
        <w:rFonts w:ascii="Calibri" w:eastAsia="Calibri" w:hAnsi="Calibri" w:cs="Calibri" w:hint="default"/>
        <w:w w:val="100"/>
        <w:sz w:val="22"/>
        <w:szCs w:val="22"/>
      </w:rPr>
    </w:lvl>
    <w:lvl w:ilvl="1" w:tplc="BB1CB79C">
      <w:numFmt w:val="bullet"/>
      <w:lvlText w:val="○"/>
      <w:lvlJc w:val="left"/>
      <w:pPr>
        <w:ind w:left="1540" w:hanging="360"/>
      </w:pPr>
      <w:rPr>
        <w:rFonts w:ascii="Arial" w:eastAsia="Arial" w:hAnsi="Arial" w:cs="Arial" w:hint="default"/>
        <w:w w:val="100"/>
        <w:sz w:val="22"/>
        <w:szCs w:val="22"/>
      </w:rPr>
    </w:lvl>
    <w:lvl w:ilvl="2" w:tplc="76F4E510">
      <w:numFmt w:val="bullet"/>
      <w:lvlText w:val="•"/>
      <w:lvlJc w:val="left"/>
      <w:pPr>
        <w:ind w:left="2591" w:hanging="360"/>
      </w:pPr>
      <w:rPr>
        <w:rFonts w:hint="default"/>
      </w:rPr>
    </w:lvl>
    <w:lvl w:ilvl="3" w:tplc="271843D4">
      <w:numFmt w:val="bullet"/>
      <w:lvlText w:val="•"/>
      <w:lvlJc w:val="left"/>
      <w:pPr>
        <w:ind w:left="3642" w:hanging="360"/>
      </w:pPr>
      <w:rPr>
        <w:rFonts w:hint="default"/>
      </w:rPr>
    </w:lvl>
    <w:lvl w:ilvl="4" w:tplc="97E6BD8A">
      <w:numFmt w:val="bullet"/>
      <w:lvlText w:val="•"/>
      <w:lvlJc w:val="left"/>
      <w:pPr>
        <w:ind w:left="4693" w:hanging="360"/>
      </w:pPr>
      <w:rPr>
        <w:rFonts w:hint="default"/>
      </w:rPr>
    </w:lvl>
    <w:lvl w:ilvl="5" w:tplc="FD1497EC">
      <w:numFmt w:val="bullet"/>
      <w:lvlText w:val="•"/>
      <w:lvlJc w:val="left"/>
      <w:pPr>
        <w:ind w:left="5744" w:hanging="360"/>
      </w:pPr>
      <w:rPr>
        <w:rFonts w:hint="default"/>
      </w:rPr>
    </w:lvl>
    <w:lvl w:ilvl="6" w:tplc="B4383B24">
      <w:numFmt w:val="bullet"/>
      <w:lvlText w:val="•"/>
      <w:lvlJc w:val="left"/>
      <w:pPr>
        <w:ind w:left="6795" w:hanging="360"/>
      </w:pPr>
      <w:rPr>
        <w:rFonts w:hint="default"/>
      </w:rPr>
    </w:lvl>
    <w:lvl w:ilvl="7" w:tplc="3E94275A">
      <w:numFmt w:val="bullet"/>
      <w:lvlText w:val="•"/>
      <w:lvlJc w:val="left"/>
      <w:pPr>
        <w:ind w:left="7846" w:hanging="360"/>
      </w:pPr>
      <w:rPr>
        <w:rFonts w:hint="default"/>
      </w:rPr>
    </w:lvl>
    <w:lvl w:ilvl="8" w:tplc="15BC0EA0">
      <w:numFmt w:val="bullet"/>
      <w:lvlText w:val="•"/>
      <w:lvlJc w:val="left"/>
      <w:pPr>
        <w:ind w:left="8897" w:hanging="360"/>
      </w:pPr>
      <w:rPr>
        <w:rFonts w:hint="default"/>
      </w:rPr>
    </w:lvl>
  </w:abstractNum>
  <w:abstractNum w:abstractNumId="2" w15:restartNumberingAfterBreak="0">
    <w:nsid w:val="3F2F3EAC"/>
    <w:multiLevelType w:val="hybridMultilevel"/>
    <w:tmpl w:val="F74E0BFE"/>
    <w:lvl w:ilvl="0" w:tplc="4C469AE6">
      <w:start w:val="1"/>
      <w:numFmt w:val="decimal"/>
      <w:lvlText w:val="%1)"/>
      <w:lvlJc w:val="left"/>
      <w:pPr>
        <w:ind w:left="541" w:hanging="243"/>
        <w:jc w:val="left"/>
      </w:pPr>
      <w:rPr>
        <w:rFonts w:ascii="Calibri" w:eastAsia="Calibri" w:hAnsi="Calibri" w:cs="Calibri" w:hint="default"/>
        <w:b/>
        <w:bCs/>
        <w:w w:val="100"/>
        <w:sz w:val="23"/>
        <w:szCs w:val="23"/>
      </w:rPr>
    </w:lvl>
    <w:lvl w:ilvl="1" w:tplc="08423864">
      <w:numFmt w:val="bullet"/>
      <w:lvlText w:val="✓"/>
      <w:lvlJc w:val="left"/>
      <w:pPr>
        <w:ind w:left="899" w:hanging="269"/>
      </w:pPr>
      <w:rPr>
        <w:rFonts w:ascii="MS UI Gothic" w:eastAsia="MS UI Gothic" w:hAnsi="MS UI Gothic" w:cs="MS UI Gothic" w:hint="default"/>
        <w:w w:val="100"/>
        <w:sz w:val="22"/>
        <w:szCs w:val="22"/>
      </w:rPr>
    </w:lvl>
    <w:lvl w:ilvl="2" w:tplc="A0A8C5BE">
      <w:numFmt w:val="bullet"/>
      <w:lvlText w:val="•"/>
      <w:lvlJc w:val="left"/>
      <w:pPr>
        <w:ind w:left="1197" w:hanging="267"/>
      </w:pPr>
      <w:rPr>
        <w:rFonts w:ascii="Calibri" w:eastAsia="Calibri" w:hAnsi="Calibri" w:cs="Calibri" w:hint="default"/>
        <w:w w:val="100"/>
        <w:sz w:val="21"/>
        <w:szCs w:val="21"/>
      </w:rPr>
    </w:lvl>
    <w:lvl w:ilvl="3" w:tplc="BF4A2636">
      <w:numFmt w:val="bullet"/>
      <w:lvlText w:val="•"/>
      <w:lvlJc w:val="left"/>
      <w:pPr>
        <w:ind w:left="2427" w:hanging="267"/>
      </w:pPr>
      <w:rPr>
        <w:rFonts w:hint="default"/>
      </w:rPr>
    </w:lvl>
    <w:lvl w:ilvl="4" w:tplc="4FB2AF30">
      <w:numFmt w:val="bullet"/>
      <w:lvlText w:val="•"/>
      <w:lvlJc w:val="left"/>
      <w:pPr>
        <w:ind w:left="3655" w:hanging="267"/>
      </w:pPr>
      <w:rPr>
        <w:rFonts w:hint="default"/>
      </w:rPr>
    </w:lvl>
    <w:lvl w:ilvl="5" w:tplc="6D2808C2">
      <w:numFmt w:val="bullet"/>
      <w:lvlText w:val="•"/>
      <w:lvlJc w:val="left"/>
      <w:pPr>
        <w:ind w:left="4882" w:hanging="267"/>
      </w:pPr>
      <w:rPr>
        <w:rFonts w:hint="default"/>
      </w:rPr>
    </w:lvl>
    <w:lvl w:ilvl="6" w:tplc="53868E1A">
      <w:numFmt w:val="bullet"/>
      <w:lvlText w:val="•"/>
      <w:lvlJc w:val="left"/>
      <w:pPr>
        <w:ind w:left="6110" w:hanging="267"/>
      </w:pPr>
      <w:rPr>
        <w:rFonts w:hint="default"/>
      </w:rPr>
    </w:lvl>
    <w:lvl w:ilvl="7" w:tplc="DF78A598">
      <w:numFmt w:val="bullet"/>
      <w:lvlText w:val="•"/>
      <w:lvlJc w:val="left"/>
      <w:pPr>
        <w:ind w:left="7337" w:hanging="267"/>
      </w:pPr>
      <w:rPr>
        <w:rFonts w:hint="default"/>
      </w:rPr>
    </w:lvl>
    <w:lvl w:ilvl="8" w:tplc="5B740158">
      <w:numFmt w:val="bullet"/>
      <w:lvlText w:val="•"/>
      <w:lvlJc w:val="left"/>
      <w:pPr>
        <w:ind w:left="8565" w:hanging="267"/>
      </w:pPr>
      <w:rPr>
        <w:rFonts w:hint="default"/>
      </w:rPr>
    </w:lvl>
  </w:abstractNum>
  <w:abstractNum w:abstractNumId="3" w15:restartNumberingAfterBreak="0">
    <w:nsid w:val="7ABF4DA0"/>
    <w:multiLevelType w:val="hybridMultilevel"/>
    <w:tmpl w:val="84646278"/>
    <w:lvl w:ilvl="0" w:tplc="133E6FA0">
      <w:numFmt w:val="bullet"/>
      <w:lvlText w:val="●"/>
      <w:lvlJc w:val="left"/>
      <w:pPr>
        <w:ind w:left="820" w:hanging="361"/>
      </w:pPr>
      <w:rPr>
        <w:rFonts w:ascii="Calibri" w:eastAsia="Calibri" w:hAnsi="Calibri" w:cs="Calibri" w:hint="default"/>
        <w:w w:val="100"/>
        <w:sz w:val="22"/>
        <w:szCs w:val="22"/>
      </w:rPr>
    </w:lvl>
    <w:lvl w:ilvl="1" w:tplc="E47AA92E">
      <w:numFmt w:val="bullet"/>
      <w:lvlText w:val="•"/>
      <w:lvlJc w:val="left"/>
      <w:pPr>
        <w:ind w:left="1840" w:hanging="361"/>
      </w:pPr>
      <w:rPr>
        <w:rFonts w:hint="default"/>
      </w:rPr>
    </w:lvl>
    <w:lvl w:ilvl="2" w:tplc="B7280152">
      <w:numFmt w:val="bullet"/>
      <w:lvlText w:val="•"/>
      <w:lvlJc w:val="left"/>
      <w:pPr>
        <w:ind w:left="2860" w:hanging="361"/>
      </w:pPr>
      <w:rPr>
        <w:rFonts w:hint="default"/>
      </w:rPr>
    </w:lvl>
    <w:lvl w:ilvl="3" w:tplc="1C22B872">
      <w:numFmt w:val="bullet"/>
      <w:lvlText w:val="•"/>
      <w:lvlJc w:val="left"/>
      <w:pPr>
        <w:ind w:left="3880" w:hanging="361"/>
      </w:pPr>
      <w:rPr>
        <w:rFonts w:hint="default"/>
      </w:rPr>
    </w:lvl>
    <w:lvl w:ilvl="4" w:tplc="73026E04">
      <w:numFmt w:val="bullet"/>
      <w:lvlText w:val="•"/>
      <w:lvlJc w:val="left"/>
      <w:pPr>
        <w:ind w:left="4900" w:hanging="361"/>
      </w:pPr>
      <w:rPr>
        <w:rFonts w:hint="default"/>
      </w:rPr>
    </w:lvl>
    <w:lvl w:ilvl="5" w:tplc="F446C120">
      <w:numFmt w:val="bullet"/>
      <w:lvlText w:val="•"/>
      <w:lvlJc w:val="left"/>
      <w:pPr>
        <w:ind w:left="5920" w:hanging="361"/>
      </w:pPr>
      <w:rPr>
        <w:rFonts w:hint="default"/>
      </w:rPr>
    </w:lvl>
    <w:lvl w:ilvl="6" w:tplc="9484FE4C">
      <w:numFmt w:val="bullet"/>
      <w:lvlText w:val="•"/>
      <w:lvlJc w:val="left"/>
      <w:pPr>
        <w:ind w:left="6940" w:hanging="361"/>
      </w:pPr>
      <w:rPr>
        <w:rFonts w:hint="default"/>
      </w:rPr>
    </w:lvl>
    <w:lvl w:ilvl="7" w:tplc="737AA660">
      <w:numFmt w:val="bullet"/>
      <w:lvlText w:val="•"/>
      <w:lvlJc w:val="left"/>
      <w:pPr>
        <w:ind w:left="7960" w:hanging="361"/>
      </w:pPr>
      <w:rPr>
        <w:rFonts w:hint="default"/>
      </w:rPr>
    </w:lvl>
    <w:lvl w:ilvl="8" w:tplc="438CBC02">
      <w:numFmt w:val="bullet"/>
      <w:lvlText w:val="•"/>
      <w:lvlJc w:val="left"/>
      <w:pPr>
        <w:ind w:left="8980" w:hanging="361"/>
      </w:pPr>
      <w:rPr>
        <w:rFonts w:hint="default"/>
      </w:rPr>
    </w:lvl>
  </w:abstractNum>
  <w:abstractNum w:abstractNumId="4" w15:restartNumberingAfterBreak="0">
    <w:nsid w:val="7EDA55BF"/>
    <w:multiLevelType w:val="hybridMultilevel"/>
    <w:tmpl w:val="8AE4D138"/>
    <w:lvl w:ilvl="0" w:tplc="D400C574">
      <w:start w:val="3"/>
      <w:numFmt w:val="decimal"/>
      <w:lvlText w:val="%1)"/>
      <w:lvlJc w:val="left"/>
      <w:pPr>
        <w:ind w:left="441" w:hanging="243"/>
        <w:jc w:val="left"/>
      </w:pPr>
      <w:rPr>
        <w:rFonts w:ascii="Calibri" w:eastAsia="Calibri" w:hAnsi="Calibri" w:cs="Calibri" w:hint="default"/>
        <w:b/>
        <w:bCs/>
        <w:w w:val="100"/>
        <w:sz w:val="23"/>
        <w:szCs w:val="23"/>
      </w:rPr>
    </w:lvl>
    <w:lvl w:ilvl="1" w:tplc="ABA68044">
      <w:numFmt w:val="bullet"/>
      <w:lvlText w:val="✓"/>
      <w:lvlJc w:val="left"/>
      <w:pPr>
        <w:ind w:left="799" w:hanging="269"/>
      </w:pPr>
      <w:rPr>
        <w:rFonts w:ascii="MS UI Gothic" w:eastAsia="MS UI Gothic" w:hAnsi="MS UI Gothic" w:cs="MS UI Gothic" w:hint="default"/>
        <w:w w:val="100"/>
        <w:sz w:val="22"/>
        <w:szCs w:val="22"/>
      </w:rPr>
    </w:lvl>
    <w:lvl w:ilvl="2" w:tplc="15FCCF88">
      <w:numFmt w:val="bullet"/>
      <w:lvlText w:val="•"/>
      <w:lvlJc w:val="left"/>
      <w:pPr>
        <w:ind w:left="1157" w:hanging="269"/>
      </w:pPr>
      <w:rPr>
        <w:rFonts w:hint="default"/>
      </w:rPr>
    </w:lvl>
    <w:lvl w:ilvl="3" w:tplc="0E982232">
      <w:numFmt w:val="bullet"/>
      <w:lvlText w:val="•"/>
      <w:lvlJc w:val="left"/>
      <w:pPr>
        <w:ind w:left="1514" w:hanging="269"/>
      </w:pPr>
      <w:rPr>
        <w:rFonts w:hint="default"/>
      </w:rPr>
    </w:lvl>
    <w:lvl w:ilvl="4" w:tplc="4630306C">
      <w:numFmt w:val="bullet"/>
      <w:lvlText w:val="•"/>
      <w:lvlJc w:val="left"/>
      <w:pPr>
        <w:ind w:left="1871" w:hanging="269"/>
      </w:pPr>
      <w:rPr>
        <w:rFonts w:hint="default"/>
      </w:rPr>
    </w:lvl>
    <w:lvl w:ilvl="5" w:tplc="2D16289A">
      <w:numFmt w:val="bullet"/>
      <w:lvlText w:val="•"/>
      <w:lvlJc w:val="left"/>
      <w:pPr>
        <w:ind w:left="2229" w:hanging="269"/>
      </w:pPr>
      <w:rPr>
        <w:rFonts w:hint="default"/>
      </w:rPr>
    </w:lvl>
    <w:lvl w:ilvl="6" w:tplc="F79E280E">
      <w:numFmt w:val="bullet"/>
      <w:lvlText w:val="•"/>
      <w:lvlJc w:val="left"/>
      <w:pPr>
        <w:ind w:left="2586" w:hanging="269"/>
      </w:pPr>
      <w:rPr>
        <w:rFonts w:hint="default"/>
      </w:rPr>
    </w:lvl>
    <w:lvl w:ilvl="7" w:tplc="209A2292">
      <w:numFmt w:val="bullet"/>
      <w:lvlText w:val="•"/>
      <w:lvlJc w:val="left"/>
      <w:pPr>
        <w:ind w:left="2943" w:hanging="269"/>
      </w:pPr>
      <w:rPr>
        <w:rFonts w:hint="default"/>
      </w:rPr>
    </w:lvl>
    <w:lvl w:ilvl="8" w:tplc="A406FE4C">
      <w:numFmt w:val="bullet"/>
      <w:lvlText w:val="•"/>
      <w:lvlJc w:val="left"/>
      <w:pPr>
        <w:ind w:left="3301" w:hanging="269"/>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AE"/>
    <w:rsid w:val="004210AE"/>
    <w:rsid w:val="00781CE0"/>
    <w:rsid w:val="00903941"/>
    <w:rsid w:val="00CA4C4C"/>
    <w:rsid w:val="00E7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03EC2"/>
  <w15:docId w15:val="{EE3A104C-F1AB-4CDB-8B8C-ACD5788E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7"/>
      <w:outlineLvl w:val="0"/>
    </w:pPr>
    <w:rPr>
      <w:b/>
      <w:bCs/>
      <w:sz w:val="26"/>
      <w:szCs w:val="26"/>
    </w:rPr>
  </w:style>
  <w:style w:type="paragraph" w:styleId="Heading2">
    <w:name w:val="heading 2"/>
    <w:basedOn w:val="Normal"/>
    <w:uiPriority w:val="9"/>
    <w:unhideWhenUsed/>
    <w:qFormat/>
    <w:pPr>
      <w:spacing w:before="68"/>
      <w:ind w:left="207" w:right="265"/>
      <w:outlineLvl w:val="1"/>
    </w:pPr>
    <w:rPr>
      <w:b/>
      <w:bCs/>
      <w:sz w:val="23"/>
      <w:szCs w:val="23"/>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kippma.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CB8E2-500F-456D-B4E6-DFDE1351888C}"/>
</file>

<file path=customXml/itemProps2.xml><?xml version="1.0" encoding="utf-8"?>
<ds:datastoreItem xmlns:ds="http://schemas.openxmlformats.org/officeDocument/2006/customXml" ds:itemID="{421620C1-97FB-4573-97D5-2B4E02CFFA42}"/>
</file>

<file path=customXml/itemProps3.xml><?xml version="1.0" encoding="utf-8"?>
<ds:datastoreItem xmlns:ds="http://schemas.openxmlformats.org/officeDocument/2006/customXml" ds:itemID="{8483B811-01B4-4838-AD5B-29A05C4E5C11}"/>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KIPP Academy Boston Charter School Student Opportunity Act Plan: SY 2021- 2023</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KIPP Academy Boston Charter School Student Opportunity Act Plan: SY 2021- 2023</dc:title>
  <dc:creator>Mekka Smith</dc:creator>
  <cp:lastModifiedBy>DeLorenzo, Lee E (DESE)</cp:lastModifiedBy>
  <cp:revision>2</cp:revision>
  <dcterms:created xsi:type="dcterms:W3CDTF">2021-03-19T20:06:00Z</dcterms:created>
  <dcterms:modified xsi:type="dcterms:W3CDTF">2021-03-19T20:06:00Z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for Office 365</vt:lpwstr>
  </property>
  <property fmtid="{D5CDD505-2E9C-101B-9397-08002B2CF9AE}" pid="4" name="LastSaved">
    <vt:filetime>2021-03-02T00:00:00Z</vt:filetime>
  </property>
  <property fmtid="{D5CDD505-2E9C-101B-9397-08002B2CF9AE}" pid="5" name="ContentTypeId">
    <vt:lpwstr>0x010100A293676B7F9F114D8D4D17C37E9BF771</vt:lpwstr>
  </property>
</Properties>
</file>