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DA7E" w14:textId="0404DC12" w:rsidR="00345287" w:rsidRDefault="00345287" w:rsidP="00345287">
      <w:pPr>
        <w:pStyle w:val="Title"/>
        <w:jc w:val="center"/>
      </w:pPr>
      <w:r>
        <w:t>DESE ACCESS Score Imputations</w:t>
      </w:r>
    </w:p>
    <w:p w14:paraId="31F211C4" w14:textId="6E010517" w:rsidR="00EC11CC" w:rsidRDefault="00EC11CC" w:rsidP="00EC11CC">
      <w:pPr>
        <w:jc w:val="center"/>
      </w:pPr>
      <w:r>
        <w:t>Sarah Jo Torgrimson, PhD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shd w:val="clear" w:color="auto" w:fill="E6E6E6"/>
          <w14:ligatures w14:val="standardContextual"/>
        </w:rPr>
        <w:id w:val="15775555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8893A9" w14:textId="0C3381B8" w:rsidR="002D11A3" w:rsidRDefault="002D11A3">
          <w:pPr>
            <w:pStyle w:val="TOCHeading"/>
          </w:pPr>
          <w:r>
            <w:t>Table of Contents</w:t>
          </w:r>
        </w:p>
        <w:p w14:paraId="5818BFCB" w14:textId="5263B5EF" w:rsidR="00EC11CC" w:rsidRDefault="002D11A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TOC \o "1-2" \h \z \u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71339040" w:history="1">
            <w:r w:rsidR="00EC11CC" w:rsidRPr="006573E2">
              <w:rPr>
                <w:rStyle w:val="Hyperlink"/>
                <w:noProof/>
              </w:rPr>
              <w:t>Overview</w:t>
            </w:r>
            <w:r w:rsidR="00EC11CC">
              <w:rPr>
                <w:noProof/>
                <w:webHidden/>
              </w:rPr>
              <w:tab/>
            </w:r>
            <w:r w:rsidR="00EC11CC"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 w:rsidR="00EC11CC">
              <w:rPr>
                <w:noProof/>
                <w:webHidden/>
              </w:rPr>
              <w:instrText xml:space="preserve"> PAGEREF _Toc171339040 \h </w:instrText>
            </w:r>
            <w:r w:rsidR="00EC11CC">
              <w:rPr>
                <w:noProof/>
                <w:webHidden/>
                <w:color w:val="2B579A"/>
                <w:shd w:val="clear" w:color="auto" w:fill="E6E6E6"/>
              </w:rPr>
            </w:r>
            <w:r w:rsidR="00EC11CC"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2</w:t>
            </w:r>
            <w:r w:rsidR="00EC11CC"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882BD6A" w14:textId="3D72D0E4" w:rsidR="00EC11CC" w:rsidRDefault="00EC11C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1" w:history="1">
            <w:r w:rsidRPr="006573E2">
              <w:rPr>
                <w:rStyle w:val="Hyperlink"/>
                <w:noProof/>
              </w:rPr>
              <w:t>Student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_Toc171339041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2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5AA97036" w14:textId="062D2F00" w:rsidR="00EC11CC" w:rsidRDefault="00EC11C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2" w:history="1">
            <w:r w:rsidRPr="006573E2">
              <w:rPr>
                <w:rStyle w:val="Hyperlink"/>
                <w:noProof/>
              </w:rPr>
              <w:t>Imputing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_Toc171339042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3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3142A641" w14:textId="745FC36D" w:rsidR="00EC11CC" w:rsidRDefault="00EC11C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3" w:history="1">
            <w:r w:rsidRPr="006573E2">
              <w:rPr>
                <w:rStyle w:val="Hyperlink"/>
                <w:noProof/>
              </w:rPr>
              <w:t>Average Score Method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_Toc171339043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4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64F0CEE6" w14:textId="67776CAE" w:rsidR="00EC11CC" w:rsidRDefault="00EC11C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4" w:history="1">
            <w:r w:rsidRPr="006573E2">
              <w:rPr>
                <w:rStyle w:val="Hyperlink"/>
                <w:noProof/>
              </w:rPr>
              <w:t>Reweighting Method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_Toc171339044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5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53E2BBE" w14:textId="72ED098D" w:rsidR="00EC11CC" w:rsidRDefault="00EC11C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5" w:history="1">
            <w:r w:rsidRPr="006573E2">
              <w:rPr>
                <w:rStyle w:val="Hyperlink"/>
                <w:noProof/>
              </w:rPr>
              <w:t>Method Comparison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_Toc171339045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5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3D20D7DD" w14:textId="61587483" w:rsidR="00EC11CC" w:rsidRDefault="00EC11C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6" w:history="1">
            <w:r w:rsidRPr="006573E2">
              <w:rPr>
                <w:rStyle w:val="Hyperlink"/>
                <w:noProof/>
              </w:rPr>
              <w:t>Bivariate correlations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_Toc171339046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7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300609D6" w14:textId="2261EEE4" w:rsidR="00EC11CC" w:rsidRDefault="00EC11C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7" w:history="1">
            <w:r w:rsidRPr="006573E2">
              <w:rPr>
                <w:rStyle w:val="Hyperlink"/>
                <w:noProof/>
              </w:rPr>
              <w:t>Validity statistics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_Toc171339047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7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72B41455" w14:textId="69D7DE19" w:rsidR="00EC11CC" w:rsidRDefault="00EC11C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8" w:history="1">
            <w:r w:rsidRPr="006573E2">
              <w:rPr>
                <w:rStyle w:val="Hyperlink"/>
                <w:noProof/>
              </w:rPr>
              <w:t>Results.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_Toc171339048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8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17CE690" w14:textId="72B464E1" w:rsidR="00EC11CC" w:rsidRDefault="00EC11C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49" w:history="1">
            <w:r w:rsidRPr="006573E2">
              <w:rPr>
                <w:rStyle w:val="Hyperlink"/>
                <w:noProof/>
              </w:rPr>
              <w:t>Bivariate Correlations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_Toc171339049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8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2FA5C229" w14:textId="0798AAD3" w:rsidR="00EC11CC" w:rsidRDefault="00EC11C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50" w:history="1">
            <w:r w:rsidRPr="006573E2">
              <w:rPr>
                <w:rStyle w:val="Hyperlink"/>
                <w:noProof/>
              </w:rPr>
              <w:t>Predictive Validity Computations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_Toc171339050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9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51659F1" w14:textId="006DAEB8" w:rsidR="00EC11CC" w:rsidRDefault="00EC11C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51" w:history="1">
            <w:r w:rsidRPr="006573E2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_Toc171339051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10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58536A0" w14:textId="05B67FE1" w:rsidR="00EC11CC" w:rsidRDefault="00EC11C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52" w:history="1">
            <w:r w:rsidRPr="006573E2">
              <w:rPr>
                <w:rStyle w:val="Hyperlink"/>
                <w:noProof/>
              </w:rPr>
              <w:t>Appendix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_Toc171339052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11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7DC766B6" w14:textId="5E5807A6" w:rsidR="00EC11CC" w:rsidRDefault="00EC11C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71339055" w:history="1">
            <w:r w:rsidRPr="006573E2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_Toc171339055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93179F">
              <w:rPr>
                <w:noProof/>
                <w:webHidden/>
              </w:rPr>
              <w:t>12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E46E151" w14:textId="65BC4EB3" w:rsidR="00E54996" w:rsidRPr="00E54996" w:rsidRDefault="002D11A3" w:rsidP="00E54996">
          <w:pPr>
            <w:rPr>
              <w:sz w:val="12"/>
              <w:szCs w:val="12"/>
            </w:rPr>
          </w:pPr>
          <w:r>
            <w:rPr>
              <w:color w:val="2B579A"/>
              <w:shd w:val="clear" w:color="auto" w:fill="E6E6E6"/>
            </w:rPr>
            <w:fldChar w:fldCharType="end"/>
          </w:r>
        </w:p>
      </w:sdtContent>
    </w:sdt>
    <w:p w14:paraId="5D4FA70B" w14:textId="77777777" w:rsidR="00232909" w:rsidRDefault="00232909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bookmarkStart w:id="0" w:name="_Toc171339040"/>
      <w:r>
        <w:br w:type="page"/>
      </w:r>
    </w:p>
    <w:p w14:paraId="02A59885" w14:textId="38D59213" w:rsidR="00B5389C" w:rsidRPr="00345287" w:rsidRDefault="00B5389C" w:rsidP="00B5389C">
      <w:pPr>
        <w:pStyle w:val="Heading1"/>
      </w:pPr>
      <w:r>
        <w:lastRenderedPageBreak/>
        <w:t>Overview</w:t>
      </w:r>
      <w:bookmarkEnd w:id="0"/>
    </w:p>
    <w:p w14:paraId="6E4367BE" w14:textId="357EEC0A" w:rsidR="00345287" w:rsidRDefault="00345287" w:rsidP="00345287">
      <w:r>
        <w:t>In 2019, WIDA released a technical report detailing four methods states could use to impute scores for eligible students with IEPs or 504 plans</w:t>
      </w:r>
      <w:r w:rsidR="0051467D">
        <w:t xml:space="preserve"> (Porter, Cook, &amp; Sa</w:t>
      </w:r>
      <w:r w:rsidR="00990ADF">
        <w:t>hakyan, 2019)</w:t>
      </w:r>
      <w:r w:rsidR="00C81231">
        <w:t xml:space="preserve">. WIDA did not endorse any </w:t>
      </w:r>
      <w:proofErr w:type="gramStart"/>
      <w:r w:rsidR="00C81231">
        <w:t>particular method</w:t>
      </w:r>
      <w:proofErr w:type="gramEnd"/>
      <w:r w:rsidR="00C81231">
        <w:t xml:space="preserve"> at </w:t>
      </w:r>
      <w:r w:rsidR="00D628BF">
        <w:t xml:space="preserve">that </w:t>
      </w:r>
      <w:r w:rsidR="00C81231">
        <w:t xml:space="preserve">time. </w:t>
      </w:r>
      <w:r>
        <w:t xml:space="preserve">DESE </w:t>
      </w:r>
      <w:r w:rsidR="00C81231">
        <w:t>ran an internal investigation of the uses of two of the four methods, concluding that the average score method was easier to compute and similar in accuracy to the Z-score method</w:t>
      </w:r>
      <w:r w:rsidR="00990ADF">
        <w:t xml:space="preserve"> (Flanagan &amp; Wiener, 2019)</w:t>
      </w:r>
      <w:r w:rsidR="00C81231">
        <w:t>. S</w:t>
      </w:r>
      <w:r>
        <w:t>tarting with the 2020 ACCESS administration</w:t>
      </w:r>
      <w:r w:rsidR="00C81231">
        <w:t>, DESE adopted the average score method for imputing scores for eligible students</w:t>
      </w:r>
      <w:r>
        <w:t xml:space="preserve">. In 2020, WIDA released an additional report detailing a less computationally intensive method to </w:t>
      </w:r>
      <w:r w:rsidR="00C81231">
        <w:t xml:space="preserve">impute scores, the </w:t>
      </w:r>
      <w:r w:rsidR="00947BE3">
        <w:t>r</w:t>
      </w:r>
      <w:r w:rsidR="00C81231">
        <w:t>eweighting method</w:t>
      </w:r>
      <w:r w:rsidR="00990ADF">
        <w:t xml:space="preserve"> (Sahakyan, 2020)</w:t>
      </w:r>
      <w:r w:rsidR="00C81231">
        <w:t xml:space="preserve">. </w:t>
      </w:r>
      <w:r w:rsidR="00B90AEF">
        <w:t>As of 2024, DESE still uses the average score method to impute scores</w:t>
      </w:r>
      <w:r w:rsidR="000E2ED3">
        <w:t>,</w:t>
      </w:r>
      <w:r w:rsidR="00B90AEF">
        <w:t xml:space="preserve"> and WIDA offers a tool for states to impute scores based on the </w:t>
      </w:r>
      <w:r w:rsidR="00947BE3">
        <w:t xml:space="preserve">reweighting </w:t>
      </w:r>
      <w:r w:rsidR="00B90AEF">
        <w:t xml:space="preserve">method. </w:t>
      </w:r>
    </w:p>
    <w:p w14:paraId="23761A1A" w14:textId="0DE8FE06" w:rsidR="00B90AEF" w:rsidRDefault="00B90AEF" w:rsidP="00345287">
      <w:r>
        <w:t xml:space="preserve">The purpose of this paper is to revisit DESE’s imputation method by comparing our current average </w:t>
      </w:r>
      <w:r w:rsidR="00B5389C">
        <w:t xml:space="preserve">score </w:t>
      </w:r>
      <w:r>
        <w:t xml:space="preserve">method to the </w:t>
      </w:r>
      <w:r w:rsidR="00B5389C">
        <w:t>r</w:t>
      </w:r>
      <w:r>
        <w:t>eweighting method</w:t>
      </w:r>
      <w:r w:rsidR="00B5389C">
        <w:t xml:space="preserve"> provided by the WIDA consortium</w:t>
      </w:r>
      <w:r>
        <w:t xml:space="preserve">. </w:t>
      </w:r>
      <w:r w:rsidR="00B5389C" w:rsidRPr="00B5389C">
        <w:t xml:space="preserve">Results </w:t>
      </w:r>
      <w:r w:rsidR="00B5389C">
        <w:t xml:space="preserve">indicate </w:t>
      </w:r>
      <w:r w:rsidR="00B5389C" w:rsidRPr="00B5389C">
        <w:t xml:space="preserve">the reweighting method would </w:t>
      </w:r>
      <w:r w:rsidR="00692269">
        <w:t>have stronger validity</w:t>
      </w:r>
      <w:r w:rsidR="00B5389C" w:rsidRPr="00B5389C">
        <w:t xml:space="preserve"> </w:t>
      </w:r>
      <w:r w:rsidR="001A3308">
        <w:t>and be</w:t>
      </w:r>
      <w:r w:rsidR="00B5389C" w:rsidRPr="00B5389C">
        <w:t xml:space="preserve"> </w:t>
      </w:r>
      <w:r w:rsidR="00D8154E" w:rsidRPr="00B5389C">
        <w:t xml:space="preserve">computationally easier </w:t>
      </w:r>
      <w:r w:rsidR="00B5389C" w:rsidRPr="00B5389C">
        <w:t>than the current average</w:t>
      </w:r>
      <w:r w:rsidR="00B5389C">
        <w:t xml:space="preserve"> score</w:t>
      </w:r>
      <w:r w:rsidR="00B5389C" w:rsidRPr="00B5389C">
        <w:t xml:space="preserve"> method</w:t>
      </w:r>
      <w:r w:rsidR="000F33D3">
        <w:t xml:space="preserve"> </w:t>
      </w:r>
      <w:r w:rsidR="000F33D3" w:rsidRPr="00B5389C">
        <w:t>for imputing missing overall scores</w:t>
      </w:r>
      <w:r w:rsidR="00B5389C">
        <w:t>.</w:t>
      </w:r>
    </w:p>
    <w:p w14:paraId="245A2F1D" w14:textId="261995C3" w:rsidR="00345287" w:rsidRPr="00345287" w:rsidRDefault="00C81231" w:rsidP="00345287">
      <w:pPr>
        <w:pStyle w:val="Heading1"/>
      </w:pPr>
      <w:bookmarkStart w:id="1" w:name="_Toc171339041"/>
      <w:r>
        <w:t xml:space="preserve">Student </w:t>
      </w:r>
      <w:r w:rsidR="00345287" w:rsidRPr="00345287">
        <w:t>Eligibility</w:t>
      </w:r>
      <w:bookmarkEnd w:id="1"/>
    </w:p>
    <w:p w14:paraId="28AE8478" w14:textId="208D3A07" w:rsidR="00A326A3" w:rsidRDefault="0019508E" w:rsidP="0019508E">
      <w:r>
        <w:t>DESE</w:t>
      </w:r>
      <w:r w:rsidDel="007059A3">
        <w:t xml:space="preserve"> </w:t>
      </w:r>
      <w:r>
        <w:t>consider</w:t>
      </w:r>
      <w:r w:rsidR="007059A3">
        <w:t>s</w:t>
      </w:r>
      <w:r>
        <w:t xml:space="preserve"> an eligible EL student with an assigned proficiency level to be proficient when their overall ACCESS proficiency level is 4.2 or higher.  These eligible EL students do </w:t>
      </w:r>
      <w:r w:rsidR="00E8277A">
        <w:t xml:space="preserve">not </w:t>
      </w:r>
      <w:r>
        <w:t xml:space="preserve">need to meet the typical composite Literacy score of Level 3.9 </w:t>
      </w:r>
      <w:proofErr w:type="gramStart"/>
      <w:r>
        <w:t>in order to</w:t>
      </w:r>
      <w:proofErr w:type="gramEnd"/>
      <w:r>
        <w:t xml:space="preserve"> transition out of </w:t>
      </w:r>
      <w:r w:rsidR="001F71BD">
        <w:t>multilingual learner education (</w:t>
      </w:r>
      <w:r>
        <w:t>MLE</w:t>
      </w:r>
      <w:r w:rsidR="001F71BD">
        <w:t>)</w:t>
      </w:r>
      <w:r>
        <w:t>, due to the methods used to assign missing scores.</w:t>
      </w:r>
    </w:p>
    <w:p w14:paraId="2555C9DF" w14:textId="44319A8C" w:rsidR="0019508E" w:rsidRDefault="0019508E" w:rsidP="0019508E">
      <w:r>
        <w:t xml:space="preserve">EL students must meet </w:t>
      </w:r>
      <w:r w:rsidR="00E8277A">
        <w:rPr>
          <w:b/>
          <w:bCs/>
        </w:rPr>
        <w:t>all four</w:t>
      </w:r>
      <w:r>
        <w:t xml:space="preserve"> eligibility criteria</w:t>
      </w:r>
      <w:r w:rsidR="00D77D7E">
        <w:t xml:space="preserve"> </w:t>
      </w:r>
      <w:r w:rsidR="00E25850">
        <w:t>for DESE to impute a missing overall score</w:t>
      </w:r>
      <w:r>
        <w:t>:</w:t>
      </w:r>
    </w:p>
    <w:p w14:paraId="672E3BD6" w14:textId="2884DA1E" w:rsidR="0019508E" w:rsidRDefault="0019508E" w:rsidP="0019508E">
      <w:pPr>
        <w:pStyle w:val="ListParagraph"/>
        <w:numPr>
          <w:ilvl w:val="0"/>
          <w:numId w:val="1"/>
        </w:numPr>
      </w:pPr>
      <w:r>
        <w:t>The EL student has an IEP or 504 plan that lists the accommodation(s) used by the student.</w:t>
      </w:r>
    </w:p>
    <w:p w14:paraId="73BA7A0C" w14:textId="2CAFBECC" w:rsidR="0019508E" w:rsidRDefault="0019508E" w:rsidP="0019508E">
      <w:pPr>
        <w:pStyle w:val="ListParagraph"/>
        <w:numPr>
          <w:ilvl w:val="0"/>
          <w:numId w:val="1"/>
        </w:numPr>
      </w:pPr>
      <w:r>
        <w:t xml:space="preserve">The EL student’s disability status and nature of disability have been documented in the Student Information Management System (June SIMS).  </w:t>
      </w:r>
    </w:p>
    <w:p w14:paraId="53E9217C" w14:textId="0C3503F3" w:rsidR="0019508E" w:rsidRDefault="0019508E" w:rsidP="0019508E">
      <w:pPr>
        <w:pStyle w:val="ListParagraph"/>
        <w:numPr>
          <w:ilvl w:val="0"/>
          <w:numId w:val="1"/>
        </w:numPr>
      </w:pPr>
      <w:r>
        <w:t>The untested domain test was designated with a “Do Not Score” code of “SPD” on the ACCESS test.</w:t>
      </w:r>
    </w:p>
    <w:p w14:paraId="0C412256" w14:textId="1C91A318" w:rsidR="00EC11CC" w:rsidRPr="00EC11CC" w:rsidRDefault="0019508E">
      <w:pPr>
        <w:pStyle w:val="ListParagraph"/>
        <w:numPr>
          <w:ilvl w:val="0"/>
          <w:numId w:val="1"/>
        </w:numPr>
        <w:rPr>
          <w:b/>
          <w:bCs/>
        </w:rPr>
      </w:pPr>
      <w:r>
        <w:t>The EL student did not participate in the domain test because they met one of the test exemption criteria shown in Table 1.</w:t>
      </w:r>
    </w:p>
    <w:p w14:paraId="2F7BC377" w14:textId="6AEBF1F3" w:rsidR="0012B4BD" w:rsidRDefault="0012B4BD">
      <w:r>
        <w:br w:type="page"/>
      </w:r>
    </w:p>
    <w:p w14:paraId="0FBCD319" w14:textId="6E5D5555" w:rsidR="0019508E" w:rsidRDefault="0019508E" w:rsidP="00D50B66">
      <w:pPr>
        <w:jc w:val="center"/>
        <w:rPr>
          <w:b/>
          <w:bCs/>
        </w:rPr>
      </w:pPr>
      <w:r w:rsidRPr="0019508E">
        <w:rPr>
          <w:b/>
          <w:bCs/>
        </w:rPr>
        <w:lastRenderedPageBreak/>
        <w:t>Table 1. Test exemption criteria for ACCESS domain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9"/>
        <w:gridCol w:w="4631"/>
      </w:tblGrid>
      <w:tr w:rsidR="0019508E" w14:paraId="151C4CB8" w14:textId="77777777" w:rsidTr="1E4F02F5">
        <w:tc>
          <w:tcPr>
            <w:tcW w:w="4675" w:type="dxa"/>
          </w:tcPr>
          <w:p w14:paraId="6B7E7656" w14:textId="0096D51F" w:rsidR="0019508E" w:rsidRDefault="0019508E" w:rsidP="0019508E">
            <w:pPr>
              <w:rPr>
                <w:b/>
                <w:bCs/>
              </w:rPr>
            </w:pPr>
            <w:r>
              <w:rPr>
                <w:b/>
                <w:bCs/>
              </w:rPr>
              <w:t>Test Exemption Criteria</w:t>
            </w:r>
          </w:p>
        </w:tc>
        <w:tc>
          <w:tcPr>
            <w:tcW w:w="4675" w:type="dxa"/>
          </w:tcPr>
          <w:p w14:paraId="6D8EA9FD" w14:textId="79F024AC" w:rsidR="0019508E" w:rsidRDefault="0019508E" w:rsidP="0019508E">
            <w:pPr>
              <w:rPr>
                <w:b/>
                <w:bCs/>
              </w:rPr>
            </w:pPr>
            <w:r>
              <w:rPr>
                <w:b/>
                <w:bCs/>
              </w:rPr>
              <w:t>Explanation</w:t>
            </w:r>
          </w:p>
        </w:tc>
      </w:tr>
      <w:tr w:rsidR="0019508E" w14:paraId="732CD2B7" w14:textId="77777777" w:rsidTr="1E4F02F5">
        <w:tc>
          <w:tcPr>
            <w:tcW w:w="4675" w:type="dxa"/>
            <w:vAlign w:val="center"/>
          </w:tcPr>
          <w:p w14:paraId="79B7E16B" w14:textId="343D9697" w:rsidR="0019508E" w:rsidRPr="0019508E" w:rsidRDefault="0019508E" w:rsidP="00DF49CA">
            <w:r w:rsidRPr="0019508E">
              <w:t>The student’s primary disability is reported as “Sensory: Hard of Hearing or Deaf.”</w:t>
            </w:r>
          </w:p>
        </w:tc>
        <w:tc>
          <w:tcPr>
            <w:tcW w:w="4675" w:type="dxa"/>
            <w:vAlign w:val="center"/>
          </w:tcPr>
          <w:p w14:paraId="1E4FB704" w14:textId="0D9F7EEA" w:rsidR="0019508E" w:rsidRPr="0019508E" w:rsidRDefault="0019508E" w:rsidP="00DF49CA">
            <w:r w:rsidRPr="0019508E">
              <w:t>The student is not required to take the Listening and Speaking tests because they are unable to listen to and/or respond verbally to test items. The student must take the Reading and Writing tests.</w:t>
            </w:r>
          </w:p>
        </w:tc>
      </w:tr>
      <w:tr w:rsidR="0019508E" w14:paraId="5E5BF030" w14:textId="77777777" w:rsidTr="1E4F02F5">
        <w:tc>
          <w:tcPr>
            <w:tcW w:w="4675" w:type="dxa"/>
            <w:vAlign w:val="center"/>
          </w:tcPr>
          <w:p w14:paraId="199CB483" w14:textId="116C69B7" w:rsidR="0019508E" w:rsidRPr="0019508E" w:rsidRDefault="0019508E" w:rsidP="00DF49CA">
            <w:r w:rsidRPr="0019508E">
              <w:t>The student’s primary disability is reported as “Sensory: Vision Impairment or Blind.”</w:t>
            </w:r>
          </w:p>
        </w:tc>
        <w:tc>
          <w:tcPr>
            <w:tcW w:w="4675" w:type="dxa"/>
            <w:vAlign w:val="center"/>
          </w:tcPr>
          <w:p w14:paraId="2BC5CD26" w14:textId="37BA1D04" w:rsidR="0019508E" w:rsidRPr="0019508E" w:rsidRDefault="0F203BD4" w:rsidP="00DF49CA">
            <w:r>
              <w:t>S</w:t>
            </w:r>
            <w:r w:rsidR="0019508E">
              <w:t>tudent</w:t>
            </w:r>
            <w:r w:rsidR="0F0E3C40">
              <w:t>s who read braille</w:t>
            </w:r>
            <w:r w:rsidR="0019508E">
              <w:t xml:space="preserve"> </w:t>
            </w:r>
            <w:r w:rsidR="5159F44E">
              <w:t>are</w:t>
            </w:r>
            <w:r w:rsidR="0019508E">
              <w:t xml:space="preserve"> not required to take the Speaking test, due to the use of graphics and other visual stimuli on the </w:t>
            </w:r>
            <w:r w:rsidR="1073120D">
              <w:t xml:space="preserve">Speaking </w:t>
            </w:r>
            <w:r w:rsidR="0019508E">
              <w:t>domain test.</w:t>
            </w:r>
            <w:r w:rsidR="67990CB3">
              <w:t xml:space="preserve"> </w:t>
            </w:r>
            <w:r w:rsidR="67990CB3" w:rsidRPr="1E4F02F5">
              <w:rPr>
                <w:rFonts w:ascii="Aptos" w:eastAsia="Aptos" w:hAnsi="Aptos" w:cs="Aptos"/>
              </w:rPr>
              <w:t>Students who do not read braille may take the ACCESS online or paper Writing test with in-person human reader and scribe accommodations, but they are not required to take the Speaking, Listening, or Reading domains</w:t>
            </w:r>
            <w:r w:rsidR="0019508E">
              <w:t>.</w:t>
            </w:r>
          </w:p>
        </w:tc>
      </w:tr>
      <w:tr w:rsidR="0019508E" w14:paraId="1D37B378" w14:textId="77777777" w:rsidTr="1E4F02F5">
        <w:tc>
          <w:tcPr>
            <w:tcW w:w="4675" w:type="dxa"/>
            <w:vAlign w:val="center"/>
          </w:tcPr>
          <w:p w14:paraId="081A42EC" w14:textId="2A79EF90" w:rsidR="0019508E" w:rsidRPr="0019508E" w:rsidRDefault="0019508E" w:rsidP="00D50B66">
            <w:r w:rsidRPr="0019508E">
              <w:t>The student meets the criteria to receive the ELA read-aloud “special access” accommodation on the MCAS ELA test</w:t>
            </w:r>
            <w:r w:rsidR="00080F3E">
              <w:t>,</w:t>
            </w:r>
            <w:r w:rsidRPr="0019508E">
              <w:t xml:space="preserve"> and this is already listed in the student’s IEP or 504 plan.</w:t>
            </w:r>
          </w:p>
        </w:tc>
        <w:tc>
          <w:tcPr>
            <w:tcW w:w="4675" w:type="dxa"/>
            <w:vAlign w:val="center"/>
          </w:tcPr>
          <w:p w14:paraId="72861745" w14:textId="70149BDE" w:rsidR="0019508E" w:rsidRPr="0019508E" w:rsidRDefault="0019508E" w:rsidP="00D50B66">
            <w:r>
              <w:t xml:space="preserve">The student is not required to take the Reading test but must take the Listening, Speaking, and Writing tests. </w:t>
            </w:r>
          </w:p>
        </w:tc>
      </w:tr>
      <w:tr w:rsidR="0019508E" w14:paraId="39740C3C" w14:textId="77777777" w:rsidTr="1E4F02F5">
        <w:tc>
          <w:tcPr>
            <w:tcW w:w="4675" w:type="dxa"/>
            <w:vAlign w:val="center"/>
          </w:tcPr>
          <w:p w14:paraId="7CECD0BE" w14:textId="4C433DCF" w:rsidR="0019508E" w:rsidRPr="0019508E" w:rsidRDefault="0019508E" w:rsidP="00D50B66">
            <w:r w:rsidRPr="0019508E">
              <w:t>The student is nonverbal (or selectively mute) and is therefore unable to participate in the Speaking test.</w:t>
            </w:r>
          </w:p>
        </w:tc>
        <w:tc>
          <w:tcPr>
            <w:tcW w:w="4675" w:type="dxa"/>
            <w:vAlign w:val="center"/>
          </w:tcPr>
          <w:p w14:paraId="2410F42C" w14:textId="1299D7C2" w:rsidR="0019508E" w:rsidRPr="0019508E" w:rsidRDefault="0019508E" w:rsidP="00D50B66">
            <w:r>
              <w:t>The student is not required to take the Speaking test</w:t>
            </w:r>
            <w:r w:rsidR="10F61EE2">
              <w:t xml:space="preserve"> if they do not use alternate and augmentative communication (AAC)</w:t>
            </w:r>
            <w:r>
              <w:t xml:space="preserve"> but must take the Listening, Reading, and Writing tests.</w:t>
            </w:r>
          </w:p>
        </w:tc>
      </w:tr>
    </w:tbl>
    <w:p w14:paraId="45784CD3" w14:textId="3711CA71" w:rsidR="00345287" w:rsidRDefault="00B90AEF" w:rsidP="00345287">
      <w:pPr>
        <w:pStyle w:val="Heading1"/>
      </w:pPr>
      <w:bookmarkStart w:id="2" w:name="_Toc171339042"/>
      <w:r>
        <w:t xml:space="preserve">Imputing </w:t>
      </w:r>
      <w:r w:rsidR="00345287">
        <w:t>Method</w:t>
      </w:r>
      <w:r>
        <w:t>s</w:t>
      </w:r>
      <w:bookmarkEnd w:id="2"/>
    </w:p>
    <w:p w14:paraId="59AB9665" w14:textId="65B4EB1D" w:rsidR="00310C30" w:rsidRDefault="00B90AEF">
      <w:pPr>
        <w:rPr>
          <w:b/>
          <w:bCs/>
        </w:rPr>
      </w:pPr>
      <w:r w:rsidRPr="00B90AEF">
        <w:t xml:space="preserve">In 2019, </w:t>
      </w:r>
      <w:r>
        <w:t xml:space="preserve">WIDA published a technical report detailing four methods to impute </w:t>
      </w:r>
      <w:r w:rsidR="00D605CB">
        <w:t>overall</w:t>
      </w:r>
      <w:r w:rsidR="005B0DB0">
        <w:t xml:space="preserve"> proficiency</w:t>
      </w:r>
      <w:r w:rsidR="004C5B34">
        <w:t xml:space="preserve"> </w:t>
      </w:r>
      <w:r>
        <w:t xml:space="preserve">scores </w:t>
      </w:r>
      <w:r w:rsidDel="004C5B34">
        <w:t xml:space="preserve">on ACCESS </w:t>
      </w:r>
      <w:r w:rsidR="005B0DB0">
        <w:t xml:space="preserve">and </w:t>
      </w:r>
      <w:r w:rsidR="00CB40FF">
        <w:t>Alternate ACCESS</w:t>
      </w:r>
      <w:r>
        <w:t xml:space="preserve"> for students with IEPs and 504 plans</w:t>
      </w:r>
      <w:r w:rsidDel="004C5B34">
        <w:t xml:space="preserve"> missing one or two domains</w:t>
      </w:r>
      <w:r>
        <w:t xml:space="preserve">. A comparison of method assumptions, benefits, and drawbacks taken from their report is shown in Table 2. </w:t>
      </w:r>
    </w:p>
    <w:p w14:paraId="2EE4DE2F" w14:textId="7E31DB00" w:rsidR="00345287" w:rsidRPr="00345287" w:rsidRDefault="00345287" w:rsidP="00FC2085">
      <w:pPr>
        <w:pageBreakBefore/>
        <w:jc w:val="center"/>
        <w:rPr>
          <w:b/>
          <w:bCs/>
        </w:rPr>
      </w:pPr>
      <w:r w:rsidRPr="00345287">
        <w:rPr>
          <w:b/>
          <w:bCs/>
        </w:rPr>
        <w:lastRenderedPageBreak/>
        <w:t>Table 2: Imputation Model Assumptions, Benefits, and Drawbacks (</w:t>
      </w:r>
      <w:r w:rsidR="00E54996">
        <w:rPr>
          <w:b/>
          <w:bCs/>
        </w:rPr>
        <w:t>Porter</w:t>
      </w:r>
      <w:r>
        <w:rPr>
          <w:b/>
          <w:bCs/>
        </w:rPr>
        <w:t>,</w:t>
      </w:r>
      <w:r w:rsidR="00E54996">
        <w:rPr>
          <w:b/>
          <w:bCs/>
        </w:rPr>
        <w:t xml:space="preserve"> et al.</w:t>
      </w:r>
      <w:r w:rsidRPr="00345287">
        <w:rPr>
          <w:b/>
          <w:bCs/>
        </w:rPr>
        <w:t xml:space="preserve">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6"/>
        <w:gridCol w:w="2317"/>
        <w:gridCol w:w="2316"/>
      </w:tblGrid>
      <w:tr w:rsidR="00345287" w14:paraId="249D99A1" w14:textId="77777777" w:rsidTr="003360F9">
        <w:tc>
          <w:tcPr>
            <w:tcW w:w="2337" w:type="dxa"/>
            <w:shd w:val="clear" w:color="auto" w:fill="auto"/>
          </w:tcPr>
          <w:p w14:paraId="33B35E70" w14:textId="1D2BC387" w:rsidR="00345287" w:rsidRPr="002C3D55" w:rsidRDefault="00345287" w:rsidP="00345287">
            <w:pPr>
              <w:rPr>
                <w:rFonts w:ascii="Aptos Display" w:hAnsi="Aptos Display"/>
              </w:rPr>
            </w:pPr>
            <w:r w:rsidRPr="00FC2085">
              <w:rPr>
                <w:rFonts w:ascii="Aptos Display" w:hAnsi="Aptos Display"/>
                <w:b/>
              </w:rPr>
              <w:t xml:space="preserve">Model </w:t>
            </w:r>
          </w:p>
        </w:tc>
        <w:tc>
          <w:tcPr>
            <w:tcW w:w="2337" w:type="dxa"/>
            <w:shd w:val="clear" w:color="auto" w:fill="auto"/>
          </w:tcPr>
          <w:p w14:paraId="033AB280" w14:textId="32F8E07E" w:rsidR="00345287" w:rsidRPr="002C3D55" w:rsidRDefault="00345287" w:rsidP="00345287">
            <w:pPr>
              <w:rPr>
                <w:rFonts w:ascii="Aptos Display" w:hAnsi="Aptos Display"/>
              </w:rPr>
            </w:pPr>
            <w:r w:rsidRPr="00FC2085">
              <w:rPr>
                <w:rFonts w:ascii="Aptos Display" w:hAnsi="Aptos Display"/>
                <w:b/>
              </w:rPr>
              <w:t xml:space="preserve">Assumptions </w:t>
            </w:r>
          </w:p>
        </w:tc>
        <w:tc>
          <w:tcPr>
            <w:tcW w:w="2338" w:type="dxa"/>
            <w:shd w:val="clear" w:color="auto" w:fill="auto"/>
          </w:tcPr>
          <w:p w14:paraId="7DDE9ABC" w14:textId="10C9226F" w:rsidR="00345287" w:rsidRPr="002C3D55" w:rsidRDefault="00345287" w:rsidP="00345287">
            <w:pPr>
              <w:rPr>
                <w:rFonts w:ascii="Aptos Display" w:hAnsi="Aptos Display"/>
              </w:rPr>
            </w:pPr>
            <w:r w:rsidRPr="00FC2085">
              <w:rPr>
                <w:rFonts w:ascii="Aptos Display" w:hAnsi="Aptos Display"/>
                <w:b/>
              </w:rPr>
              <w:t xml:space="preserve">Benefits </w:t>
            </w:r>
          </w:p>
        </w:tc>
        <w:tc>
          <w:tcPr>
            <w:tcW w:w="2338" w:type="dxa"/>
          </w:tcPr>
          <w:p w14:paraId="5FE30E04" w14:textId="0F3ABBF1" w:rsidR="00345287" w:rsidRPr="002C3D55" w:rsidRDefault="00345287" w:rsidP="00345287">
            <w:pPr>
              <w:rPr>
                <w:rFonts w:ascii="Aptos Display" w:hAnsi="Aptos Display"/>
              </w:rPr>
            </w:pPr>
            <w:r w:rsidRPr="00FC2085">
              <w:rPr>
                <w:rFonts w:ascii="Aptos Display" w:hAnsi="Aptos Display"/>
                <w:b/>
              </w:rPr>
              <w:t>Drawbacks</w:t>
            </w:r>
            <w:r w:rsidRPr="00FC2085">
              <w:rPr>
                <w:rFonts w:ascii="Aptos Display" w:hAnsi="Aptos Display"/>
                <w:b/>
                <w:shd w:val="clear" w:color="auto" w:fill="E6E6E6"/>
              </w:rPr>
              <w:t xml:space="preserve"> </w:t>
            </w:r>
          </w:p>
        </w:tc>
      </w:tr>
      <w:tr w:rsidR="00345287" w14:paraId="77161D0A" w14:textId="77777777" w:rsidTr="003360F9">
        <w:tc>
          <w:tcPr>
            <w:tcW w:w="2337" w:type="dxa"/>
            <w:shd w:val="clear" w:color="auto" w:fill="auto"/>
          </w:tcPr>
          <w:p w14:paraId="4D1B77B9" w14:textId="5B48C831" w:rsidR="00345287" w:rsidRPr="002C3D55" w:rsidRDefault="00345287" w:rsidP="00345287">
            <w:r w:rsidRPr="00FC2085">
              <w:rPr>
                <w:b/>
              </w:rPr>
              <w:t xml:space="preserve">Designate exit score(s) </w:t>
            </w:r>
          </w:p>
        </w:tc>
        <w:tc>
          <w:tcPr>
            <w:tcW w:w="2337" w:type="dxa"/>
            <w:shd w:val="clear" w:color="auto" w:fill="auto"/>
          </w:tcPr>
          <w:p w14:paraId="31CCE3ED" w14:textId="2FCCB3E2" w:rsidR="00345287" w:rsidRPr="002C3D55" w:rsidRDefault="00345287" w:rsidP="00345287">
            <w:r w:rsidRPr="00FC2085">
              <w:t xml:space="preserve">Missing domain score should be assumed as </w:t>
            </w:r>
            <w:r w:rsidRPr="002C3D55">
              <w:t>met</w:t>
            </w:r>
            <w:r w:rsidR="008F22AB" w:rsidRPr="002C3D55">
              <w:t>.</w:t>
            </w:r>
            <w:r w:rsidRPr="002C3D55"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3EC9375" w14:textId="77777777" w:rsidR="00345287" w:rsidRPr="00FC2085" w:rsidRDefault="00345287" w:rsidP="0034528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C20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Easiest model to apply. </w:t>
            </w:r>
          </w:p>
          <w:p w14:paraId="75E199D6" w14:textId="77777777" w:rsidR="00345287" w:rsidRPr="00FC2085" w:rsidRDefault="00345287" w:rsidP="0034528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C20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Easy concept to understand. </w:t>
            </w:r>
          </w:p>
          <w:p w14:paraId="1C50CE45" w14:textId="6AD798A2" w:rsidR="00345287" w:rsidRPr="002C3D55" w:rsidRDefault="00345287" w:rsidP="00345287">
            <w:r w:rsidRPr="00FC2085">
              <w:t xml:space="preserve">Provides assumed missing score benefit. </w:t>
            </w:r>
          </w:p>
        </w:tc>
        <w:tc>
          <w:tcPr>
            <w:tcW w:w="2338" w:type="dxa"/>
          </w:tcPr>
          <w:p w14:paraId="6305F85E" w14:textId="6C075C49" w:rsidR="00345287" w:rsidRPr="002C3D55" w:rsidRDefault="00345287" w:rsidP="00345287">
            <w:r w:rsidRPr="002C3D55">
              <w:rPr>
                <w:sz w:val="23"/>
                <w:szCs w:val="23"/>
              </w:rPr>
              <w:t xml:space="preserve">Likely to provide an inflated higher score. </w:t>
            </w:r>
          </w:p>
        </w:tc>
      </w:tr>
      <w:tr w:rsidR="00345287" w14:paraId="7120E736" w14:textId="77777777" w:rsidTr="00345287">
        <w:tc>
          <w:tcPr>
            <w:tcW w:w="2337" w:type="dxa"/>
          </w:tcPr>
          <w:p w14:paraId="2665023E" w14:textId="716C49D6" w:rsidR="00345287" w:rsidRPr="003360F9" w:rsidRDefault="00345287" w:rsidP="00345287">
            <w:r w:rsidRPr="003360F9">
              <w:rPr>
                <w:b/>
                <w:bCs/>
                <w:sz w:val="23"/>
                <w:szCs w:val="23"/>
              </w:rPr>
              <w:t xml:space="preserve">Apply average observed domain score(s) </w:t>
            </w:r>
          </w:p>
        </w:tc>
        <w:tc>
          <w:tcPr>
            <w:tcW w:w="2337" w:type="dxa"/>
          </w:tcPr>
          <w:p w14:paraId="0C13D6E0" w14:textId="6259978B" w:rsidR="00345287" w:rsidRPr="003360F9" w:rsidRDefault="00345287" w:rsidP="00345287">
            <w:r w:rsidRPr="003360F9">
              <w:rPr>
                <w:sz w:val="23"/>
                <w:szCs w:val="23"/>
              </w:rPr>
              <w:t xml:space="preserve">High correlation between domain scores. </w:t>
            </w:r>
          </w:p>
        </w:tc>
        <w:tc>
          <w:tcPr>
            <w:tcW w:w="2338" w:type="dxa"/>
          </w:tcPr>
          <w:p w14:paraId="221792A1" w14:textId="77777777" w:rsidR="00345287" w:rsidRPr="003360F9" w:rsidRDefault="00345287" w:rsidP="0034528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60F9">
              <w:rPr>
                <w:rFonts w:asciiTheme="minorHAnsi" w:hAnsiTheme="minorHAnsi"/>
                <w:sz w:val="23"/>
                <w:szCs w:val="23"/>
              </w:rPr>
              <w:t xml:space="preserve">Easy to apply. </w:t>
            </w:r>
          </w:p>
          <w:p w14:paraId="7D60E9E0" w14:textId="77777777" w:rsidR="00345287" w:rsidRPr="003360F9" w:rsidRDefault="00345287" w:rsidP="0034528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60F9">
              <w:rPr>
                <w:rFonts w:asciiTheme="minorHAnsi" w:hAnsiTheme="minorHAnsi"/>
                <w:sz w:val="23"/>
                <w:szCs w:val="23"/>
              </w:rPr>
              <w:t xml:space="preserve">Easy concept to understand. </w:t>
            </w:r>
          </w:p>
          <w:p w14:paraId="7026F463" w14:textId="09F929D8" w:rsidR="00345287" w:rsidRPr="003360F9" w:rsidRDefault="00345287" w:rsidP="00345287">
            <w:r w:rsidRPr="003360F9">
              <w:rPr>
                <w:sz w:val="23"/>
                <w:szCs w:val="23"/>
              </w:rPr>
              <w:t xml:space="preserve">State can easily calculate with its own data. </w:t>
            </w:r>
          </w:p>
        </w:tc>
        <w:tc>
          <w:tcPr>
            <w:tcW w:w="2338" w:type="dxa"/>
          </w:tcPr>
          <w:p w14:paraId="36C6F380" w14:textId="77777777" w:rsidR="00345287" w:rsidRPr="003360F9" w:rsidRDefault="00345287" w:rsidP="0034528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60F9">
              <w:rPr>
                <w:rFonts w:asciiTheme="minorHAnsi" w:hAnsiTheme="minorHAnsi"/>
                <w:sz w:val="23"/>
                <w:szCs w:val="23"/>
              </w:rPr>
              <w:t xml:space="preserve">If correlations are not high, scores may be too high or low. </w:t>
            </w:r>
          </w:p>
          <w:p w14:paraId="217A6FD4" w14:textId="0978398A" w:rsidR="00345287" w:rsidRPr="003360F9" w:rsidRDefault="00345287" w:rsidP="00345287">
            <w:r w:rsidRPr="003360F9">
              <w:rPr>
                <w:sz w:val="23"/>
                <w:szCs w:val="23"/>
              </w:rPr>
              <w:t xml:space="preserve">Requires lookup table. </w:t>
            </w:r>
          </w:p>
        </w:tc>
      </w:tr>
      <w:tr w:rsidR="00345287" w14:paraId="1F99940A" w14:textId="77777777" w:rsidTr="00345287">
        <w:tc>
          <w:tcPr>
            <w:tcW w:w="2337" w:type="dxa"/>
          </w:tcPr>
          <w:p w14:paraId="16530299" w14:textId="078A046A" w:rsidR="00345287" w:rsidRPr="003360F9" w:rsidRDefault="00345287" w:rsidP="00345287">
            <w:r w:rsidRPr="003360F9">
              <w:rPr>
                <w:b/>
                <w:bCs/>
                <w:sz w:val="23"/>
                <w:szCs w:val="23"/>
              </w:rPr>
              <w:t xml:space="preserve">Assign average </w:t>
            </w:r>
            <w:r w:rsidR="00DE6022" w:rsidRPr="003360F9">
              <w:rPr>
                <w:b/>
                <w:bCs/>
              </w:rPr>
              <w:t>Z</w:t>
            </w:r>
            <w:r w:rsidRPr="003360F9">
              <w:rPr>
                <w:b/>
                <w:bCs/>
                <w:sz w:val="23"/>
                <w:szCs w:val="23"/>
              </w:rPr>
              <w:t xml:space="preserve">-score </w:t>
            </w:r>
          </w:p>
        </w:tc>
        <w:tc>
          <w:tcPr>
            <w:tcW w:w="2337" w:type="dxa"/>
          </w:tcPr>
          <w:p w14:paraId="0997645A" w14:textId="22BCB500" w:rsidR="00345287" w:rsidRPr="003360F9" w:rsidRDefault="00345287" w:rsidP="00345287">
            <w:r w:rsidRPr="003360F9">
              <w:rPr>
                <w:sz w:val="23"/>
                <w:szCs w:val="23"/>
              </w:rPr>
              <w:t xml:space="preserve">Normal observed domain score distribution and high correlation between domain scores </w:t>
            </w:r>
          </w:p>
        </w:tc>
        <w:tc>
          <w:tcPr>
            <w:tcW w:w="2338" w:type="dxa"/>
          </w:tcPr>
          <w:p w14:paraId="0FF19017" w14:textId="7EB8B11A" w:rsidR="00345287" w:rsidRPr="003360F9" w:rsidRDefault="00345287" w:rsidP="00345287">
            <w:r w:rsidRPr="003360F9">
              <w:rPr>
                <w:sz w:val="23"/>
                <w:szCs w:val="23"/>
              </w:rPr>
              <w:t>Frequently observed assumption about domain score distributions</w:t>
            </w:r>
            <w:r w:rsidRPr="003360F9">
              <w:rPr>
                <w:color w:val="2B579A"/>
                <w:shd w:val="clear" w:color="auto" w:fill="E6E6E6"/>
              </w:rPr>
              <w:t xml:space="preserve"> </w:t>
            </w:r>
          </w:p>
        </w:tc>
        <w:tc>
          <w:tcPr>
            <w:tcW w:w="2338" w:type="dxa"/>
          </w:tcPr>
          <w:p w14:paraId="79044558" w14:textId="77777777" w:rsidR="00345287" w:rsidRPr="003360F9" w:rsidRDefault="00345287" w:rsidP="00345287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360F9">
              <w:rPr>
                <w:rFonts w:asciiTheme="minorHAnsi" w:hAnsiTheme="minorHAnsi"/>
                <w:sz w:val="23"/>
                <w:szCs w:val="23"/>
              </w:rPr>
              <w:t xml:space="preserve">Complex. </w:t>
            </w:r>
          </w:p>
          <w:p w14:paraId="41316918" w14:textId="33E53EC6" w:rsidR="00345287" w:rsidRPr="003360F9" w:rsidRDefault="00345287" w:rsidP="00345287">
            <w:r w:rsidRPr="003360F9">
              <w:rPr>
                <w:sz w:val="23"/>
                <w:szCs w:val="23"/>
              </w:rPr>
              <w:t xml:space="preserve">Requires multiple look-up tables. </w:t>
            </w:r>
          </w:p>
        </w:tc>
      </w:tr>
      <w:tr w:rsidR="00345287" w14:paraId="7145FFC9" w14:textId="77777777" w:rsidTr="00345287">
        <w:tc>
          <w:tcPr>
            <w:tcW w:w="2337" w:type="dxa"/>
          </w:tcPr>
          <w:p w14:paraId="61D100B3" w14:textId="7CA60ADE" w:rsidR="00345287" w:rsidRPr="003360F9" w:rsidRDefault="00345287" w:rsidP="00345287">
            <w:r w:rsidRPr="003360F9">
              <w:rPr>
                <w:b/>
                <w:bCs/>
                <w:sz w:val="23"/>
                <w:szCs w:val="23"/>
              </w:rPr>
              <w:t xml:space="preserve">Conduct a standard setting </w:t>
            </w:r>
          </w:p>
        </w:tc>
        <w:tc>
          <w:tcPr>
            <w:tcW w:w="2337" w:type="dxa"/>
          </w:tcPr>
          <w:p w14:paraId="2A14AE4B" w14:textId="38E674C5" w:rsidR="00345287" w:rsidRPr="003360F9" w:rsidRDefault="00345287" w:rsidP="00345287">
            <w:r w:rsidRPr="003360F9">
              <w:rPr>
                <w:sz w:val="23"/>
                <w:szCs w:val="23"/>
              </w:rPr>
              <w:t xml:space="preserve">State experts are better decision-makers than score distribution </w:t>
            </w:r>
            <w:r w:rsidRPr="003360F9">
              <w:t>calculations</w:t>
            </w:r>
            <w:r w:rsidR="008F22AB" w:rsidRPr="003360F9">
              <w:t>.</w:t>
            </w:r>
            <w:r w:rsidRPr="003360F9">
              <w:t xml:space="preserve"> </w:t>
            </w:r>
          </w:p>
        </w:tc>
        <w:tc>
          <w:tcPr>
            <w:tcW w:w="2338" w:type="dxa"/>
          </w:tcPr>
          <w:p w14:paraId="40924503" w14:textId="77777777" w:rsidR="00345287" w:rsidRPr="003360F9" w:rsidRDefault="00345287" w:rsidP="00345287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360F9">
              <w:rPr>
                <w:rFonts w:asciiTheme="minorHAnsi" w:hAnsiTheme="minorHAnsi"/>
                <w:sz w:val="23"/>
                <w:szCs w:val="23"/>
              </w:rPr>
              <w:t xml:space="preserve">Often accepted by peer reviewers. </w:t>
            </w:r>
          </w:p>
          <w:p w14:paraId="766F2FDC" w14:textId="466E5BC2" w:rsidR="00345287" w:rsidRPr="003360F9" w:rsidRDefault="00345287" w:rsidP="00345287">
            <w:r w:rsidRPr="003360F9">
              <w:rPr>
                <w:sz w:val="23"/>
                <w:szCs w:val="23"/>
              </w:rPr>
              <w:t xml:space="preserve">Uses local, state-specific experts and criteria. </w:t>
            </w:r>
          </w:p>
        </w:tc>
        <w:tc>
          <w:tcPr>
            <w:tcW w:w="2338" w:type="dxa"/>
          </w:tcPr>
          <w:p w14:paraId="12C2E8E3" w14:textId="77777777" w:rsidR="00345287" w:rsidRPr="003360F9" w:rsidRDefault="00345287" w:rsidP="0034528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60F9">
              <w:rPr>
                <w:rFonts w:asciiTheme="minorHAnsi" w:hAnsiTheme="minorHAnsi"/>
                <w:sz w:val="23"/>
                <w:szCs w:val="23"/>
              </w:rPr>
              <w:t xml:space="preserve">Requires standard setting expertise. </w:t>
            </w:r>
          </w:p>
          <w:p w14:paraId="5A6D03E9" w14:textId="77777777" w:rsidR="00345287" w:rsidRPr="003360F9" w:rsidRDefault="00345287" w:rsidP="0034528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360F9">
              <w:rPr>
                <w:rFonts w:asciiTheme="minorHAnsi" w:hAnsiTheme="minorHAnsi"/>
                <w:sz w:val="23"/>
                <w:szCs w:val="23"/>
              </w:rPr>
              <w:t xml:space="preserve">Labor intensive. </w:t>
            </w:r>
          </w:p>
          <w:p w14:paraId="228C091A" w14:textId="233BEB5F" w:rsidR="00345287" w:rsidRPr="003360F9" w:rsidRDefault="00345287" w:rsidP="00345287">
            <w:r w:rsidRPr="003360F9">
              <w:rPr>
                <w:sz w:val="23"/>
                <w:szCs w:val="23"/>
              </w:rPr>
              <w:t xml:space="preserve">Requires substantial financial investment. </w:t>
            </w:r>
          </w:p>
        </w:tc>
      </w:tr>
    </w:tbl>
    <w:p w14:paraId="7613B940" w14:textId="77777777" w:rsidR="00581E05" w:rsidRDefault="00581E05" w:rsidP="00345287"/>
    <w:p w14:paraId="52E93CE2" w14:textId="405835C0" w:rsidR="00EF1BB7" w:rsidRDefault="00EF1BB7" w:rsidP="00345287">
      <w:r>
        <w:t xml:space="preserve">In 2019, DESE conducted an internal report comparing the average score method and </w:t>
      </w:r>
      <w:r w:rsidR="002E7ABF">
        <w:t>Z</w:t>
      </w:r>
      <w:r>
        <w:t>-score method of imputing scores and found that both methods had similar accuracies</w:t>
      </w:r>
      <w:r w:rsidR="006B4808">
        <w:t>. The</w:t>
      </w:r>
      <w:r>
        <w:t xml:space="preserve"> average score method ha</w:t>
      </w:r>
      <w:r w:rsidR="0085022C">
        <w:t>d</w:t>
      </w:r>
      <w:r>
        <w:t xml:space="preserve"> higher </w:t>
      </w:r>
      <w:proofErr w:type="gramStart"/>
      <w:r>
        <w:t>sensitivity</w:t>
      </w:r>
      <w:proofErr w:type="gramEnd"/>
      <w:r>
        <w:t xml:space="preserve"> and the </w:t>
      </w:r>
      <w:r w:rsidR="004F2F6E">
        <w:t>Z</w:t>
      </w:r>
      <w:r>
        <w:t xml:space="preserve">-score method </w:t>
      </w:r>
      <w:r w:rsidR="0085022C">
        <w:t xml:space="preserve">had </w:t>
      </w:r>
      <w:r>
        <w:t xml:space="preserve">higher correlations with observed </w:t>
      </w:r>
      <w:r w:rsidR="004D11BE">
        <w:t xml:space="preserve">(earned) </w:t>
      </w:r>
      <w:r>
        <w:t>scores.</w:t>
      </w:r>
      <w:r w:rsidR="00227AF8">
        <w:t xml:space="preserve"> </w:t>
      </w:r>
      <w:r w:rsidR="00353F98">
        <w:t xml:space="preserve">DESE concluded that </w:t>
      </w:r>
      <w:r w:rsidR="00596314">
        <w:t xml:space="preserve">the average score method provided </w:t>
      </w:r>
      <w:r w:rsidR="00353F98">
        <w:t xml:space="preserve">similar </w:t>
      </w:r>
      <w:r w:rsidR="00405DF7">
        <w:t>predictive validities</w:t>
      </w:r>
      <w:r w:rsidR="00596314">
        <w:t xml:space="preserve"> and decided to</w:t>
      </w:r>
      <w:r w:rsidR="00405DF7">
        <w:t xml:space="preserve"> adopt</w:t>
      </w:r>
      <w:r w:rsidR="00596314">
        <w:t xml:space="preserve"> it</w:t>
      </w:r>
      <w:r w:rsidR="00405DF7">
        <w:t xml:space="preserve"> due to its relative computational ease</w:t>
      </w:r>
      <w:r w:rsidR="00E54996">
        <w:t xml:space="preserve"> (Flanagan &amp; Wiener, 2019)</w:t>
      </w:r>
      <w:r w:rsidR="00405DF7">
        <w:t xml:space="preserve">. </w:t>
      </w:r>
      <w:r w:rsidR="00227AF8">
        <w:t xml:space="preserve"> </w:t>
      </w:r>
    </w:p>
    <w:p w14:paraId="33B146D3" w14:textId="77777777" w:rsidR="001205AD" w:rsidRDefault="001205AD" w:rsidP="001205AD">
      <w:pPr>
        <w:pStyle w:val="Heading2"/>
      </w:pPr>
      <w:bookmarkStart w:id="3" w:name="_Toc171339043"/>
      <w:r w:rsidRPr="00345287">
        <w:t>Averag</w:t>
      </w:r>
      <w:r>
        <w:t>e Score</w:t>
      </w:r>
      <w:r w:rsidRPr="00345287">
        <w:t xml:space="preserve"> Method</w:t>
      </w:r>
      <w:bookmarkEnd w:id="3"/>
    </w:p>
    <w:p w14:paraId="32F6CE37" w14:textId="2E544FCA" w:rsidR="001205AD" w:rsidRDefault="001205AD" w:rsidP="001205AD">
      <w:r>
        <w:t>The average score method is a three-step process</w:t>
      </w:r>
      <w:r w:rsidR="00596314">
        <w:t>:</w:t>
      </w:r>
      <w:r>
        <w:t xml:space="preserve"> </w:t>
      </w:r>
    </w:p>
    <w:p w14:paraId="4151EB59" w14:textId="221B24A2" w:rsidR="001205AD" w:rsidRDefault="00596314" w:rsidP="001205AD">
      <w:pPr>
        <w:pStyle w:val="ListParagraph"/>
        <w:numPr>
          <w:ilvl w:val="0"/>
          <w:numId w:val="2"/>
        </w:numPr>
      </w:pPr>
      <w:r>
        <w:t>A</w:t>
      </w:r>
      <w:r w:rsidR="001205AD">
        <w:t xml:space="preserve">n imputed score is estimated for up to two missing domains using an average of available scaled scores. </w:t>
      </w:r>
    </w:p>
    <w:p w14:paraId="7EBE873A" w14:textId="635ED96D" w:rsidR="001205AD" w:rsidRDefault="00596314" w:rsidP="001205AD">
      <w:pPr>
        <w:pStyle w:val="ListParagraph"/>
        <w:numPr>
          <w:ilvl w:val="0"/>
          <w:numId w:val="2"/>
        </w:numPr>
      </w:pPr>
      <w:r>
        <w:t>A</w:t>
      </w:r>
      <w:r w:rsidR="001205AD">
        <w:t xml:space="preserve">n overall score is imputed using WIDA’s standard weighting of domain scores (35% of Reading + 35% of Writing + 15% of Listening + 15% of Speaking). </w:t>
      </w:r>
    </w:p>
    <w:p w14:paraId="6E56AA5D" w14:textId="52CB9922" w:rsidR="001205AD" w:rsidRDefault="00596314" w:rsidP="001205AD">
      <w:pPr>
        <w:pStyle w:val="ListParagraph"/>
        <w:numPr>
          <w:ilvl w:val="0"/>
          <w:numId w:val="2"/>
        </w:numPr>
      </w:pPr>
      <w:r>
        <w:t>An</w:t>
      </w:r>
      <w:r w:rsidR="001205AD">
        <w:t xml:space="preserve"> imputed overall proficiency level is assigned using a conversion table.  </w:t>
      </w:r>
    </w:p>
    <w:p w14:paraId="176B7C22" w14:textId="08FDCEBB" w:rsidR="001205AD" w:rsidRDefault="00066BB2" w:rsidP="001205AD">
      <w:r w:rsidDel="002E7ABF">
        <w:t>I</w:t>
      </w:r>
      <w:r>
        <w:t>n 2020</w:t>
      </w:r>
      <w:r w:rsidDel="002E7ABF">
        <w:t>,</w:t>
      </w:r>
      <w:r>
        <w:t xml:space="preserve"> WIDA released an additional report with a simple </w:t>
      </w:r>
      <w:r w:rsidR="00A52937">
        <w:t xml:space="preserve">reweighting </w:t>
      </w:r>
      <w:r>
        <w:t>method to impute missing overall scores</w:t>
      </w:r>
      <w:r w:rsidR="00A52937">
        <w:t>; this report was</w:t>
      </w:r>
      <w:r w:rsidR="00A52937" w:rsidDel="002E7ABF">
        <w:t xml:space="preserve"> </w:t>
      </w:r>
      <w:r w:rsidDel="002E7ABF">
        <w:t>i</w:t>
      </w:r>
      <w:r w:rsidR="00B90AEF" w:rsidDel="002E7ABF">
        <w:t>n response to state feedback detailing the computational complexity of imputation methods</w:t>
      </w:r>
      <w:r>
        <w:t>.</w:t>
      </w:r>
      <w:r w:rsidR="00B90AEF">
        <w:t xml:space="preserve"> </w:t>
      </w:r>
      <w:r>
        <w:t xml:space="preserve">The 2020 WIDA report showed that the </w:t>
      </w:r>
      <w:r w:rsidR="00091386">
        <w:t xml:space="preserve">reweighting </w:t>
      </w:r>
      <w:r>
        <w:t xml:space="preserve">method was highly correlated with observed scores and imputed scores from the Z-score method detailed </w:t>
      </w:r>
      <w:r>
        <w:lastRenderedPageBreak/>
        <w:t>in their first report</w:t>
      </w:r>
      <w:r w:rsidR="00E54996">
        <w:t xml:space="preserve"> (Sahakyan, 2020)</w:t>
      </w:r>
      <w:r>
        <w:t xml:space="preserve">. </w:t>
      </w:r>
      <w:r w:rsidR="00B90AEF">
        <w:t xml:space="preserve">WIDA </w:t>
      </w:r>
      <w:r>
        <w:t xml:space="preserve">now </w:t>
      </w:r>
      <w:r w:rsidR="00B90AEF">
        <w:t xml:space="preserve">provides states with an Excel tool to calculate missing overall scores and levels simply by copying and pasting data. </w:t>
      </w:r>
    </w:p>
    <w:p w14:paraId="272C207A" w14:textId="2BB30430" w:rsidR="00066BB2" w:rsidRDefault="00066BB2" w:rsidP="002D11A3">
      <w:pPr>
        <w:pStyle w:val="Heading2"/>
      </w:pPr>
      <w:bookmarkStart w:id="4" w:name="_Toc171339044"/>
      <w:r w:rsidRPr="00066BB2">
        <w:t>Reweighting Method</w:t>
      </w:r>
      <w:bookmarkEnd w:id="4"/>
    </w:p>
    <w:p w14:paraId="60B19665" w14:textId="789F6E3E" w:rsidR="00066BB2" w:rsidRDefault="00066BB2" w:rsidP="00066BB2">
      <w:r>
        <w:t>The reweighting method is a two-step process</w:t>
      </w:r>
      <w:r w:rsidR="00091386">
        <w:t>:</w:t>
      </w:r>
      <w:r>
        <w:t xml:space="preserve"> </w:t>
      </w:r>
    </w:p>
    <w:p w14:paraId="6688C892" w14:textId="7014CD01" w:rsidR="00066BB2" w:rsidRDefault="00066BB2" w:rsidP="00066BB2">
      <w:pPr>
        <w:pStyle w:val="ListParagraph"/>
        <w:numPr>
          <w:ilvl w:val="0"/>
          <w:numId w:val="3"/>
        </w:numPr>
      </w:pPr>
      <w:r>
        <w:t>And overall score is imputed using a reweighting matrix (see Table 3 below</w:t>
      </w:r>
      <w:r w:rsidR="006363B2">
        <w:t>; weights</w:t>
      </w:r>
      <w:r w:rsidR="00EE79AD">
        <w:t xml:space="preserve"> are</w:t>
      </w:r>
      <w:r w:rsidR="006363B2">
        <w:t xml:space="preserve"> presented as percents</w:t>
      </w:r>
      <w:r>
        <w:t xml:space="preserve">). </w:t>
      </w:r>
    </w:p>
    <w:p w14:paraId="11F068A8" w14:textId="268EF4AC" w:rsidR="00FC2085" w:rsidRPr="00FC2085" w:rsidRDefault="00EE79AD" w:rsidP="00FC2085">
      <w:pPr>
        <w:pStyle w:val="ListParagraph"/>
        <w:numPr>
          <w:ilvl w:val="0"/>
          <w:numId w:val="3"/>
        </w:numPr>
        <w:rPr>
          <w:b/>
          <w:bCs/>
        </w:rPr>
      </w:pPr>
      <w:r>
        <w:t>A</w:t>
      </w:r>
      <w:r w:rsidR="00066BB2">
        <w:t>n imputed overall proficiency level is assigned using a conversion table.</w:t>
      </w:r>
    </w:p>
    <w:p w14:paraId="31F84DE4" w14:textId="77777777" w:rsidR="00FC2085" w:rsidRPr="00FC2085" w:rsidRDefault="00FC2085" w:rsidP="00FC2085">
      <w:pPr>
        <w:rPr>
          <w:b/>
          <w:bCs/>
        </w:rPr>
      </w:pPr>
    </w:p>
    <w:p w14:paraId="08A21075" w14:textId="6999E750" w:rsidR="00066BB2" w:rsidRDefault="00066BB2" w:rsidP="00FC2085">
      <w:pPr>
        <w:jc w:val="center"/>
        <w:rPr>
          <w:b/>
          <w:bCs/>
        </w:rPr>
      </w:pPr>
      <w:r w:rsidRPr="00066BB2">
        <w:rPr>
          <w:b/>
          <w:bCs/>
        </w:rPr>
        <w:t>Table 3. Reweighting of domains for students with missing test scores in one or two domains</w:t>
      </w:r>
    </w:p>
    <w:tbl>
      <w:tblPr>
        <w:tblStyle w:val="TableGrid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91"/>
        <w:gridCol w:w="2574"/>
        <w:gridCol w:w="1430"/>
        <w:gridCol w:w="1430"/>
        <w:gridCol w:w="1430"/>
        <w:gridCol w:w="1431"/>
      </w:tblGrid>
      <w:tr w:rsidR="00581CB0" w14:paraId="5DD3705F" w14:textId="77777777" w:rsidTr="00581CB0">
        <w:trPr>
          <w:trHeight w:val="547"/>
        </w:trPr>
        <w:tc>
          <w:tcPr>
            <w:tcW w:w="3865" w:type="dxa"/>
            <w:gridSpan w:val="2"/>
            <w:vAlign w:val="center"/>
          </w:tcPr>
          <w:p w14:paraId="1F596DD7" w14:textId="3680421B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Missing Domains</w:t>
            </w:r>
          </w:p>
        </w:tc>
        <w:tc>
          <w:tcPr>
            <w:tcW w:w="1430" w:type="dxa"/>
            <w:vAlign w:val="center"/>
          </w:tcPr>
          <w:p w14:paraId="44D79D28" w14:textId="462D902C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1430" w:type="dxa"/>
            <w:vAlign w:val="center"/>
          </w:tcPr>
          <w:p w14:paraId="1EB4EF62" w14:textId="4E74D0B5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1430" w:type="dxa"/>
            <w:vAlign w:val="center"/>
          </w:tcPr>
          <w:p w14:paraId="1E505301" w14:textId="1D56FB15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</w:tc>
        <w:tc>
          <w:tcPr>
            <w:tcW w:w="1431" w:type="dxa"/>
            <w:vAlign w:val="center"/>
          </w:tcPr>
          <w:p w14:paraId="0A8CFD05" w14:textId="17F4B744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</w:tc>
      </w:tr>
      <w:tr w:rsidR="00581CB0" w14:paraId="2124251E" w14:textId="77777777" w:rsidTr="00581CB0">
        <w:trPr>
          <w:cantSplit/>
          <w:trHeight w:val="547"/>
        </w:trPr>
        <w:tc>
          <w:tcPr>
            <w:tcW w:w="3865" w:type="dxa"/>
            <w:gridSpan w:val="2"/>
            <w:shd w:val="clear" w:color="auto" w:fill="FFC000"/>
            <w:vAlign w:val="center"/>
          </w:tcPr>
          <w:p w14:paraId="138AD843" w14:textId="356A9C75" w:rsidR="00581CB0" w:rsidRDefault="006363B2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Missing Domains (Standard Weighting)</w:t>
            </w:r>
          </w:p>
        </w:tc>
        <w:tc>
          <w:tcPr>
            <w:tcW w:w="1430" w:type="dxa"/>
            <w:shd w:val="clear" w:color="auto" w:fill="FFC000"/>
            <w:vAlign w:val="center"/>
          </w:tcPr>
          <w:p w14:paraId="50973D75" w14:textId="1EC5EC5D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30" w:type="dxa"/>
            <w:shd w:val="clear" w:color="auto" w:fill="FFC000"/>
            <w:vAlign w:val="center"/>
          </w:tcPr>
          <w:p w14:paraId="551D9768" w14:textId="493E6978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30" w:type="dxa"/>
            <w:shd w:val="clear" w:color="auto" w:fill="FFC000"/>
            <w:vAlign w:val="center"/>
          </w:tcPr>
          <w:p w14:paraId="6B464BD1" w14:textId="786B23DA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31" w:type="dxa"/>
            <w:shd w:val="clear" w:color="auto" w:fill="FFC000"/>
            <w:vAlign w:val="center"/>
          </w:tcPr>
          <w:p w14:paraId="02D7855E" w14:textId="01EE4D1E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81CB0" w14:paraId="13CADA15" w14:textId="77777777" w:rsidTr="00581CB0">
        <w:trPr>
          <w:cantSplit/>
          <w:trHeight w:val="548"/>
        </w:trPr>
        <w:tc>
          <w:tcPr>
            <w:tcW w:w="1291" w:type="dxa"/>
            <w:vMerge w:val="restart"/>
            <w:shd w:val="clear" w:color="auto" w:fill="A5C9EB" w:themeFill="text2" w:themeFillTint="40"/>
            <w:textDirection w:val="btLr"/>
            <w:vAlign w:val="center"/>
          </w:tcPr>
          <w:p w14:paraId="3D6E49E4" w14:textId="19E80643" w:rsidR="00581CB0" w:rsidRDefault="00581CB0" w:rsidP="00581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 Missing Domain</w:t>
            </w:r>
          </w:p>
        </w:tc>
        <w:tc>
          <w:tcPr>
            <w:tcW w:w="2574" w:type="dxa"/>
            <w:vAlign w:val="center"/>
          </w:tcPr>
          <w:p w14:paraId="02B0ABB3" w14:textId="04F81C9C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>Reading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4EB79432" w14:textId="65D97803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0" w:type="dxa"/>
            <w:vAlign w:val="center"/>
          </w:tcPr>
          <w:p w14:paraId="73BD1569" w14:textId="09D850E0" w:rsidR="00581CB0" w:rsidRPr="00581CB0" w:rsidRDefault="00581CB0" w:rsidP="00581CB0">
            <w:pPr>
              <w:jc w:val="center"/>
            </w:pPr>
            <w:r w:rsidRPr="00581CB0">
              <w:t>46</w:t>
            </w:r>
          </w:p>
        </w:tc>
        <w:tc>
          <w:tcPr>
            <w:tcW w:w="1430" w:type="dxa"/>
            <w:vAlign w:val="center"/>
          </w:tcPr>
          <w:p w14:paraId="37EB466B" w14:textId="7896255D" w:rsidR="00581CB0" w:rsidRPr="00581CB0" w:rsidRDefault="00581CB0" w:rsidP="00581CB0">
            <w:pPr>
              <w:jc w:val="center"/>
            </w:pPr>
            <w:r w:rsidRPr="00581CB0">
              <w:t>27</w:t>
            </w:r>
          </w:p>
        </w:tc>
        <w:tc>
          <w:tcPr>
            <w:tcW w:w="1431" w:type="dxa"/>
            <w:vAlign w:val="center"/>
          </w:tcPr>
          <w:p w14:paraId="57F958A7" w14:textId="159E1C2D" w:rsidR="00581CB0" w:rsidRPr="00581CB0" w:rsidRDefault="00581CB0" w:rsidP="00581CB0">
            <w:pPr>
              <w:jc w:val="center"/>
            </w:pPr>
            <w:r w:rsidRPr="00581CB0">
              <w:t>27</w:t>
            </w:r>
          </w:p>
        </w:tc>
      </w:tr>
      <w:tr w:rsidR="00581CB0" w14:paraId="16C9A731" w14:textId="77777777" w:rsidTr="00581CB0">
        <w:trPr>
          <w:cantSplit/>
          <w:trHeight w:val="548"/>
        </w:trPr>
        <w:tc>
          <w:tcPr>
            <w:tcW w:w="1291" w:type="dxa"/>
            <w:vMerge/>
            <w:shd w:val="clear" w:color="auto" w:fill="A5C9EB" w:themeFill="text2" w:themeFillTint="40"/>
            <w:vAlign w:val="center"/>
          </w:tcPr>
          <w:p w14:paraId="10DCBE80" w14:textId="77777777" w:rsidR="00581CB0" w:rsidRDefault="00581CB0" w:rsidP="00581CB0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Align w:val="center"/>
          </w:tcPr>
          <w:p w14:paraId="681D222E" w14:textId="4B1572AA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>Writing</w:t>
            </w:r>
          </w:p>
        </w:tc>
        <w:tc>
          <w:tcPr>
            <w:tcW w:w="1430" w:type="dxa"/>
            <w:vAlign w:val="center"/>
          </w:tcPr>
          <w:p w14:paraId="40B534A6" w14:textId="6F44F19E" w:rsidR="00581CB0" w:rsidRPr="00581CB0" w:rsidRDefault="00581CB0" w:rsidP="00581CB0">
            <w:pPr>
              <w:jc w:val="center"/>
            </w:pPr>
            <w:r w:rsidRPr="00581CB0">
              <w:t>46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02B19A67" w14:textId="7B08120E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0" w:type="dxa"/>
            <w:vAlign w:val="center"/>
          </w:tcPr>
          <w:p w14:paraId="727D0994" w14:textId="7B4436EA" w:rsidR="00581CB0" w:rsidRPr="00581CB0" w:rsidRDefault="00581CB0" w:rsidP="00581CB0">
            <w:pPr>
              <w:jc w:val="center"/>
            </w:pPr>
            <w:r w:rsidRPr="00581CB0">
              <w:t>27</w:t>
            </w:r>
          </w:p>
        </w:tc>
        <w:tc>
          <w:tcPr>
            <w:tcW w:w="1431" w:type="dxa"/>
            <w:vAlign w:val="center"/>
          </w:tcPr>
          <w:p w14:paraId="41E55A65" w14:textId="09C2FBB8" w:rsidR="00581CB0" w:rsidRPr="00581CB0" w:rsidRDefault="00581CB0" w:rsidP="00581CB0">
            <w:pPr>
              <w:jc w:val="center"/>
            </w:pPr>
            <w:r w:rsidRPr="00581CB0">
              <w:t>27</w:t>
            </w:r>
          </w:p>
        </w:tc>
      </w:tr>
      <w:tr w:rsidR="00581CB0" w14:paraId="320A0464" w14:textId="77777777" w:rsidTr="00581CB0">
        <w:trPr>
          <w:cantSplit/>
          <w:trHeight w:val="548"/>
        </w:trPr>
        <w:tc>
          <w:tcPr>
            <w:tcW w:w="1291" w:type="dxa"/>
            <w:vMerge/>
            <w:shd w:val="clear" w:color="auto" w:fill="A5C9EB" w:themeFill="text2" w:themeFillTint="40"/>
            <w:vAlign w:val="center"/>
          </w:tcPr>
          <w:p w14:paraId="289355B1" w14:textId="77777777" w:rsidR="00581CB0" w:rsidRDefault="00581CB0" w:rsidP="00581CB0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Align w:val="center"/>
          </w:tcPr>
          <w:p w14:paraId="511FB5C0" w14:textId="7F84E6B3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>Listening</w:t>
            </w:r>
          </w:p>
        </w:tc>
        <w:tc>
          <w:tcPr>
            <w:tcW w:w="1430" w:type="dxa"/>
            <w:vAlign w:val="center"/>
          </w:tcPr>
          <w:p w14:paraId="488C745F" w14:textId="560BCD60" w:rsidR="00581CB0" w:rsidRPr="00581CB0" w:rsidRDefault="00581CB0" w:rsidP="00581CB0">
            <w:pPr>
              <w:jc w:val="center"/>
            </w:pPr>
            <w:r w:rsidRPr="00581CB0">
              <w:t>40</w:t>
            </w:r>
          </w:p>
        </w:tc>
        <w:tc>
          <w:tcPr>
            <w:tcW w:w="1430" w:type="dxa"/>
            <w:vAlign w:val="center"/>
          </w:tcPr>
          <w:p w14:paraId="4F593062" w14:textId="3953DAE0" w:rsidR="00581CB0" w:rsidRPr="00581CB0" w:rsidRDefault="00581CB0" w:rsidP="00581CB0">
            <w:pPr>
              <w:jc w:val="center"/>
            </w:pPr>
            <w:r w:rsidRPr="00581CB0">
              <w:t>40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2BA21192" w14:textId="7FA98D41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1" w:type="dxa"/>
            <w:vAlign w:val="center"/>
          </w:tcPr>
          <w:p w14:paraId="0388CC15" w14:textId="701A92F6" w:rsidR="00581CB0" w:rsidRPr="00581CB0" w:rsidRDefault="00581CB0" w:rsidP="00581CB0">
            <w:pPr>
              <w:jc w:val="center"/>
            </w:pPr>
            <w:r w:rsidRPr="00581CB0">
              <w:t>20</w:t>
            </w:r>
          </w:p>
        </w:tc>
      </w:tr>
      <w:tr w:rsidR="00581CB0" w14:paraId="15821E79" w14:textId="77777777" w:rsidTr="00581CB0">
        <w:trPr>
          <w:cantSplit/>
          <w:trHeight w:val="548"/>
        </w:trPr>
        <w:tc>
          <w:tcPr>
            <w:tcW w:w="1291" w:type="dxa"/>
            <w:vMerge/>
            <w:shd w:val="clear" w:color="auto" w:fill="A5C9EB" w:themeFill="text2" w:themeFillTint="40"/>
            <w:vAlign w:val="center"/>
          </w:tcPr>
          <w:p w14:paraId="5C009FE8" w14:textId="77777777" w:rsidR="00581CB0" w:rsidRDefault="00581CB0" w:rsidP="00581CB0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Align w:val="center"/>
          </w:tcPr>
          <w:p w14:paraId="45574419" w14:textId="374B3A19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>Speaking</w:t>
            </w:r>
          </w:p>
        </w:tc>
        <w:tc>
          <w:tcPr>
            <w:tcW w:w="1430" w:type="dxa"/>
            <w:vAlign w:val="center"/>
          </w:tcPr>
          <w:p w14:paraId="3FDC4FC5" w14:textId="6F760EAB" w:rsidR="00581CB0" w:rsidRPr="00581CB0" w:rsidRDefault="00581CB0" w:rsidP="00581CB0">
            <w:pPr>
              <w:jc w:val="center"/>
            </w:pPr>
            <w:r w:rsidRPr="00581CB0">
              <w:t>40</w:t>
            </w:r>
          </w:p>
        </w:tc>
        <w:tc>
          <w:tcPr>
            <w:tcW w:w="1430" w:type="dxa"/>
            <w:vAlign w:val="center"/>
          </w:tcPr>
          <w:p w14:paraId="01ED067F" w14:textId="509DCEB2" w:rsidR="00581CB0" w:rsidRPr="00581CB0" w:rsidRDefault="00581CB0" w:rsidP="00581CB0">
            <w:pPr>
              <w:jc w:val="center"/>
            </w:pPr>
            <w:r w:rsidRPr="00581CB0">
              <w:t>40</w:t>
            </w:r>
          </w:p>
        </w:tc>
        <w:tc>
          <w:tcPr>
            <w:tcW w:w="1430" w:type="dxa"/>
            <w:vAlign w:val="center"/>
          </w:tcPr>
          <w:p w14:paraId="7D1EE603" w14:textId="57539BE7" w:rsidR="00581CB0" w:rsidRPr="00581CB0" w:rsidRDefault="00581CB0" w:rsidP="00581CB0">
            <w:pPr>
              <w:jc w:val="center"/>
            </w:pPr>
            <w:r w:rsidRPr="00581CB0">
              <w:t>20</w:t>
            </w:r>
          </w:p>
        </w:tc>
        <w:tc>
          <w:tcPr>
            <w:tcW w:w="1431" w:type="dxa"/>
            <w:shd w:val="clear" w:color="auto" w:fill="E8E8E8" w:themeFill="background2"/>
            <w:vAlign w:val="center"/>
          </w:tcPr>
          <w:p w14:paraId="256B03EB" w14:textId="269D05A7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</w:tr>
      <w:tr w:rsidR="00581CB0" w14:paraId="71BC214F" w14:textId="77777777" w:rsidTr="00581CB0">
        <w:trPr>
          <w:cantSplit/>
          <w:trHeight w:val="547"/>
        </w:trPr>
        <w:tc>
          <w:tcPr>
            <w:tcW w:w="1291" w:type="dxa"/>
            <w:vMerge w:val="restart"/>
            <w:shd w:val="clear" w:color="auto" w:fill="B3E5A1" w:themeFill="accent6" w:themeFillTint="66"/>
            <w:textDirection w:val="btLr"/>
            <w:vAlign w:val="center"/>
          </w:tcPr>
          <w:p w14:paraId="60302E3E" w14:textId="354E0090" w:rsidR="00581CB0" w:rsidRDefault="00581CB0" w:rsidP="00581C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Two Missing Domains</w:t>
            </w:r>
          </w:p>
        </w:tc>
        <w:tc>
          <w:tcPr>
            <w:tcW w:w="2574" w:type="dxa"/>
            <w:vAlign w:val="center"/>
          </w:tcPr>
          <w:p w14:paraId="3BD7C21A" w14:textId="74308B15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>Reading and Writing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5F3E377C" w14:textId="70EEA810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70E37A4B" w14:textId="0EB26A32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0" w:type="dxa"/>
            <w:vAlign w:val="center"/>
          </w:tcPr>
          <w:p w14:paraId="61D77ED0" w14:textId="773CA59A" w:rsidR="00581CB0" w:rsidRPr="00581CB0" w:rsidRDefault="00581CB0" w:rsidP="00581CB0">
            <w:pPr>
              <w:jc w:val="center"/>
            </w:pPr>
            <w:r w:rsidRPr="00581CB0">
              <w:t>50</w:t>
            </w:r>
          </w:p>
        </w:tc>
        <w:tc>
          <w:tcPr>
            <w:tcW w:w="1431" w:type="dxa"/>
            <w:vAlign w:val="center"/>
          </w:tcPr>
          <w:p w14:paraId="2328DD3D" w14:textId="4F191135" w:rsidR="00581CB0" w:rsidRPr="00581CB0" w:rsidRDefault="00581CB0" w:rsidP="00581CB0">
            <w:pPr>
              <w:jc w:val="center"/>
            </w:pPr>
            <w:r w:rsidRPr="00581CB0">
              <w:t>50</w:t>
            </w:r>
          </w:p>
        </w:tc>
      </w:tr>
      <w:tr w:rsidR="00581CB0" w14:paraId="314E14B5" w14:textId="77777777" w:rsidTr="00581CB0">
        <w:trPr>
          <w:cantSplit/>
          <w:trHeight w:val="547"/>
        </w:trPr>
        <w:tc>
          <w:tcPr>
            <w:tcW w:w="1291" w:type="dxa"/>
            <w:vMerge/>
            <w:shd w:val="clear" w:color="auto" w:fill="B3E5A1" w:themeFill="accent6" w:themeFillTint="66"/>
            <w:vAlign w:val="center"/>
          </w:tcPr>
          <w:p w14:paraId="26C92221" w14:textId="77777777" w:rsidR="00581CB0" w:rsidRDefault="00581CB0" w:rsidP="00581CB0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Align w:val="center"/>
          </w:tcPr>
          <w:p w14:paraId="5956BDB9" w14:textId="7829E6EE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 xml:space="preserve">Reading and </w:t>
            </w:r>
            <w:proofErr w:type="gramStart"/>
            <w:r w:rsidRPr="00581CB0">
              <w:rPr>
                <w:b/>
                <w:bCs/>
              </w:rPr>
              <w:t>Listening</w:t>
            </w:r>
            <w:proofErr w:type="gramEnd"/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6FB93CF1" w14:textId="6DA0C7B8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0" w:type="dxa"/>
            <w:vAlign w:val="center"/>
          </w:tcPr>
          <w:p w14:paraId="3063E87B" w14:textId="53857C2F" w:rsidR="00581CB0" w:rsidRPr="00581CB0" w:rsidRDefault="00581CB0" w:rsidP="00581CB0">
            <w:pPr>
              <w:jc w:val="center"/>
            </w:pPr>
            <w:r w:rsidRPr="00581CB0">
              <w:t>70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03DA8523" w14:textId="4C1AC997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1" w:type="dxa"/>
            <w:vAlign w:val="center"/>
          </w:tcPr>
          <w:p w14:paraId="71324A02" w14:textId="08A4DDCE" w:rsidR="00581CB0" w:rsidRPr="00581CB0" w:rsidRDefault="00581CB0" w:rsidP="00581CB0">
            <w:pPr>
              <w:jc w:val="center"/>
            </w:pPr>
            <w:r w:rsidRPr="00581CB0">
              <w:t>30</w:t>
            </w:r>
          </w:p>
        </w:tc>
      </w:tr>
      <w:tr w:rsidR="00581CB0" w14:paraId="35E76C07" w14:textId="77777777" w:rsidTr="00581CB0">
        <w:trPr>
          <w:cantSplit/>
          <w:trHeight w:val="547"/>
        </w:trPr>
        <w:tc>
          <w:tcPr>
            <w:tcW w:w="1291" w:type="dxa"/>
            <w:vMerge/>
            <w:shd w:val="clear" w:color="auto" w:fill="B3E5A1" w:themeFill="accent6" w:themeFillTint="66"/>
            <w:vAlign w:val="center"/>
          </w:tcPr>
          <w:p w14:paraId="08C43B98" w14:textId="77777777" w:rsidR="00581CB0" w:rsidRDefault="00581CB0" w:rsidP="00581CB0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Align w:val="center"/>
          </w:tcPr>
          <w:p w14:paraId="6B2EF036" w14:textId="120D7153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 xml:space="preserve">Reading and </w:t>
            </w:r>
            <w:proofErr w:type="gramStart"/>
            <w:r w:rsidRPr="00581CB0">
              <w:rPr>
                <w:b/>
                <w:bCs/>
              </w:rPr>
              <w:t>Speaking</w:t>
            </w:r>
            <w:proofErr w:type="gramEnd"/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02C23817" w14:textId="3AB4877D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0" w:type="dxa"/>
            <w:vAlign w:val="center"/>
          </w:tcPr>
          <w:p w14:paraId="6FEE7031" w14:textId="5680CEBB" w:rsidR="00581CB0" w:rsidRPr="00581CB0" w:rsidRDefault="00581CB0" w:rsidP="00581CB0">
            <w:pPr>
              <w:jc w:val="center"/>
            </w:pPr>
            <w:r w:rsidRPr="00581CB0">
              <w:t>70</w:t>
            </w:r>
          </w:p>
        </w:tc>
        <w:tc>
          <w:tcPr>
            <w:tcW w:w="1430" w:type="dxa"/>
            <w:vAlign w:val="center"/>
          </w:tcPr>
          <w:p w14:paraId="2952FD98" w14:textId="425D5BAF" w:rsidR="00581CB0" w:rsidRPr="00581CB0" w:rsidRDefault="00581CB0" w:rsidP="00581CB0">
            <w:pPr>
              <w:jc w:val="center"/>
            </w:pPr>
            <w:r w:rsidRPr="00581CB0">
              <w:t>30</w:t>
            </w:r>
          </w:p>
        </w:tc>
        <w:tc>
          <w:tcPr>
            <w:tcW w:w="1431" w:type="dxa"/>
            <w:shd w:val="clear" w:color="auto" w:fill="E8E8E8" w:themeFill="background2"/>
            <w:vAlign w:val="center"/>
          </w:tcPr>
          <w:p w14:paraId="6FD76916" w14:textId="3ABE93E3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</w:tr>
      <w:tr w:rsidR="00581CB0" w14:paraId="07CDA8FF" w14:textId="77777777" w:rsidTr="00581CB0">
        <w:trPr>
          <w:cantSplit/>
          <w:trHeight w:val="547"/>
        </w:trPr>
        <w:tc>
          <w:tcPr>
            <w:tcW w:w="1291" w:type="dxa"/>
            <w:vMerge/>
            <w:shd w:val="clear" w:color="auto" w:fill="B3E5A1" w:themeFill="accent6" w:themeFillTint="66"/>
            <w:vAlign w:val="center"/>
          </w:tcPr>
          <w:p w14:paraId="0A2805EA" w14:textId="77777777" w:rsidR="00581CB0" w:rsidRDefault="00581CB0" w:rsidP="00581CB0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Align w:val="center"/>
          </w:tcPr>
          <w:p w14:paraId="3C778C6B" w14:textId="22346A7D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 xml:space="preserve">Writing and </w:t>
            </w:r>
            <w:proofErr w:type="gramStart"/>
            <w:r w:rsidRPr="00581CB0">
              <w:rPr>
                <w:b/>
                <w:bCs/>
              </w:rPr>
              <w:t>Listening</w:t>
            </w:r>
            <w:proofErr w:type="gramEnd"/>
          </w:p>
        </w:tc>
        <w:tc>
          <w:tcPr>
            <w:tcW w:w="1430" w:type="dxa"/>
            <w:vAlign w:val="center"/>
          </w:tcPr>
          <w:p w14:paraId="5152B75E" w14:textId="31850F37" w:rsidR="00581CB0" w:rsidRPr="00581CB0" w:rsidRDefault="00581CB0" w:rsidP="00581CB0">
            <w:pPr>
              <w:jc w:val="center"/>
            </w:pPr>
            <w:r w:rsidRPr="00581CB0">
              <w:t>70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6D516A76" w14:textId="348CEF0A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676E1E7C" w14:textId="341761DF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1" w:type="dxa"/>
            <w:vAlign w:val="center"/>
          </w:tcPr>
          <w:p w14:paraId="0694715D" w14:textId="60EB360C" w:rsidR="00581CB0" w:rsidRPr="00581CB0" w:rsidRDefault="00581CB0" w:rsidP="00581CB0">
            <w:pPr>
              <w:jc w:val="center"/>
            </w:pPr>
            <w:r w:rsidRPr="00581CB0">
              <w:t>30</w:t>
            </w:r>
          </w:p>
        </w:tc>
      </w:tr>
      <w:tr w:rsidR="00581CB0" w14:paraId="7E4F1850" w14:textId="77777777" w:rsidTr="00581CB0">
        <w:trPr>
          <w:cantSplit/>
          <w:trHeight w:val="547"/>
        </w:trPr>
        <w:tc>
          <w:tcPr>
            <w:tcW w:w="1291" w:type="dxa"/>
            <w:vMerge/>
            <w:shd w:val="clear" w:color="auto" w:fill="B3E5A1" w:themeFill="accent6" w:themeFillTint="66"/>
            <w:vAlign w:val="center"/>
          </w:tcPr>
          <w:p w14:paraId="0138EE8D" w14:textId="77777777" w:rsidR="00581CB0" w:rsidRDefault="00581CB0" w:rsidP="00581CB0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Align w:val="center"/>
          </w:tcPr>
          <w:p w14:paraId="00244768" w14:textId="638626FC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 xml:space="preserve">Writing and </w:t>
            </w:r>
            <w:proofErr w:type="gramStart"/>
            <w:r w:rsidRPr="00581CB0">
              <w:rPr>
                <w:b/>
                <w:bCs/>
              </w:rPr>
              <w:t>Speaking</w:t>
            </w:r>
            <w:proofErr w:type="gramEnd"/>
          </w:p>
        </w:tc>
        <w:tc>
          <w:tcPr>
            <w:tcW w:w="1430" w:type="dxa"/>
            <w:vAlign w:val="center"/>
          </w:tcPr>
          <w:p w14:paraId="0AD40C65" w14:textId="27B291E3" w:rsidR="00581CB0" w:rsidRPr="00581CB0" w:rsidRDefault="00581CB0" w:rsidP="00581CB0">
            <w:pPr>
              <w:jc w:val="center"/>
            </w:pPr>
            <w:r w:rsidRPr="00581CB0">
              <w:t>70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03EC32BB" w14:textId="00127B09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  <w:tc>
          <w:tcPr>
            <w:tcW w:w="1430" w:type="dxa"/>
            <w:vAlign w:val="center"/>
          </w:tcPr>
          <w:p w14:paraId="1762E835" w14:textId="1E234EB8" w:rsidR="00581CB0" w:rsidRPr="00581CB0" w:rsidRDefault="00581CB0" w:rsidP="00581CB0">
            <w:pPr>
              <w:jc w:val="center"/>
            </w:pPr>
            <w:r w:rsidRPr="00581CB0">
              <w:t>30</w:t>
            </w:r>
          </w:p>
        </w:tc>
        <w:tc>
          <w:tcPr>
            <w:tcW w:w="1431" w:type="dxa"/>
            <w:shd w:val="clear" w:color="auto" w:fill="E8E8E8" w:themeFill="background2"/>
            <w:vAlign w:val="center"/>
          </w:tcPr>
          <w:p w14:paraId="4872FC8A" w14:textId="6006C5A2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</w:tr>
      <w:tr w:rsidR="00581CB0" w14:paraId="6AEA3F43" w14:textId="77777777" w:rsidTr="00581CB0">
        <w:trPr>
          <w:cantSplit/>
          <w:trHeight w:val="547"/>
        </w:trPr>
        <w:tc>
          <w:tcPr>
            <w:tcW w:w="1291" w:type="dxa"/>
            <w:vMerge/>
            <w:shd w:val="clear" w:color="auto" w:fill="B3E5A1" w:themeFill="accent6" w:themeFillTint="66"/>
            <w:vAlign w:val="center"/>
          </w:tcPr>
          <w:p w14:paraId="3B64C1A1" w14:textId="77777777" w:rsidR="00581CB0" w:rsidRDefault="00581CB0" w:rsidP="00581CB0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Align w:val="center"/>
          </w:tcPr>
          <w:p w14:paraId="23650E0A" w14:textId="6C48AC7F" w:rsidR="00581CB0" w:rsidRPr="00581CB0" w:rsidRDefault="00581CB0" w:rsidP="00D012F0">
            <w:pPr>
              <w:rPr>
                <w:b/>
                <w:bCs/>
              </w:rPr>
            </w:pPr>
            <w:r w:rsidRPr="00581CB0">
              <w:rPr>
                <w:b/>
                <w:bCs/>
              </w:rPr>
              <w:t xml:space="preserve">Listening and </w:t>
            </w:r>
            <w:proofErr w:type="gramStart"/>
            <w:r w:rsidRPr="00581CB0">
              <w:rPr>
                <w:b/>
                <w:bCs/>
              </w:rPr>
              <w:t>Speaking</w:t>
            </w:r>
            <w:proofErr w:type="gramEnd"/>
          </w:p>
        </w:tc>
        <w:tc>
          <w:tcPr>
            <w:tcW w:w="1430" w:type="dxa"/>
            <w:vAlign w:val="center"/>
          </w:tcPr>
          <w:p w14:paraId="76D85339" w14:textId="1A060A10" w:rsidR="00581CB0" w:rsidRPr="00581CB0" w:rsidRDefault="00581CB0" w:rsidP="00581CB0">
            <w:pPr>
              <w:jc w:val="center"/>
            </w:pPr>
            <w:r w:rsidRPr="00581CB0">
              <w:t>50</w:t>
            </w:r>
          </w:p>
        </w:tc>
        <w:tc>
          <w:tcPr>
            <w:tcW w:w="1430" w:type="dxa"/>
            <w:vAlign w:val="center"/>
          </w:tcPr>
          <w:p w14:paraId="63FD9762" w14:textId="07FC70F6" w:rsidR="00581CB0" w:rsidRPr="00581CB0" w:rsidRDefault="00581CB0" w:rsidP="00581CB0">
            <w:pPr>
              <w:jc w:val="center"/>
            </w:pPr>
            <w:r w:rsidRPr="00581CB0">
              <w:t>50</w:t>
            </w:r>
          </w:p>
        </w:tc>
        <w:tc>
          <w:tcPr>
            <w:tcW w:w="1430" w:type="dxa"/>
            <w:shd w:val="clear" w:color="auto" w:fill="E8E8E8" w:themeFill="background2"/>
            <w:vAlign w:val="center"/>
          </w:tcPr>
          <w:p w14:paraId="12A5772D" w14:textId="59EC12C8" w:rsidR="00581CB0" w:rsidRPr="00581CB0" w:rsidRDefault="00581CB0" w:rsidP="00581CB0">
            <w:pPr>
              <w:jc w:val="center"/>
            </w:pPr>
            <w:r>
              <w:t>N/A</w:t>
            </w:r>
          </w:p>
        </w:tc>
        <w:tc>
          <w:tcPr>
            <w:tcW w:w="1431" w:type="dxa"/>
            <w:shd w:val="clear" w:color="auto" w:fill="E8E8E8" w:themeFill="background2"/>
            <w:vAlign w:val="center"/>
          </w:tcPr>
          <w:p w14:paraId="70D9B463" w14:textId="5E89A00B" w:rsidR="00581CB0" w:rsidRPr="00581CB0" w:rsidRDefault="00581CB0" w:rsidP="00581CB0">
            <w:pPr>
              <w:jc w:val="center"/>
            </w:pPr>
            <w:r w:rsidRPr="00581CB0">
              <w:t>N/A</w:t>
            </w:r>
          </w:p>
        </w:tc>
      </w:tr>
    </w:tbl>
    <w:p w14:paraId="6107A496" w14:textId="7F3348E3" w:rsidR="00E54D4E" w:rsidRDefault="00310C30" w:rsidP="00E54D4E">
      <w:pPr>
        <w:pStyle w:val="Heading1"/>
      </w:pPr>
      <w:bookmarkStart w:id="5" w:name="_Toc171339045"/>
      <w:r>
        <w:t>M</w:t>
      </w:r>
      <w:r w:rsidR="00E54D4E">
        <w:t>ethod Comparison</w:t>
      </w:r>
      <w:bookmarkEnd w:id="5"/>
    </w:p>
    <w:p w14:paraId="6AFA4555" w14:textId="024421FB" w:rsidR="00E54D4E" w:rsidRDefault="00E90D4D">
      <w:pPr>
        <w:rPr>
          <w:b/>
          <w:bCs/>
        </w:rPr>
      </w:pPr>
      <w:r>
        <w:t>In</w:t>
      </w:r>
      <w:r w:rsidR="00581E05">
        <w:t xml:space="preserve"> this paper, we compare DESE’s current average score method to the reweighting method</w:t>
      </w:r>
      <w:r w:rsidR="00C766A9">
        <w:t xml:space="preserve"> </w:t>
      </w:r>
      <w:r>
        <w:t xml:space="preserve">in terms of validity and relation to actual observed </w:t>
      </w:r>
      <w:proofErr w:type="gramStart"/>
      <w:r>
        <w:t>scores;</w:t>
      </w:r>
      <w:proofErr w:type="gramEnd"/>
      <w:r>
        <w:t xml:space="preserve"> </w:t>
      </w:r>
      <w:r w:rsidR="00C766A9">
        <w:t>using imposed missing data</w:t>
      </w:r>
      <w:r w:rsidR="00581E05">
        <w:t>.</w:t>
      </w:r>
      <w:r w:rsidR="00E54D4E">
        <w:t xml:space="preserve"> </w:t>
      </w:r>
      <w:r w:rsidR="004952D2">
        <w:t xml:space="preserve">Missing domain(s) were imposed </w:t>
      </w:r>
      <w:r w:rsidR="00E70071">
        <w:t>for students with complete data</w:t>
      </w:r>
      <w:r w:rsidR="004952D2">
        <w:t xml:space="preserve"> and imputed overall scores were compared to their actual earned overall English proficiency scaled score</w:t>
      </w:r>
      <w:r w:rsidR="00194A35">
        <w:t xml:space="preserve"> and level. </w:t>
      </w:r>
      <w:r w:rsidR="00E54D4E">
        <w:t xml:space="preserve">A total of </w:t>
      </w:r>
      <w:r w:rsidR="00E54D4E">
        <w:lastRenderedPageBreak/>
        <w:t xml:space="preserve">115,765 students had scores in all </w:t>
      </w:r>
      <w:r w:rsidR="00A52937">
        <w:t>four</w:t>
      </w:r>
      <w:r w:rsidR="00E54D4E">
        <w:t xml:space="preserve"> domains of the ACCESS test for the 2024 administration. Table 4 shows the count by grade. </w:t>
      </w:r>
    </w:p>
    <w:p w14:paraId="66C81C09" w14:textId="2EB98375" w:rsidR="00E54D4E" w:rsidRPr="00E54D4E" w:rsidRDefault="00E54D4E" w:rsidP="00FC2085">
      <w:pPr>
        <w:jc w:val="center"/>
        <w:rPr>
          <w:b/>
          <w:bCs/>
        </w:rPr>
      </w:pPr>
      <w:r w:rsidRPr="00E54D4E">
        <w:rPr>
          <w:b/>
          <w:bCs/>
        </w:rPr>
        <w:t xml:space="preserve">Table </w:t>
      </w:r>
      <w:r>
        <w:rPr>
          <w:b/>
          <w:bCs/>
        </w:rPr>
        <w:t>4</w:t>
      </w:r>
      <w:r w:rsidRPr="00E54D4E">
        <w:rPr>
          <w:b/>
          <w:bCs/>
        </w:rPr>
        <w:t>. Number of Students with Complete 2024 ACCESS Data by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632"/>
      </w:tblGrid>
      <w:tr w:rsidR="00E54D4E" w14:paraId="51D00FA0" w14:textId="77777777">
        <w:tc>
          <w:tcPr>
            <w:tcW w:w="4675" w:type="dxa"/>
          </w:tcPr>
          <w:p w14:paraId="25E88446" w14:textId="77777777" w:rsidR="00E54D4E" w:rsidRPr="002D11A3" w:rsidRDefault="00E54D4E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Grade</w:t>
            </w:r>
          </w:p>
        </w:tc>
        <w:tc>
          <w:tcPr>
            <w:tcW w:w="4675" w:type="dxa"/>
          </w:tcPr>
          <w:p w14:paraId="642746B2" w14:textId="77777777" w:rsidR="00E54D4E" w:rsidRPr="002D11A3" w:rsidRDefault="00E54D4E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Number of Students</w:t>
            </w:r>
          </w:p>
        </w:tc>
      </w:tr>
      <w:tr w:rsidR="00E54D4E" w14:paraId="227E3386" w14:textId="77777777">
        <w:tc>
          <w:tcPr>
            <w:tcW w:w="4675" w:type="dxa"/>
          </w:tcPr>
          <w:p w14:paraId="35F45BB8" w14:textId="77777777" w:rsidR="00E54D4E" w:rsidRDefault="00E54D4E">
            <w:r>
              <w:t>K</w:t>
            </w:r>
          </w:p>
        </w:tc>
        <w:tc>
          <w:tcPr>
            <w:tcW w:w="4675" w:type="dxa"/>
          </w:tcPr>
          <w:p w14:paraId="7A6F7F93" w14:textId="77777777" w:rsidR="00E54D4E" w:rsidRDefault="00E54D4E">
            <w:r>
              <w:t>12,739</w:t>
            </w:r>
          </w:p>
        </w:tc>
      </w:tr>
      <w:tr w:rsidR="00E54D4E" w14:paraId="5AB44489" w14:textId="77777777">
        <w:tc>
          <w:tcPr>
            <w:tcW w:w="4675" w:type="dxa"/>
          </w:tcPr>
          <w:p w14:paraId="5E8B5EBD" w14:textId="77777777" w:rsidR="00E54D4E" w:rsidRDefault="00E54D4E">
            <w:r>
              <w:t>1</w:t>
            </w:r>
          </w:p>
        </w:tc>
        <w:tc>
          <w:tcPr>
            <w:tcW w:w="4675" w:type="dxa"/>
          </w:tcPr>
          <w:p w14:paraId="23BE684E" w14:textId="77777777" w:rsidR="00E54D4E" w:rsidRDefault="00E54D4E">
            <w:r>
              <w:t>13,022</w:t>
            </w:r>
          </w:p>
        </w:tc>
      </w:tr>
      <w:tr w:rsidR="00E54D4E" w14:paraId="7ABBF993" w14:textId="77777777">
        <w:tc>
          <w:tcPr>
            <w:tcW w:w="4675" w:type="dxa"/>
          </w:tcPr>
          <w:p w14:paraId="50B6318E" w14:textId="77777777" w:rsidR="00E54D4E" w:rsidRDefault="00E54D4E">
            <w:r>
              <w:t>2</w:t>
            </w:r>
          </w:p>
        </w:tc>
        <w:tc>
          <w:tcPr>
            <w:tcW w:w="4675" w:type="dxa"/>
          </w:tcPr>
          <w:p w14:paraId="7898031A" w14:textId="77777777" w:rsidR="00E54D4E" w:rsidRDefault="00E54D4E">
            <w:r>
              <w:t>13,270</w:t>
            </w:r>
          </w:p>
        </w:tc>
      </w:tr>
      <w:tr w:rsidR="00E54D4E" w14:paraId="7363B62E" w14:textId="77777777">
        <w:tc>
          <w:tcPr>
            <w:tcW w:w="4675" w:type="dxa"/>
          </w:tcPr>
          <w:p w14:paraId="1862636E" w14:textId="77777777" w:rsidR="00E54D4E" w:rsidRDefault="00E54D4E">
            <w:r>
              <w:t>3</w:t>
            </w:r>
          </w:p>
        </w:tc>
        <w:tc>
          <w:tcPr>
            <w:tcW w:w="4675" w:type="dxa"/>
          </w:tcPr>
          <w:p w14:paraId="118D4383" w14:textId="77777777" w:rsidR="00E54D4E" w:rsidRDefault="00E54D4E">
            <w:r>
              <w:t>11,906</w:t>
            </w:r>
          </w:p>
        </w:tc>
      </w:tr>
      <w:tr w:rsidR="00E54D4E" w14:paraId="50D10B2D" w14:textId="77777777">
        <w:tc>
          <w:tcPr>
            <w:tcW w:w="4675" w:type="dxa"/>
          </w:tcPr>
          <w:p w14:paraId="5350E863" w14:textId="77777777" w:rsidR="00E54D4E" w:rsidRDefault="00E54D4E">
            <w:r>
              <w:t>4</w:t>
            </w:r>
          </w:p>
        </w:tc>
        <w:tc>
          <w:tcPr>
            <w:tcW w:w="4675" w:type="dxa"/>
          </w:tcPr>
          <w:p w14:paraId="61F00A89" w14:textId="77777777" w:rsidR="00E54D4E" w:rsidRDefault="00E54D4E">
            <w:r>
              <w:t>10,486</w:t>
            </w:r>
          </w:p>
        </w:tc>
      </w:tr>
      <w:tr w:rsidR="00E54D4E" w14:paraId="4BC3D247" w14:textId="77777777">
        <w:tc>
          <w:tcPr>
            <w:tcW w:w="4675" w:type="dxa"/>
          </w:tcPr>
          <w:p w14:paraId="7EA69C47" w14:textId="77777777" w:rsidR="00E54D4E" w:rsidRDefault="00E54D4E">
            <w:r>
              <w:t>5</w:t>
            </w:r>
          </w:p>
        </w:tc>
        <w:tc>
          <w:tcPr>
            <w:tcW w:w="4675" w:type="dxa"/>
          </w:tcPr>
          <w:p w14:paraId="58C65550" w14:textId="77777777" w:rsidR="00E54D4E" w:rsidRDefault="00E54D4E">
            <w:r>
              <w:t>7,877</w:t>
            </w:r>
          </w:p>
        </w:tc>
      </w:tr>
      <w:tr w:rsidR="00E54D4E" w14:paraId="28FF927D" w14:textId="77777777">
        <w:tc>
          <w:tcPr>
            <w:tcW w:w="4675" w:type="dxa"/>
          </w:tcPr>
          <w:p w14:paraId="3266BD11" w14:textId="77777777" w:rsidR="00E54D4E" w:rsidRDefault="00E54D4E">
            <w:r>
              <w:t>6</w:t>
            </w:r>
          </w:p>
        </w:tc>
        <w:tc>
          <w:tcPr>
            <w:tcW w:w="4675" w:type="dxa"/>
          </w:tcPr>
          <w:p w14:paraId="2A7015C3" w14:textId="77777777" w:rsidR="00E54D4E" w:rsidRDefault="00E54D4E">
            <w:r>
              <w:t>6,533</w:t>
            </w:r>
          </w:p>
        </w:tc>
      </w:tr>
      <w:tr w:rsidR="00E54D4E" w14:paraId="72E6E452" w14:textId="77777777">
        <w:tc>
          <w:tcPr>
            <w:tcW w:w="4675" w:type="dxa"/>
          </w:tcPr>
          <w:p w14:paraId="6FA3852C" w14:textId="77777777" w:rsidR="00E54D4E" w:rsidRDefault="00E54D4E">
            <w:r>
              <w:t>7</w:t>
            </w:r>
          </w:p>
        </w:tc>
        <w:tc>
          <w:tcPr>
            <w:tcW w:w="4675" w:type="dxa"/>
          </w:tcPr>
          <w:p w14:paraId="6F38D8ED" w14:textId="77777777" w:rsidR="00E54D4E" w:rsidRDefault="00E54D4E">
            <w:r>
              <w:t>6,914</w:t>
            </w:r>
          </w:p>
        </w:tc>
      </w:tr>
      <w:tr w:rsidR="00E54D4E" w14:paraId="682859FA" w14:textId="77777777">
        <w:tc>
          <w:tcPr>
            <w:tcW w:w="4675" w:type="dxa"/>
          </w:tcPr>
          <w:p w14:paraId="1ED2111B" w14:textId="77777777" w:rsidR="00E54D4E" w:rsidRDefault="00E54D4E">
            <w:r>
              <w:t>8</w:t>
            </w:r>
          </w:p>
        </w:tc>
        <w:tc>
          <w:tcPr>
            <w:tcW w:w="4675" w:type="dxa"/>
          </w:tcPr>
          <w:p w14:paraId="7BE70143" w14:textId="77777777" w:rsidR="00E54D4E" w:rsidRDefault="00E54D4E">
            <w:r>
              <w:t>6,857</w:t>
            </w:r>
          </w:p>
        </w:tc>
      </w:tr>
      <w:tr w:rsidR="00E54D4E" w14:paraId="5304F88B" w14:textId="77777777">
        <w:tc>
          <w:tcPr>
            <w:tcW w:w="4675" w:type="dxa"/>
          </w:tcPr>
          <w:p w14:paraId="6F10C8B9" w14:textId="77777777" w:rsidR="00E54D4E" w:rsidRDefault="00E54D4E">
            <w:r>
              <w:t>9</w:t>
            </w:r>
          </w:p>
        </w:tc>
        <w:tc>
          <w:tcPr>
            <w:tcW w:w="4675" w:type="dxa"/>
          </w:tcPr>
          <w:p w14:paraId="71F1598A" w14:textId="77777777" w:rsidR="00E54D4E" w:rsidRDefault="00E54D4E">
            <w:r>
              <w:t>8,208</w:t>
            </w:r>
          </w:p>
        </w:tc>
      </w:tr>
      <w:tr w:rsidR="00E54D4E" w14:paraId="3B1CC8F9" w14:textId="77777777">
        <w:tc>
          <w:tcPr>
            <w:tcW w:w="4675" w:type="dxa"/>
          </w:tcPr>
          <w:p w14:paraId="00BFDE9E" w14:textId="77777777" w:rsidR="00E54D4E" w:rsidRDefault="00E54D4E">
            <w:r>
              <w:t>10</w:t>
            </w:r>
          </w:p>
        </w:tc>
        <w:tc>
          <w:tcPr>
            <w:tcW w:w="4675" w:type="dxa"/>
          </w:tcPr>
          <w:p w14:paraId="5BCBF903" w14:textId="77777777" w:rsidR="00E54D4E" w:rsidRDefault="00E54D4E">
            <w:r>
              <w:t>7,166</w:t>
            </w:r>
          </w:p>
        </w:tc>
      </w:tr>
      <w:tr w:rsidR="00E54D4E" w14:paraId="1283B195" w14:textId="77777777">
        <w:tc>
          <w:tcPr>
            <w:tcW w:w="4675" w:type="dxa"/>
          </w:tcPr>
          <w:p w14:paraId="5A56D870" w14:textId="77777777" w:rsidR="00E54D4E" w:rsidRDefault="00E54D4E">
            <w:r>
              <w:t>11</w:t>
            </w:r>
          </w:p>
        </w:tc>
        <w:tc>
          <w:tcPr>
            <w:tcW w:w="4675" w:type="dxa"/>
          </w:tcPr>
          <w:p w14:paraId="50BA34AD" w14:textId="77777777" w:rsidR="00E54D4E" w:rsidRDefault="00E54D4E">
            <w:r>
              <w:t>6,365</w:t>
            </w:r>
          </w:p>
        </w:tc>
      </w:tr>
      <w:tr w:rsidR="00E54D4E" w14:paraId="2E95E3B2" w14:textId="77777777">
        <w:tc>
          <w:tcPr>
            <w:tcW w:w="4675" w:type="dxa"/>
          </w:tcPr>
          <w:p w14:paraId="614067B6" w14:textId="77777777" w:rsidR="00E54D4E" w:rsidRDefault="00E54D4E">
            <w:r>
              <w:t>12</w:t>
            </w:r>
          </w:p>
        </w:tc>
        <w:tc>
          <w:tcPr>
            <w:tcW w:w="4675" w:type="dxa"/>
          </w:tcPr>
          <w:p w14:paraId="7ED78F00" w14:textId="77777777" w:rsidR="00E54D4E" w:rsidRDefault="00E54D4E">
            <w:r>
              <w:t>4,422</w:t>
            </w:r>
          </w:p>
        </w:tc>
      </w:tr>
    </w:tbl>
    <w:p w14:paraId="0EE4DBCD" w14:textId="77777777" w:rsidR="00E730E2" w:rsidRDefault="00E730E2" w:rsidP="00C766A9"/>
    <w:p w14:paraId="6E178EE2" w14:textId="111933CC" w:rsidR="00194A35" w:rsidRDefault="00C766A9" w:rsidP="00C766A9">
      <w:r>
        <w:t xml:space="preserve">We ran two data scenarios for imputation method comparison: </w:t>
      </w:r>
    </w:p>
    <w:p w14:paraId="2D2A3E00" w14:textId="2424E1FA" w:rsidR="00194A35" w:rsidRPr="00194A35" w:rsidRDefault="00194A35" w:rsidP="00194A35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We imposed </w:t>
      </w:r>
      <w:r w:rsidR="00A52937">
        <w:t>one</w:t>
      </w:r>
      <w:r w:rsidR="00C766A9">
        <w:t xml:space="preserve"> </w:t>
      </w:r>
      <w:r w:rsidR="00A52937">
        <w:t xml:space="preserve">missing domain </w:t>
      </w:r>
      <w:r w:rsidR="00C766A9">
        <w:t>(Reading)</w:t>
      </w:r>
      <w:r>
        <w:t>.</w:t>
      </w:r>
    </w:p>
    <w:p w14:paraId="7E133AF7" w14:textId="5C96FA2A" w:rsidR="00194A35" w:rsidRPr="00194A35" w:rsidRDefault="00194A35" w:rsidP="00194A35">
      <w:pPr>
        <w:pStyle w:val="ListParagraph"/>
        <w:numPr>
          <w:ilvl w:val="0"/>
          <w:numId w:val="8"/>
        </w:numPr>
        <w:rPr>
          <w:b/>
          <w:bCs/>
        </w:rPr>
      </w:pPr>
      <w:r>
        <w:t>We imposed</w:t>
      </w:r>
      <w:r w:rsidR="00C766A9">
        <w:t xml:space="preserve"> </w:t>
      </w:r>
      <w:r w:rsidR="00A52937">
        <w:t>two</w:t>
      </w:r>
      <w:r w:rsidR="00C766A9">
        <w:t xml:space="preserve"> </w:t>
      </w:r>
      <w:r w:rsidR="00A52937">
        <w:t xml:space="preserve">missing domains </w:t>
      </w:r>
      <w:r w:rsidR="00C766A9">
        <w:t xml:space="preserve">(Listening and Speaking). </w:t>
      </w:r>
    </w:p>
    <w:p w14:paraId="616E7218" w14:textId="0EC4A9A8" w:rsidR="007C204D" w:rsidRDefault="00BE242D">
      <w:pPr>
        <w:rPr>
          <w:b/>
          <w:bCs/>
        </w:rPr>
      </w:pPr>
      <w:r>
        <w:t>D</w:t>
      </w:r>
      <w:r w:rsidR="00C766A9">
        <w:t xml:space="preserve">omains </w:t>
      </w:r>
      <w:r w:rsidR="00194A35">
        <w:t>were chosen based on</w:t>
      </w:r>
      <w:r w:rsidR="00C766A9">
        <w:t xml:space="preserve"> the highest incidence of </w:t>
      </w:r>
      <w:r w:rsidR="00C766A9" w:rsidDel="00A52937">
        <w:t xml:space="preserve">missingness </w:t>
      </w:r>
      <w:r w:rsidR="00C766A9">
        <w:t>in 2024 (see Table 5).</w:t>
      </w:r>
    </w:p>
    <w:p w14:paraId="63C27F90" w14:textId="02E7449D" w:rsidR="001F18CC" w:rsidRDefault="001F18CC" w:rsidP="00247953">
      <w:pPr>
        <w:jc w:val="center"/>
        <w:rPr>
          <w:b/>
          <w:bCs/>
        </w:rPr>
      </w:pPr>
      <w:r>
        <w:rPr>
          <w:b/>
          <w:bCs/>
        </w:rPr>
        <w:t xml:space="preserve">Table 5. Number of Students Missing </w:t>
      </w:r>
      <w:r w:rsidR="00A52937">
        <w:rPr>
          <w:b/>
          <w:bCs/>
        </w:rPr>
        <w:t>One</w:t>
      </w:r>
      <w:r>
        <w:rPr>
          <w:b/>
          <w:bCs/>
        </w:rPr>
        <w:t xml:space="preserve"> or </w:t>
      </w:r>
      <w:r w:rsidR="00A52937">
        <w:rPr>
          <w:b/>
          <w:bCs/>
        </w:rPr>
        <w:t>Two</w:t>
      </w:r>
      <w:r>
        <w:rPr>
          <w:b/>
          <w:bCs/>
        </w:rPr>
        <w:t xml:space="preserve"> Domains by Domain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8"/>
        <w:gridCol w:w="1919"/>
        <w:gridCol w:w="2293"/>
      </w:tblGrid>
      <w:tr w:rsidR="001F18CC" w:rsidRPr="001F18CC" w14:paraId="365C71F9" w14:textId="77777777" w:rsidTr="027A6998">
        <w:trPr>
          <w:trHeight w:val="290"/>
        </w:trPr>
        <w:tc>
          <w:tcPr>
            <w:tcW w:w="5000" w:type="pct"/>
            <w:gridSpan w:val="3"/>
            <w:shd w:val="clear" w:color="auto" w:fill="83CAEB" w:themeFill="accent1" w:themeFillTint="66"/>
            <w:noWrap/>
            <w:hideMark/>
          </w:tcPr>
          <w:p w14:paraId="7D9E20C7" w14:textId="7D3FF088" w:rsidR="001F18CC" w:rsidRPr="001F18CC" w:rsidRDefault="001F18CC" w:rsidP="001F18CC">
            <w:pPr>
              <w:jc w:val="center"/>
              <w:rPr>
                <w:b/>
                <w:bCs/>
              </w:rPr>
            </w:pPr>
            <w:r w:rsidRPr="001F18CC">
              <w:rPr>
                <w:b/>
                <w:bCs/>
              </w:rPr>
              <w:t xml:space="preserve">Missing </w:t>
            </w:r>
            <w:r w:rsidR="00A52937">
              <w:rPr>
                <w:b/>
                <w:bCs/>
              </w:rPr>
              <w:t>One</w:t>
            </w:r>
            <w:r w:rsidRPr="001F18CC">
              <w:rPr>
                <w:b/>
                <w:bCs/>
              </w:rPr>
              <w:t xml:space="preserve"> Domain</w:t>
            </w:r>
          </w:p>
        </w:tc>
      </w:tr>
      <w:tr w:rsidR="001F18CC" w:rsidRPr="001F18CC" w14:paraId="7CD8FDCC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138D24B8" w14:textId="77777777" w:rsidR="001F18CC" w:rsidRPr="001F18CC" w:rsidRDefault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Domain</w:t>
            </w:r>
          </w:p>
        </w:tc>
        <w:tc>
          <w:tcPr>
            <w:tcW w:w="1036" w:type="pct"/>
            <w:noWrap/>
            <w:hideMark/>
          </w:tcPr>
          <w:p w14:paraId="28C6505B" w14:textId="77777777" w:rsidR="001F18CC" w:rsidRPr="001F18CC" w:rsidRDefault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Count</w:t>
            </w:r>
          </w:p>
        </w:tc>
        <w:tc>
          <w:tcPr>
            <w:tcW w:w="1238" w:type="pct"/>
            <w:noWrap/>
            <w:hideMark/>
          </w:tcPr>
          <w:p w14:paraId="5B057EA9" w14:textId="77777777" w:rsidR="001F18CC" w:rsidRPr="001F18CC" w:rsidRDefault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Percent</w:t>
            </w:r>
          </w:p>
        </w:tc>
      </w:tr>
      <w:tr w:rsidR="001F18CC" w:rsidRPr="001F18CC" w14:paraId="11AD0F9B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2B8D643C" w14:textId="77777777" w:rsidR="001F18CC" w:rsidRPr="001F18CC" w:rsidRDefault="001F18CC">
            <w:r w:rsidRPr="001F18CC">
              <w:t>Listening</w:t>
            </w:r>
          </w:p>
        </w:tc>
        <w:tc>
          <w:tcPr>
            <w:tcW w:w="1036" w:type="pct"/>
            <w:noWrap/>
            <w:hideMark/>
          </w:tcPr>
          <w:p w14:paraId="6A4B25A4" w14:textId="77777777" w:rsidR="001F18CC" w:rsidRPr="001F18CC" w:rsidRDefault="001F18CC" w:rsidP="001F18CC">
            <w:r w:rsidRPr="001F18CC">
              <w:t>2</w:t>
            </w:r>
          </w:p>
        </w:tc>
        <w:tc>
          <w:tcPr>
            <w:tcW w:w="1238" w:type="pct"/>
            <w:noWrap/>
            <w:hideMark/>
          </w:tcPr>
          <w:p w14:paraId="5FEFE83B" w14:textId="77777777" w:rsidR="001F18CC" w:rsidRPr="001F18CC" w:rsidRDefault="001F18CC" w:rsidP="001F18CC">
            <w:r w:rsidRPr="001F18CC">
              <w:t>0.13%</w:t>
            </w:r>
          </w:p>
        </w:tc>
      </w:tr>
      <w:tr w:rsidR="001F18CC" w:rsidRPr="001F18CC" w14:paraId="39D1AECF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373C5D90" w14:textId="77777777" w:rsidR="001F18CC" w:rsidRPr="001F18CC" w:rsidRDefault="001F18CC">
            <w:r w:rsidRPr="001F18CC">
              <w:t>Speaking</w:t>
            </w:r>
          </w:p>
        </w:tc>
        <w:tc>
          <w:tcPr>
            <w:tcW w:w="1036" w:type="pct"/>
            <w:noWrap/>
            <w:hideMark/>
          </w:tcPr>
          <w:p w14:paraId="21DE3641" w14:textId="77777777" w:rsidR="001F18CC" w:rsidRPr="001F18CC" w:rsidRDefault="001F18CC" w:rsidP="001F18CC">
            <w:r w:rsidRPr="001F18CC">
              <w:t>28</w:t>
            </w:r>
          </w:p>
        </w:tc>
        <w:tc>
          <w:tcPr>
            <w:tcW w:w="1238" w:type="pct"/>
            <w:noWrap/>
            <w:hideMark/>
          </w:tcPr>
          <w:p w14:paraId="64D42664" w14:textId="77777777" w:rsidR="001F18CC" w:rsidRPr="001F18CC" w:rsidRDefault="001F18CC" w:rsidP="001F18CC">
            <w:r w:rsidRPr="001F18CC">
              <w:t>1.86%</w:t>
            </w:r>
          </w:p>
        </w:tc>
      </w:tr>
      <w:tr w:rsidR="001F18CC" w:rsidRPr="001F18CC" w14:paraId="7DA01959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3C2C04EE" w14:textId="77777777" w:rsidR="001F18CC" w:rsidRPr="001F18CC" w:rsidRDefault="001F18CC">
            <w:r w:rsidRPr="001F18CC">
              <w:t>Reading</w:t>
            </w:r>
          </w:p>
        </w:tc>
        <w:tc>
          <w:tcPr>
            <w:tcW w:w="1036" w:type="pct"/>
            <w:noWrap/>
            <w:hideMark/>
          </w:tcPr>
          <w:p w14:paraId="7FC5EE1B" w14:textId="2F0FB2EA" w:rsidR="001F18CC" w:rsidRPr="001F18CC" w:rsidRDefault="001F18CC" w:rsidP="001F18CC">
            <w:r>
              <w:t>1471</w:t>
            </w:r>
          </w:p>
        </w:tc>
        <w:tc>
          <w:tcPr>
            <w:tcW w:w="1238" w:type="pct"/>
            <w:noWrap/>
            <w:hideMark/>
          </w:tcPr>
          <w:p w14:paraId="674C853B" w14:textId="77777777" w:rsidR="001F18CC" w:rsidRPr="001F18CC" w:rsidRDefault="001F18CC" w:rsidP="001F18CC">
            <w:r w:rsidRPr="001F18CC">
              <w:t>97.61%</w:t>
            </w:r>
          </w:p>
        </w:tc>
      </w:tr>
      <w:tr w:rsidR="001F18CC" w:rsidRPr="001F18CC" w14:paraId="62B05C48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01F96146" w14:textId="77777777" w:rsidR="001F18CC" w:rsidRPr="001F18CC" w:rsidRDefault="001F18CC">
            <w:r w:rsidRPr="001F18CC">
              <w:t>Writing</w:t>
            </w:r>
          </w:p>
        </w:tc>
        <w:tc>
          <w:tcPr>
            <w:tcW w:w="1036" w:type="pct"/>
            <w:noWrap/>
            <w:hideMark/>
          </w:tcPr>
          <w:p w14:paraId="57156A4F" w14:textId="77777777" w:rsidR="001F18CC" w:rsidRPr="001F18CC" w:rsidRDefault="001F18CC" w:rsidP="001F18CC">
            <w:r w:rsidRPr="001F18CC">
              <w:t>6</w:t>
            </w:r>
          </w:p>
        </w:tc>
        <w:tc>
          <w:tcPr>
            <w:tcW w:w="1238" w:type="pct"/>
            <w:noWrap/>
            <w:hideMark/>
          </w:tcPr>
          <w:p w14:paraId="6B9C3529" w14:textId="77777777" w:rsidR="001F18CC" w:rsidRPr="001F18CC" w:rsidRDefault="001F18CC" w:rsidP="001F18CC">
            <w:r w:rsidRPr="001F18CC">
              <w:t>0.40%</w:t>
            </w:r>
          </w:p>
        </w:tc>
      </w:tr>
      <w:tr w:rsidR="001F18CC" w:rsidRPr="001F18CC" w14:paraId="6EBD82C4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22D10FB3" w14:textId="77777777" w:rsidR="001F18CC" w:rsidRPr="001F18CC" w:rsidRDefault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Total</w:t>
            </w:r>
          </w:p>
        </w:tc>
        <w:tc>
          <w:tcPr>
            <w:tcW w:w="1036" w:type="pct"/>
            <w:noWrap/>
            <w:hideMark/>
          </w:tcPr>
          <w:p w14:paraId="4953FBD3" w14:textId="77777777" w:rsidR="001F18CC" w:rsidRPr="001F18CC" w:rsidRDefault="001F18CC" w:rsidP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1507</w:t>
            </w:r>
          </w:p>
        </w:tc>
        <w:tc>
          <w:tcPr>
            <w:tcW w:w="1238" w:type="pct"/>
            <w:noWrap/>
            <w:hideMark/>
          </w:tcPr>
          <w:p w14:paraId="35F0B787" w14:textId="77777777" w:rsidR="001F18CC" w:rsidRPr="001F18CC" w:rsidRDefault="001F18CC" w:rsidP="001F18CC">
            <w:pPr>
              <w:rPr>
                <w:b/>
                <w:bCs/>
              </w:rPr>
            </w:pPr>
          </w:p>
        </w:tc>
      </w:tr>
      <w:tr w:rsidR="001F18CC" w:rsidRPr="001F18CC" w14:paraId="1D5FFC88" w14:textId="77777777" w:rsidTr="027A6998">
        <w:trPr>
          <w:trHeight w:val="290"/>
        </w:trPr>
        <w:tc>
          <w:tcPr>
            <w:tcW w:w="5000" w:type="pct"/>
            <w:gridSpan w:val="3"/>
            <w:shd w:val="clear" w:color="auto" w:fill="B3E5A1" w:themeFill="accent6" w:themeFillTint="66"/>
            <w:noWrap/>
            <w:hideMark/>
          </w:tcPr>
          <w:p w14:paraId="774E9967" w14:textId="18FB85C6" w:rsidR="001F18CC" w:rsidRPr="001F18CC" w:rsidRDefault="001F18CC" w:rsidP="001F18CC">
            <w:pPr>
              <w:jc w:val="center"/>
              <w:rPr>
                <w:b/>
                <w:bCs/>
              </w:rPr>
            </w:pPr>
            <w:r w:rsidRPr="001F18CC">
              <w:rPr>
                <w:b/>
                <w:bCs/>
              </w:rPr>
              <w:t xml:space="preserve">Missing </w:t>
            </w:r>
            <w:r w:rsidR="00A52937">
              <w:rPr>
                <w:b/>
                <w:bCs/>
              </w:rPr>
              <w:t>Two</w:t>
            </w:r>
            <w:r w:rsidRPr="001F18CC">
              <w:rPr>
                <w:b/>
                <w:bCs/>
              </w:rPr>
              <w:t xml:space="preserve"> Domains</w:t>
            </w:r>
          </w:p>
        </w:tc>
      </w:tr>
      <w:tr w:rsidR="001F18CC" w:rsidRPr="001F18CC" w14:paraId="406581DC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0667A77B" w14:textId="77777777" w:rsidR="001F18CC" w:rsidRPr="001F18CC" w:rsidRDefault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Domains</w:t>
            </w:r>
          </w:p>
        </w:tc>
        <w:tc>
          <w:tcPr>
            <w:tcW w:w="1036" w:type="pct"/>
            <w:noWrap/>
            <w:hideMark/>
          </w:tcPr>
          <w:p w14:paraId="5190C464" w14:textId="77777777" w:rsidR="001F18CC" w:rsidRPr="001F18CC" w:rsidRDefault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Count</w:t>
            </w:r>
          </w:p>
        </w:tc>
        <w:tc>
          <w:tcPr>
            <w:tcW w:w="1238" w:type="pct"/>
            <w:noWrap/>
            <w:hideMark/>
          </w:tcPr>
          <w:p w14:paraId="39CB1EB3" w14:textId="77777777" w:rsidR="001F18CC" w:rsidRPr="001F18CC" w:rsidRDefault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Percent</w:t>
            </w:r>
          </w:p>
        </w:tc>
      </w:tr>
      <w:tr w:rsidR="001F18CC" w:rsidRPr="001F18CC" w14:paraId="4B798F2D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11339DAE" w14:textId="77777777" w:rsidR="001F18CC" w:rsidRPr="001F18CC" w:rsidRDefault="001F18CC">
            <w:r w:rsidRPr="001F18CC">
              <w:t xml:space="preserve">Listening and </w:t>
            </w:r>
            <w:proofErr w:type="gramStart"/>
            <w:r w:rsidRPr="001F18CC">
              <w:t>Speaking</w:t>
            </w:r>
            <w:proofErr w:type="gramEnd"/>
          </w:p>
        </w:tc>
        <w:tc>
          <w:tcPr>
            <w:tcW w:w="1036" w:type="pct"/>
            <w:noWrap/>
            <w:hideMark/>
          </w:tcPr>
          <w:p w14:paraId="0434DE01" w14:textId="77777777" w:rsidR="001F18CC" w:rsidRPr="001F18CC" w:rsidRDefault="001F18CC" w:rsidP="001F18CC">
            <w:r w:rsidRPr="001F18CC">
              <w:t>50</w:t>
            </w:r>
          </w:p>
        </w:tc>
        <w:tc>
          <w:tcPr>
            <w:tcW w:w="1238" w:type="pct"/>
            <w:noWrap/>
            <w:hideMark/>
          </w:tcPr>
          <w:p w14:paraId="7B356BE8" w14:textId="77777777" w:rsidR="001F18CC" w:rsidRPr="001F18CC" w:rsidRDefault="001F18CC" w:rsidP="001F18CC">
            <w:r w:rsidRPr="001F18CC">
              <w:t>65.79%</w:t>
            </w:r>
          </w:p>
        </w:tc>
      </w:tr>
      <w:tr w:rsidR="001F18CC" w:rsidRPr="001F18CC" w14:paraId="78A5ADEE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1176A0C5" w14:textId="77777777" w:rsidR="001F18CC" w:rsidRPr="001F18CC" w:rsidRDefault="001F18CC">
            <w:r w:rsidRPr="001F18CC">
              <w:t>Listening and Reading</w:t>
            </w:r>
          </w:p>
        </w:tc>
        <w:tc>
          <w:tcPr>
            <w:tcW w:w="1036" w:type="pct"/>
            <w:noWrap/>
            <w:hideMark/>
          </w:tcPr>
          <w:p w14:paraId="0F025CDE" w14:textId="77777777" w:rsidR="001F18CC" w:rsidRPr="001F18CC" w:rsidRDefault="001F18CC" w:rsidP="001F18CC">
            <w:r w:rsidRPr="001F18CC">
              <w:t>5</w:t>
            </w:r>
          </w:p>
        </w:tc>
        <w:tc>
          <w:tcPr>
            <w:tcW w:w="1238" w:type="pct"/>
            <w:noWrap/>
            <w:hideMark/>
          </w:tcPr>
          <w:p w14:paraId="68B16612" w14:textId="77777777" w:rsidR="001F18CC" w:rsidRPr="001F18CC" w:rsidRDefault="001F18CC" w:rsidP="001F18CC">
            <w:r w:rsidRPr="001F18CC">
              <w:t>6.58%</w:t>
            </w:r>
          </w:p>
        </w:tc>
      </w:tr>
      <w:tr w:rsidR="001F18CC" w:rsidRPr="001F18CC" w14:paraId="05865C17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070E8B29" w14:textId="77777777" w:rsidR="001F18CC" w:rsidRPr="001F18CC" w:rsidRDefault="001F18CC">
            <w:r w:rsidRPr="001F18CC">
              <w:t>Speaking and Reading</w:t>
            </w:r>
          </w:p>
        </w:tc>
        <w:tc>
          <w:tcPr>
            <w:tcW w:w="1036" w:type="pct"/>
            <w:noWrap/>
            <w:hideMark/>
          </w:tcPr>
          <w:p w14:paraId="53FD5592" w14:textId="77777777" w:rsidR="001F18CC" w:rsidRPr="001F18CC" w:rsidRDefault="001F18CC" w:rsidP="001F18CC">
            <w:r w:rsidRPr="001F18CC">
              <w:t>13</w:t>
            </w:r>
          </w:p>
        </w:tc>
        <w:tc>
          <w:tcPr>
            <w:tcW w:w="1238" w:type="pct"/>
            <w:noWrap/>
            <w:hideMark/>
          </w:tcPr>
          <w:p w14:paraId="38C8AC4A" w14:textId="77777777" w:rsidR="001F18CC" w:rsidRPr="001F18CC" w:rsidRDefault="001F18CC" w:rsidP="001F18CC">
            <w:r w:rsidRPr="001F18CC">
              <w:t>17.11%</w:t>
            </w:r>
          </w:p>
        </w:tc>
      </w:tr>
      <w:tr w:rsidR="001F18CC" w:rsidRPr="001F18CC" w14:paraId="44F6BCD1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0E87A398" w14:textId="77777777" w:rsidR="001F18CC" w:rsidRPr="001F18CC" w:rsidRDefault="001F18CC">
            <w:r w:rsidRPr="001F18CC">
              <w:t>Reading and Writing</w:t>
            </w:r>
          </w:p>
        </w:tc>
        <w:tc>
          <w:tcPr>
            <w:tcW w:w="1036" w:type="pct"/>
            <w:noWrap/>
            <w:hideMark/>
          </w:tcPr>
          <w:p w14:paraId="049BAB68" w14:textId="77777777" w:rsidR="001F18CC" w:rsidRPr="001F18CC" w:rsidRDefault="001F18CC" w:rsidP="001F18CC">
            <w:r w:rsidRPr="001F18CC">
              <w:t>8</w:t>
            </w:r>
          </w:p>
        </w:tc>
        <w:tc>
          <w:tcPr>
            <w:tcW w:w="1238" w:type="pct"/>
            <w:noWrap/>
            <w:hideMark/>
          </w:tcPr>
          <w:p w14:paraId="630B5633" w14:textId="77777777" w:rsidR="001F18CC" w:rsidRPr="001F18CC" w:rsidRDefault="001F18CC" w:rsidP="001F18CC">
            <w:r w:rsidRPr="001F18CC">
              <w:t>10.53%</w:t>
            </w:r>
          </w:p>
        </w:tc>
      </w:tr>
      <w:tr w:rsidR="001F18CC" w:rsidRPr="001F18CC" w14:paraId="6612F5A7" w14:textId="77777777" w:rsidTr="027A6998">
        <w:trPr>
          <w:trHeight w:val="290"/>
        </w:trPr>
        <w:tc>
          <w:tcPr>
            <w:tcW w:w="2726" w:type="pct"/>
            <w:noWrap/>
            <w:hideMark/>
          </w:tcPr>
          <w:p w14:paraId="48B6730B" w14:textId="77777777" w:rsidR="001F18CC" w:rsidRPr="001F18CC" w:rsidRDefault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Total</w:t>
            </w:r>
          </w:p>
        </w:tc>
        <w:tc>
          <w:tcPr>
            <w:tcW w:w="1036" w:type="pct"/>
            <w:noWrap/>
            <w:hideMark/>
          </w:tcPr>
          <w:p w14:paraId="1A685406" w14:textId="77777777" w:rsidR="001F18CC" w:rsidRPr="001F18CC" w:rsidRDefault="001F18CC" w:rsidP="001F18CC">
            <w:pPr>
              <w:rPr>
                <w:b/>
                <w:bCs/>
              </w:rPr>
            </w:pPr>
            <w:r w:rsidRPr="001F18CC">
              <w:rPr>
                <w:b/>
                <w:bCs/>
              </w:rPr>
              <w:t>76</w:t>
            </w:r>
          </w:p>
        </w:tc>
        <w:tc>
          <w:tcPr>
            <w:tcW w:w="1238" w:type="pct"/>
            <w:noWrap/>
            <w:hideMark/>
          </w:tcPr>
          <w:p w14:paraId="2F6C3AA7" w14:textId="77777777" w:rsidR="001F18CC" w:rsidRPr="001F18CC" w:rsidRDefault="001F18CC" w:rsidP="001F18CC">
            <w:pPr>
              <w:rPr>
                <w:b/>
                <w:bCs/>
              </w:rPr>
            </w:pPr>
          </w:p>
        </w:tc>
      </w:tr>
    </w:tbl>
    <w:p w14:paraId="7BFCC82F" w14:textId="77777777" w:rsidR="007C204D" w:rsidRDefault="007C204D" w:rsidP="00581CB0"/>
    <w:p w14:paraId="7B4A2539" w14:textId="651BF116" w:rsidR="00391AF4" w:rsidRDefault="00391AF4" w:rsidP="00581CB0">
      <w:r>
        <w:t xml:space="preserve">For each scenario, both the average score method and reweighting method were applied to estimate an overall scaled score of English proficiency. </w:t>
      </w:r>
      <w:r w:rsidR="00D353F5">
        <w:t xml:space="preserve">To evaluate the </w:t>
      </w:r>
      <w:r w:rsidR="00D52A83">
        <w:t xml:space="preserve">validity of estimated </w:t>
      </w:r>
      <w:r w:rsidR="00D52A83">
        <w:lastRenderedPageBreak/>
        <w:t xml:space="preserve">scores, actual earned overall scaled scores were compared to </w:t>
      </w:r>
      <w:r w:rsidR="00293E11">
        <w:t>those estimated by each imputation method. This was done using two different analytic method</w:t>
      </w:r>
      <w:r w:rsidR="0037043D">
        <w:t xml:space="preserve">s, replicating </w:t>
      </w:r>
      <w:r w:rsidR="00C72923">
        <w:t>those used by the 2019 internal DESE analysis</w:t>
      </w:r>
      <w:r w:rsidR="00D66D48">
        <w:t xml:space="preserve"> (Flanagan &amp; Wiener, 2019)</w:t>
      </w:r>
      <w:r w:rsidR="00293E11">
        <w:t>.</w:t>
      </w:r>
    </w:p>
    <w:p w14:paraId="1216431A" w14:textId="6DD1B89C" w:rsidR="00B93C8A" w:rsidRDefault="00293E11" w:rsidP="00CA43EC">
      <w:bookmarkStart w:id="6" w:name="_Toc171339046"/>
      <w:r w:rsidRPr="002D11A3">
        <w:rPr>
          <w:rStyle w:val="Heading2Char"/>
        </w:rPr>
        <w:t>Bivariate correlations</w:t>
      </w:r>
      <w:bookmarkEnd w:id="6"/>
      <w:r>
        <w:t xml:space="preserve"> between </w:t>
      </w:r>
      <w:r w:rsidR="00B93C8A">
        <w:t xml:space="preserve">scores estimated by </w:t>
      </w:r>
      <w:r>
        <w:t xml:space="preserve">methods (average score, </w:t>
      </w:r>
      <w:r w:rsidR="00B93C8A">
        <w:t xml:space="preserve">reweighting) and </w:t>
      </w:r>
      <w:r w:rsidR="00D66D48">
        <w:t>earned</w:t>
      </w:r>
      <w:r w:rsidR="00B93C8A">
        <w:t xml:space="preserve"> scores were conducted using Pearson’s r.</w:t>
      </w:r>
    </w:p>
    <w:p w14:paraId="19931A07" w14:textId="76805C6A" w:rsidR="007C204D" w:rsidRDefault="00B93C8A">
      <w:pPr>
        <w:rPr>
          <w:b/>
          <w:bCs/>
        </w:rPr>
      </w:pPr>
      <w:bookmarkStart w:id="7" w:name="_Toc171339047"/>
      <w:r w:rsidRPr="002D11A3">
        <w:rPr>
          <w:rStyle w:val="Heading2Char"/>
        </w:rPr>
        <w:t>Validity statistics</w:t>
      </w:r>
      <w:bookmarkEnd w:id="7"/>
      <w:r w:rsidR="00B15C7B">
        <w:t xml:space="preserve"> for each method were calculated using</w:t>
      </w:r>
      <w:r w:rsidR="00AF0F08">
        <w:t xml:space="preserve"> a model </w:t>
      </w:r>
      <w:r w:rsidR="00B20874">
        <w:t>developed for evaluating diagnostic screeners (</w:t>
      </w:r>
      <w:proofErr w:type="spellStart"/>
      <w:r w:rsidR="0037043D">
        <w:t>Akobeng</w:t>
      </w:r>
      <w:proofErr w:type="spellEnd"/>
      <w:r w:rsidR="0037043D">
        <w:t xml:space="preserve">, 2006). </w:t>
      </w:r>
      <w:r w:rsidR="00C72923">
        <w:t xml:space="preserve">Validity statistics include sensitivity, specificity, </w:t>
      </w:r>
      <w:r w:rsidR="008A1701">
        <w:t xml:space="preserve">positive predictive validity (PPV), and negative predictive validity (NPV). These statistics generally represent accuracy and error rates associated with </w:t>
      </w:r>
      <w:r w:rsidR="00CB7629">
        <w:t xml:space="preserve">using a screener to diagnose a condition. In this paper, we use </w:t>
      </w:r>
      <w:r w:rsidR="00B0485D">
        <w:t xml:space="preserve">validity statistics </w:t>
      </w:r>
      <w:r w:rsidR="00CB7629">
        <w:t xml:space="preserve">to represent accuracy and error rates associated with using an imputation method to </w:t>
      </w:r>
      <w:r w:rsidR="00D12A04">
        <w:t xml:space="preserve">predict </w:t>
      </w:r>
      <w:r w:rsidR="00D66D48">
        <w:t>earned</w:t>
      </w:r>
      <w:r w:rsidR="00D12A04">
        <w:t xml:space="preserve"> scores. Table 6 shows </w:t>
      </w:r>
      <w:r w:rsidR="00CA43EC">
        <w:t xml:space="preserve">the relation between imputed </w:t>
      </w:r>
      <w:r w:rsidR="00E752AB">
        <w:t>proficiency levels</w:t>
      </w:r>
      <w:r w:rsidR="00CA43EC">
        <w:t xml:space="preserve"> and </w:t>
      </w:r>
      <w:r w:rsidR="00D66D48">
        <w:t xml:space="preserve">earned </w:t>
      </w:r>
      <w:r w:rsidR="00E752AB">
        <w:t>proficiency levels</w:t>
      </w:r>
      <w:r>
        <w:t xml:space="preserve"> </w:t>
      </w:r>
      <w:r w:rsidR="00E752AB">
        <w:t>(a dichotomy of proficient or not proficient as established by DESE’s criterion of 4.2 overall level).</w:t>
      </w:r>
      <w:r w:rsidR="00F60E23">
        <w:t xml:space="preserve"> </w:t>
      </w:r>
      <w:r w:rsidR="00D3400C">
        <w:t xml:space="preserve">Within the matrix, students </w:t>
      </w:r>
      <w:r w:rsidR="00D3400C" w:rsidDel="00F63B22">
        <w:t xml:space="preserve">are </w:t>
      </w:r>
      <w:r w:rsidR="00D3400C">
        <w:t xml:space="preserve">represented by the alignment between </w:t>
      </w:r>
      <w:r w:rsidR="00D66D48">
        <w:t xml:space="preserve">earned </w:t>
      </w:r>
      <w:r w:rsidR="00D3400C">
        <w:t xml:space="preserve">and imputed proficiency levels. For example, box A would be the number of students that had an imputed proficiency level at or above 4.2 and an </w:t>
      </w:r>
      <w:r w:rsidR="00D66D48">
        <w:t>earned</w:t>
      </w:r>
      <w:r w:rsidR="00D3400C">
        <w:t xml:space="preserve"> proficiency level at or above 4.2, indicating a “true</w:t>
      </w:r>
      <w:r w:rsidR="0035087A">
        <w:t>”</w:t>
      </w:r>
      <w:r w:rsidR="00D3400C">
        <w:t xml:space="preserve"> positive.</w:t>
      </w:r>
    </w:p>
    <w:p w14:paraId="509D81B3" w14:textId="2B98A232" w:rsidR="00D3400C" w:rsidRPr="00344924" w:rsidRDefault="00D3400C" w:rsidP="00247953">
      <w:pPr>
        <w:jc w:val="center"/>
        <w:rPr>
          <w:b/>
          <w:bCs/>
        </w:rPr>
      </w:pPr>
      <w:r w:rsidRPr="00344924">
        <w:rPr>
          <w:b/>
          <w:bCs/>
        </w:rPr>
        <w:t xml:space="preserve">Table </w:t>
      </w:r>
      <w:r w:rsidR="00540E8C" w:rsidRPr="00344924">
        <w:rPr>
          <w:b/>
          <w:bCs/>
        </w:rPr>
        <w:t xml:space="preserve">6. Model of </w:t>
      </w:r>
      <w:r w:rsidR="00005AD1">
        <w:rPr>
          <w:b/>
          <w:bCs/>
        </w:rPr>
        <w:t>Imputation</w:t>
      </w:r>
      <w:r w:rsidR="00540E8C" w:rsidRPr="00344924">
        <w:rPr>
          <w:b/>
          <w:bCs/>
        </w:rPr>
        <w:t xml:space="preserve"> Accuracy adapted from T</w:t>
      </w:r>
      <w:r w:rsidR="00344924" w:rsidRPr="00344924">
        <w:rPr>
          <w:b/>
          <w:bCs/>
        </w:rPr>
        <w:t>revethan, 2017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510"/>
        <w:gridCol w:w="1986"/>
        <w:gridCol w:w="2350"/>
        <w:gridCol w:w="2350"/>
        <w:gridCol w:w="2064"/>
      </w:tblGrid>
      <w:tr w:rsidR="004F73B5" w14:paraId="77805CC4" w14:textId="77777777" w:rsidTr="00D012F0">
        <w:trPr>
          <w:trHeight w:val="300"/>
        </w:trPr>
        <w:tc>
          <w:tcPr>
            <w:tcW w:w="2496" w:type="dxa"/>
            <w:gridSpan w:val="2"/>
            <w:vMerge w:val="restart"/>
          </w:tcPr>
          <w:p w14:paraId="67A429D1" w14:textId="77777777" w:rsidR="004F73B5" w:rsidRDefault="004F73B5">
            <w:pPr>
              <w:rPr>
                <w:b/>
                <w:bCs/>
              </w:rPr>
            </w:pPr>
          </w:p>
        </w:tc>
        <w:tc>
          <w:tcPr>
            <w:tcW w:w="4700" w:type="dxa"/>
            <w:gridSpan w:val="2"/>
          </w:tcPr>
          <w:p w14:paraId="1FE51A5C" w14:textId="7E290E20" w:rsidR="004F73B5" w:rsidRDefault="00D66D48">
            <w:pPr>
              <w:jc w:val="center"/>
              <w:rPr>
                <w:b/>
                <w:bCs/>
              </w:rPr>
            </w:pPr>
            <w:r w:rsidRPr="00D66D48">
              <w:rPr>
                <w:b/>
                <w:bCs/>
              </w:rPr>
              <w:t>Earned</w:t>
            </w:r>
            <w:r w:rsidR="004F73B5">
              <w:rPr>
                <w:b/>
                <w:bCs/>
              </w:rPr>
              <w:t xml:space="preserve"> Overall Level</w:t>
            </w:r>
          </w:p>
        </w:tc>
        <w:tc>
          <w:tcPr>
            <w:tcW w:w="2064" w:type="dxa"/>
          </w:tcPr>
          <w:p w14:paraId="3330F053" w14:textId="77777777" w:rsidR="004F73B5" w:rsidRDefault="004F73B5">
            <w:pPr>
              <w:jc w:val="center"/>
              <w:rPr>
                <w:b/>
                <w:bCs/>
              </w:rPr>
            </w:pPr>
          </w:p>
        </w:tc>
      </w:tr>
      <w:tr w:rsidR="004F73B5" w14:paraId="75C33F74" w14:textId="77777777" w:rsidTr="00D012F0">
        <w:trPr>
          <w:trHeight w:val="300"/>
        </w:trPr>
        <w:tc>
          <w:tcPr>
            <w:tcW w:w="2496" w:type="dxa"/>
            <w:gridSpan w:val="2"/>
            <w:vMerge/>
          </w:tcPr>
          <w:p w14:paraId="1273C963" w14:textId="77777777" w:rsidR="004F73B5" w:rsidRDefault="004F73B5">
            <w:pPr>
              <w:rPr>
                <w:b/>
                <w:bCs/>
              </w:rPr>
            </w:pPr>
          </w:p>
        </w:tc>
        <w:tc>
          <w:tcPr>
            <w:tcW w:w="2350" w:type="dxa"/>
          </w:tcPr>
          <w:p w14:paraId="7F0189F1" w14:textId="77777777" w:rsidR="004F73B5" w:rsidRPr="00A52B73" w:rsidRDefault="004F7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Proficient</w:t>
            </w:r>
          </w:p>
        </w:tc>
        <w:tc>
          <w:tcPr>
            <w:tcW w:w="2350" w:type="dxa"/>
          </w:tcPr>
          <w:p w14:paraId="7915DE7B" w14:textId="77777777" w:rsidR="004F73B5" w:rsidRPr="00A52B73" w:rsidRDefault="004F7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Proficient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5704FF4E" w14:textId="77777777" w:rsidR="004F73B5" w:rsidRPr="00CB7BA9" w:rsidRDefault="004F73B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Validity Statistic</w:t>
            </w:r>
          </w:p>
        </w:tc>
      </w:tr>
      <w:tr w:rsidR="004F73B5" w14:paraId="7200D610" w14:textId="77777777" w:rsidTr="00D012F0">
        <w:trPr>
          <w:trHeight w:val="1196"/>
        </w:trPr>
        <w:tc>
          <w:tcPr>
            <w:tcW w:w="510" w:type="dxa"/>
            <w:vMerge w:val="restart"/>
            <w:textDirection w:val="btLr"/>
          </w:tcPr>
          <w:p w14:paraId="5E664976" w14:textId="4230EC60" w:rsidR="004F73B5" w:rsidRDefault="004F73B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Imputation Method</w:t>
            </w:r>
          </w:p>
        </w:tc>
        <w:tc>
          <w:tcPr>
            <w:tcW w:w="1986" w:type="dxa"/>
            <w:vAlign w:val="center"/>
          </w:tcPr>
          <w:p w14:paraId="151D2BAE" w14:textId="77777777" w:rsidR="004F73B5" w:rsidRDefault="004F7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Proficient</w:t>
            </w:r>
          </w:p>
        </w:tc>
        <w:tc>
          <w:tcPr>
            <w:tcW w:w="2350" w:type="dxa"/>
            <w:vAlign w:val="center"/>
          </w:tcPr>
          <w:p w14:paraId="1B2176B3" w14:textId="77777777" w:rsidR="004F73B5" w:rsidRPr="00CB7BA9" w:rsidRDefault="004F73B5">
            <w:pPr>
              <w:ind w:left="360"/>
              <w:jc w:val="center"/>
            </w:pPr>
            <w:r w:rsidRPr="00CB7BA9">
              <w:t>True Positive (A)</w:t>
            </w:r>
          </w:p>
        </w:tc>
        <w:tc>
          <w:tcPr>
            <w:tcW w:w="2350" w:type="dxa"/>
            <w:vAlign w:val="center"/>
          </w:tcPr>
          <w:p w14:paraId="6DD36540" w14:textId="77777777" w:rsidR="004F73B5" w:rsidRPr="00CB7BA9" w:rsidRDefault="004F73B5">
            <w:pPr>
              <w:ind w:left="360"/>
              <w:jc w:val="center"/>
            </w:pPr>
            <w:r w:rsidRPr="00CB7BA9">
              <w:t>False Positive (B)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61E0393D" w14:textId="77777777" w:rsidR="004F73B5" w:rsidRPr="00CB7BA9" w:rsidRDefault="004F73B5">
            <w:pPr>
              <w:jc w:val="center"/>
              <w:rPr>
                <w:b/>
                <w:bCs/>
                <w:i/>
                <w:iCs/>
              </w:rPr>
            </w:pPr>
            <w:r w:rsidRPr="00CB7BA9">
              <w:rPr>
                <w:b/>
                <w:bCs/>
                <w:i/>
                <w:iCs/>
              </w:rPr>
              <w:t>PPV</w:t>
            </w:r>
          </w:p>
        </w:tc>
      </w:tr>
      <w:tr w:rsidR="004F73B5" w14:paraId="70F7F290" w14:textId="77777777" w:rsidTr="00D012F0">
        <w:trPr>
          <w:trHeight w:val="1196"/>
        </w:trPr>
        <w:tc>
          <w:tcPr>
            <w:tcW w:w="510" w:type="dxa"/>
            <w:vMerge/>
          </w:tcPr>
          <w:p w14:paraId="25211C26" w14:textId="77777777" w:rsidR="004F73B5" w:rsidRDefault="004F73B5">
            <w:pPr>
              <w:rPr>
                <w:b/>
                <w:bCs/>
              </w:rPr>
            </w:pPr>
          </w:p>
        </w:tc>
        <w:tc>
          <w:tcPr>
            <w:tcW w:w="1986" w:type="dxa"/>
            <w:vAlign w:val="center"/>
          </w:tcPr>
          <w:p w14:paraId="0241ACDC" w14:textId="77777777" w:rsidR="004F73B5" w:rsidRDefault="004F7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Proficient</w:t>
            </w:r>
          </w:p>
        </w:tc>
        <w:tc>
          <w:tcPr>
            <w:tcW w:w="2350" w:type="dxa"/>
            <w:vAlign w:val="center"/>
          </w:tcPr>
          <w:p w14:paraId="2C91193D" w14:textId="77777777" w:rsidR="004F73B5" w:rsidRPr="00CB7BA9" w:rsidRDefault="004F73B5">
            <w:pPr>
              <w:ind w:left="360"/>
              <w:jc w:val="center"/>
            </w:pPr>
            <w:r w:rsidRPr="00CB7BA9">
              <w:t>False Negative (C)</w:t>
            </w:r>
          </w:p>
        </w:tc>
        <w:tc>
          <w:tcPr>
            <w:tcW w:w="2350" w:type="dxa"/>
            <w:vAlign w:val="center"/>
          </w:tcPr>
          <w:p w14:paraId="5581FE2C" w14:textId="77777777" w:rsidR="004F73B5" w:rsidRPr="00CB7BA9" w:rsidRDefault="004F73B5">
            <w:pPr>
              <w:ind w:left="360"/>
              <w:jc w:val="center"/>
            </w:pPr>
            <w:r w:rsidRPr="00CB7BA9">
              <w:t>True Negative (D)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7700B3A0" w14:textId="77777777" w:rsidR="004F73B5" w:rsidRPr="00CB7BA9" w:rsidRDefault="004F73B5">
            <w:pPr>
              <w:jc w:val="center"/>
              <w:rPr>
                <w:b/>
                <w:bCs/>
                <w:i/>
                <w:iCs/>
              </w:rPr>
            </w:pPr>
            <w:r w:rsidRPr="00CB7BA9">
              <w:rPr>
                <w:b/>
                <w:bCs/>
                <w:i/>
                <w:iCs/>
              </w:rPr>
              <w:t>NPV</w:t>
            </w:r>
          </w:p>
        </w:tc>
      </w:tr>
      <w:tr w:rsidR="004F73B5" w14:paraId="39853868" w14:textId="77777777" w:rsidTr="00D012F0">
        <w:trPr>
          <w:trHeight w:val="350"/>
        </w:trPr>
        <w:tc>
          <w:tcPr>
            <w:tcW w:w="510" w:type="dxa"/>
          </w:tcPr>
          <w:p w14:paraId="73217ED0" w14:textId="77777777" w:rsidR="004F73B5" w:rsidRDefault="004F73B5">
            <w:pPr>
              <w:rPr>
                <w:b/>
                <w:bCs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670ADF2E" w14:textId="77777777" w:rsidR="004F73B5" w:rsidRPr="00CB7BA9" w:rsidRDefault="004F73B5">
            <w:pPr>
              <w:jc w:val="center"/>
              <w:rPr>
                <w:b/>
                <w:bCs/>
                <w:i/>
                <w:iCs/>
              </w:rPr>
            </w:pPr>
            <w:r w:rsidRPr="00CB7BA9">
              <w:rPr>
                <w:b/>
                <w:bCs/>
                <w:i/>
                <w:iCs/>
              </w:rPr>
              <w:t>Validity Statistic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2720DE06" w14:textId="77777777" w:rsidR="004F73B5" w:rsidRPr="00CB7BA9" w:rsidRDefault="004F73B5">
            <w:pPr>
              <w:jc w:val="center"/>
              <w:rPr>
                <w:b/>
                <w:bCs/>
                <w:i/>
                <w:iCs/>
              </w:rPr>
            </w:pPr>
            <w:r w:rsidRPr="00CB7BA9">
              <w:rPr>
                <w:b/>
                <w:bCs/>
                <w:i/>
                <w:iCs/>
              </w:rPr>
              <w:t>Sensitivity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32F25EC0" w14:textId="77777777" w:rsidR="004F73B5" w:rsidRPr="00CB7BA9" w:rsidRDefault="004F73B5">
            <w:pPr>
              <w:jc w:val="center"/>
              <w:rPr>
                <w:b/>
                <w:bCs/>
                <w:i/>
                <w:iCs/>
              </w:rPr>
            </w:pPr>
            <w:r w:rsidRPr="00CB7BA9">
              <w:rPr>
                <w:b/>
                <w:bCs/>
                <w:i/>
                <w:iCs/>
              </w:rPr>
              <w:t>Specificity</w:t>
            </w:r>
          </w:p>
        </w:tc>
        <w:tc>
          <w:tcPr>
            <w:tcW w:w="2064" w:type="dxa"/>
          </w:tcPr>
          <w:p w14:paraId="1729CC09" w14:textId="77777777" w:rsidR="004F73B5" w:rsidRPr="00A52B73" w:rsidRDefault="004F73B5">
            <w:pPr>
              <w:ind w:left="360"/>
              <w:jc w:val="center"/>
              <w:rPr>
                <w:b/>
                <w:bCs/>
              </w:rPr>
            </w:pPr>
          </w:p>
        </w:tc>
      </w:tr>
    </w:tbl>
    <w:p w14:paraId="53686980" w14:textId="77777777" w:rsidR="004F73B5" w:rsidRDefault="004F73B5" w:rsidP="00581CB0">
      <w:pPr>
        <w:rPr>
          <w:b/>
          <w:bCs/>
        </w:rPr>
      </w:pPr>
    </w:p>
    <w:p w14:paraId="4135371E" w14:textId="08ECDCA9" w:rsidR="00344924" w:rsidRPr="00344924" w:rsidRDefault="00344924" w:rsidP="00581CB0">
      <w:r>
        <w:t xml:space="preserve">The validity statistics </w:t>
      </w:r>
      <w:r w:rsidR="00F63B22">
        <w:t xml:space="preserve">were </w:t>
      </w:r>
      <w:r>
        <w:t xml:space="preserve">then calculated based on values in boxes A, B, C, and D using the following </w:t>
      </w:r>
      <w:r w:rsidR="003C4850">
        <w:t>formulas:</w:t>
      </w:r>
    </w:p>
    <w:p w14:paraId="2717EB25" w14:textId="77777777" w:rsidR="00D3400C" w:rsidRPr="003C4850" w:rsidRDefault="00D3400C" w:rsidP="003C4850">
      <w:pPr>
        <w:pStyle w:val="ListParagraph"/>
        <w:numPr>
          <w:ilvl w:val="0"/>
          <w:numId w:val="6"/>
        </w:numPr>
      </w:pPr>
      <w:r w:rsidRPr="003C4850">
        <w:t>PPV=a/(</w:t>
      </w:r>
      <w:proofErr w:type="spellStart"/>
      <w:r w:rsidRPr="003C4850">
        <w:t>a+</w:t>
      </w:r>
      <w:proofErr w:type="gramStart"/>
      <w:r w:rsidRPr="003C4850">
        <w:t>b</w:t>
      </w:r>
      <w:proofErr w:type="spellEnd"/>
      <w:r w:rsidRPr="003C4850">
        <w:t>)*</w:t>
      </w:r>
      <w:proofErr w:type="gramEnd"/>
      <w:r w:rsidRPr="003C4850">
        <w:t>100</w:t>
      </w:r>
    </w:p>
    <w:p w14:paraId="5BA4A02A" w14:textId="77777777" w:rsidR="00D3400C" w:rsidRPr="003C4850" w:rsidRDefault="00D3400C" w:rsidP="003C4850">
      <w:pPr>
        <w:pStyle w:val="ListParagraph"/>
        <w:numPr>
          <w:ilvl w:val="0"/>
          <w:numId w:val="6"/>
        </w:numPr>
      </w:pPr>
      <w:r w:rsidRPr="003C4850">
        <w:t>NPV=d/(</w:t>
      </w:r>
      <w:proofErr w:type="spellStart"/>
      <w:r w:rsidRPr="003C4850">
        <w:t>d+</w:t>
      </w:r>
      <w:proofErr w:type="gramStart"/>
      <w:r w:rsidRPr="003C4850">
        <w:t>c</w:t>
      </w:r>
      <w:proofErr w:type="spellEnd"/>
      <w:r w:rsidRPr="003C4850">
        <w:t>)*</w:t>
      </w:r>
      <w:proofErr w:type="gramEnd"/>
      <w:r w:rsidRPr="003C4850">
        <w:t>100</w:t>
      </w:r>
    </w:p>
    <w:p w14:paraId="55A14E2A" w14:textId="77777777" w:rsidR="00D3400C" w:rsidRPr="003C4850" w:rsidRDefault="00D3400C" w:rsidP="003C4850">
      <w:pPr>
        <w:pStyle w:val="ListParagraph"/>
        <w:numPr>
          <w:ilvl w:val="0"/>
          <w:numId w:val="6"/>
        </w:numPr>
      </w:pPr>
      <w:r w:rsidRPr="003C4850">
        <w:t>Sensitivity=a/(</w:t>
      </w:r>
      <w:proofErr w:type="spellStart"/>
      <w:r w:rsidRPr="003C4850">
        <w:t>a+</w:t>
      </w:r>
      <w:proofErr w:type="gramStart"/>
      <w:r w:rsidRPr="003C4850">
        <w:t>c</w:t>
      </w:r>
      <w:proofErr w:type="spellEnd"/>
      <w:r w:rsidRPr="003C4850">
        <w:t>)*</w:t>
      </w:r>
      <w:proofErr w:type="gramEnd"/>
      <w:r w:rsidRPr="003C4850">
        <w:t>100</w:t>
      </w:r>
    </w:p>
    <w:p w14:paraId="2840721B" w14:textId="77777777" w:rsidR="00D3400C" w:rsidRPr="003C4850" w:rsidRDefault="00D3400C" w:rsidP="003C4850">
      <w:pPr>
        <w:pStyle w:val="ListParagraph"/>
        <w:numPr>
          <w:ilvl w:val="0"/>
          <w:numId w:val="6"/>
        </w:numPr>
      </w:pPr>
      <w:r w:rsidRPr="003C4850">
        <w:t>Specificity=d/(</w:t>
      </w:r>
      <w:proofErr w:type="spellStart"/>
      <w:r w:rsidRPr="003C4850">
        <w:t>d+</w:t>
      </w:r>
      <w:proofErr w:type="gramStart"/>
      <w:r w:rsidRPr="003C4850">
        <w:t>b</w:t>
      </w:r>
      <w:proofErr w:type="spellEnd"/>
      <w:r w:rsidRPr="003C4850">
        <w:t>)*</w:t>
      </w:r>
      <w:proofErr w:type="gramEnd"/>
      <w:r w:rsidRPr="003C4850">
        <w:t>100</w:t>
      </w:r>
    </w:p>
    <w:p w14:paraId="4B664F46" w14:textId="77777777" w:rsidR="00D3400C" w:rsidRPr="003C4850" w:rsidRDefault="00D3400C" w:rsidP="003C4850">
      <w:pPr>
        <w:pStyle w:val="ListParagraph"/>
        <w:numPr>
          <w:ilvl w:val="0"/>
          <w:numId w:val="6"/>
        </w:numPr>
      </w:pPr>
      <w:r w:rsidRPr="003C4850">
        <w:t>Accuracy=(</w:t>
      </w:r>
      <w:proofErr w:type="spellStart"/>
      <w:r w:rsidRPr="003C4850">
        <w:t>a+d</w:t>
      </w:r>
      <w:proofErr w:type="spellEnd"/>
      <w:r w:rsidRPr="003C4850">
        <w:t>)/(</w:t>
      </w:r>
      <w:proofErr w:type="spellStart"/>
      <w:r w:rsidRPr="003C4850">
        <w:t>a+b+c+</w:t>
      </w:r>
      <w:proofErr w:type="gramStart"/>
      <w:r w:rsidRPr="003C4850">
        <w:t>d</w:t>
      </w:r>
      <w:proofErr w:type="spellEnd"/>
      <w:r w:rsidRPr="003C4850">
        <w:t>)*</w:t>
      </w:r>
      <w:proofErr w:type="gramEnd"/>
      <w:r w:rsidRPr="003C4850">
        <w:t>100</w:t>
      </w:r>
    </w:p>
    <w:p w14:paraId="57F9D973" w14:textId="51A3AE46" w:rsidR="00D3400C" w:rsidRPr="003C4850" w:rsidRDefault="003C4850" w:rsidP="00581CB0">
      <w:r w:rsidRPr="003C4850">
        <w:t>Higher values</w:t>
      </w:r>
      <w:r>
        <w:t xml:space="preserve"> indicate greater validity. </w:t>
      </w:r>
      <w:r w:rsidR="0026122C">
        <w:t xml:space="preserve">PPV and NPV </w:t>
      </w:r>
      <w:r w:rsidR="00E05554">
        <w:t xml:space="preserve">indicate the likelihood that the imputed method </w:t>
      </w:r>
      <w:r w:rsidR="004238BB">
        <w:t>accurately identifies students that are or are not proficient in English</w:t>
      </w:r>
      <w:r w:rsidR="00763668">
        <w:t>, w</w:t>
      </w:r>
      <w:r w:rsidR="008C1E55">
        <w:t xml:space="preserve">hereas sensitivity and specificity indicate the extent to which an imputation method is aligned to </w:t>
      </w:r>
      <w:r w:rsidR="00635C5F">
        <w:t>a</w:t>
      </w:r>
      <w:r w:rsidR="008C1E55">
        <w:t xml:space="preserve"> reference </w:t>
      </w:r>
      <w:r w:rsidR="00635C5F">
        <w:lastRenderedPageBreak/>
        <w:t>criterion</w:t>
      </w:r>
      <w:r w:rsidR="008C1E55">
        <w:t xml:space="preserve"> (in this case overall score of 4.2). </w:t>
      </w:r>
      <w:r w:rsidR="004238BB">
        <w:t xml:space="preserve"> </w:t>
      </w:r>
      <w:r w:rsidR="00614AF8">
        <w:t xml:space="preserve">Accuracy provides a holistic </w:t>
      </w:r>
      <w:r w:rsidR="001B4736">
        <w:t xml:space="preserve">metric for </w:t>
      </w:r>
      <w:r w:rsidR="005F0972">
        <w:t xml:space="preserve">understanding test validity. </w:t>
      </w:r>
      <w:r w:rsidR="00C03E87">
        <w:t xml:space="preserve">These metrics should be considered together when evaluating the validity of an imputation method. </w:t>
      </w:r>
      <w:r w:rsidR="00F30BC1">
        <w:t xml:space="preserve">However, PPV and NPV </w:t>
      </w:r>
      <w:r w:rsidR="005F0972">
        <w:t>are</w:t>
      </w:r>
      <w:r w:rsidR="00F30BC1">
        <w:t xml:space="preserve"> more appropriate metric</w:t>
      </w:r>
      <w:r w:rsidR="005F0972">
        <w:t>s</w:t>
      </w:r>
      <w:r w:rsidR="00F30BC1">
        <w:t xml:space="preserve"> to consider in terms of making decisions about individual student</w:t>
      </w:r>
      <w:r w:rsidR="00614AF8">
        <w:t>’s English proficiency</w:t>
      </w:r>
      <w:r w:rsidR="005F0972">
        <w:t>; compared to sensitivity and specificity</w:t>
      </w:r>
      <w:r w:rsidR="00614AF8">
        <w:t xml:space="preserve"> (Trevethan, 2017). </w:t>
      </w:r>
    </w:p>
    <w:p w14:paraId="627C0717" w14:textId="752137D6" w:rsidR="004B7D5A" w:rsidRDefault="004B7D5A" w:rsidP="004B7D5A">
      <w:pPr>
        <w:pStyle w:val="Heading1"/>
      </w:pPr>
      <w:bookmarkStart w:id="8" w:name="_Toc171339048"/>
      <w:r>
        <w:t>Results</w:t>
      </w:r>
      <w:bookmarkEnd w:id="8"/>
    </w:p>
    <w:p w14:paraId="50E7DF59" w14:textId="2A1B3D32" w:rsidR="001F18CC" w:rsidRDefault="005230BE" w:rsidP="001F18CC">
      <w:pPr>
        <w:pStyle w:val="Heading2"/>
      </w:pPr>
      <w:bookmarkStart w:id="9" w:name="_Toc171339049"/>
      <w:r>
        <w:t>Bivariate Correlations</w:t>
      </w:r>
      <w:bookmarkEnd w:id="9"/>
    </w:p>
    <w:p w14:paraId="02098E8D" w14:textId="60E29730" w:rsidR="00310C30" w:rsidRDefault="001F18CC">
      <w:pPr>
        <w:rPr>
          <w:b/>
          <w:bCs/>
        </w:rPr>
      </w:pPr>
      <w:r>
        <w:t xml:space="preserve">Both the average score method and the reweighting method produced estimated overall scaled scores that were highly correlated with each other and with the actual </w:t>
      </w:r>
      <w:r w:rsidR="00D66D48">
        <w:t>earned</w:t>
      </w:r>
      <w:r>
        <w:t xml:space="preserve"> overall scores (see Table </w:t>
      </w:r>
      <w:r w:rsidR="005F0972">
        <w:t>7</w:t>
      </w:r>
      <w:r>
        <w:t xml:space="preserve">). The reweighting method had a slightly higher correlation with </w:t>
      </w:r>
      <w:r w:rsidR="00D66D48">
        <w:t>earned</w:t>
      </w:r>
      <w:r>
        <w:t xml:space="preserve"> scores than the average score method did. Similarly, when correlating </w:t>
      </w:r>
      <w:r w:rsidR="00DB541A">
        <w:t xml:space="preserve">estimated overall proficiency levels with the </w:t>
      </w:r>
      <w:r w:rsidR="00D66D48">
        <w:t>earned</w:t>
      </w:r>
      <w:r w:rsidR="00DB541A">
        <w:t xml:space="preserve"> proficiency level, the reweighting method had a slightly stronger correlation </w:t>
      </w:r>
      <w:r w:rsidR="00231CA6">
        <w:t xml:space="preserve">with </w:t>
      </w:r>
      <w:r w:rsidR="00D66D48">
        <w:t>earned</w:t>
      </w:r>
      <w:r w:rsidR="00DB541A">
        <w:t xml:space="preserve"> overall proficiency level (see Table </w:t>
      </w:r>
      <w:r w:rsidR="005F0972">
        <w:t>8</w:t>
      </w:r>
      <w:r w:rsidR="00DB541A">
        <w:t>).</w:t>
      </w:r>
      <w:r w:rsidR="00F6062E">
        <w:t xml:space="preserve"> These trends were similar for both estimating overall scaled scores with </w:t>
      </w:r>
      <w:r w:rsidR="00A52937">
        <w:t>one</w:t>
      </w:r>
      <w:r w:rsidR="00F6062E">
        <w:t xml:space="preserve"> or </w:t>
      </w:r>
      <w:r w:rsidR="00A52937">
        <w:t>two</w:t>
      </w:r>
      <w:r w:rsidR="00F6062E">
        <w:t xml:space="preserve"> missing domains. </w:t>
      </w:r>
    </w:p>
    <w:p w14:paraId="70D4CC7E" w14:textId="55CE58BA" w:rsidR="003F5C95" w:rsidRPr="001F18CC" w:rsidRDefault="003F5C95" w:rsidP="003F5C95">
      <w:pPr>
        <w:rPr>
          <w:b/>
          <w:bCs/>
        </w:rPr>
      </w:pPr>
      <w:r w:rsidRPr="001F18CC">
        <w:rPr>
          <w:b/>
          <w:bCs/>
        </w:rPr>
        <w:t xml:space="preserve">Table </w:t>
      </w:r>
      <w:r w:rsidR="005F0972">
        <w:rPr>
          <w:b/>
          <w:bCs/>
        </w:rPr>
        <w:t>7</w:t>
      </w:r>
      <w:r w:rsidRPr="001F18CC">
        <w:rPr>
          <w:b/>
          <w:bCs/>
        </w:rPr>
        <w:t>. Correlation</w:t>
      </w:r>
      <w:r>
        <w:rPr>
          <w:b/>
          <w:bCs/>
        </w:rPr>
        <w:t xml:space="preserve"> Matrix</w:t>
      </w:r>
      <w:r w:rsidRPr="001F18CC">
        <w:rPr>
          <w:b/>
          <w:bCs/>
        </w:rPr>
        <w:t xml:space="preserve"> between </w:t>
      </w:r>
      <w:r w:rsidR="00D66D48" w:rsidRPr="00D66D48">
        <w:rPr>
          <w:b/>
          <w:bCs/>
        </w:rPr>
        <w:t>Earned</w:t>
      </w:r>
      <w:r w:rsidR="00D66D48" w:rsidRPr="001F18CC">
        <w:rPr>
          <w:b/>
          <w:bCs/>
        </w:rPr>
        <w:t xml:space="preserve"> </w:t>
      </w:r>
      <w:r w:rsidRPr="001F18CC">
        <w:rPr>
          <w:b/>
          <w:bCs/>
        </w:rPr>
        <w:t>and Imputed Overall Scaled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11"/>
        <w:gridCol w:w="2320"/>
        <w:gridCol w:w="2310"/>
      </w:tblGrid>
      <w:tr w:rsidR="005230BE" w14:paraId="7C8FE917" w14:textId="77777777" w:rsidTr="005230BE">
        <w:tc>
          <w:tcPr>
            <w:tcW w:w="9350" w:type="dxa"/>
            <w:gridSpan w:val="4"/>
            <w:shd w:val="clear" w:color="auto" w:fill="83CAEB" w:themeFill="accent1" w:themeFillTint="66"/>
          </w:tcPr>
          <w:p w14:paraId="28811F06" w14:textId="2AC89F29" w:rsidR="005230BE" w:rsidRPr="002D11A3" w:rsidRDefault="00570AA1" w:rsidP="002D1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</w:t>
            </w:r>
            <w:r w:rsidR="005230BE" w:rsidRPr="002D11A3">
              <w:rPr>
                <w:b/>
                <w:bCs/>
              </w:rPr>
              <w:t xml:space="preserve"> </w:t>
            </w:r>
            <w:r w:rsidR="002F32B5" w:rsidRPr="002D11A3">
              <w:rPr>
                <w:b/>
                <w:bCs/>
              </w:rPr>
              <w:t>Missing</w:t>
            </w:r>
            <w:r w:rsidR="002F32B5">
              <w:rPr>
                <w:b/>
                <w:bCs/>
              </w:rPr>
              <w:t xml:space="preserve"> </w:t>
            </w:r>
            <w:r w:rsidR="005230BE" w:rsidRPr="002D11A3">
              <w:rPr>
                <w:b/>
                <w:bCs/>
              </w:rPr>
              <w:t>Domain</w:t>
            </w:r>
          </w:p>
        </w:tc>
      </w:tr>
      <w:tr w:rsidR="003F5C95" w14:paraId="7EDDE301" w14:textId="77777777">
        <w:tc>
          <w:tcPr>
            <w:tcW w:w="2337" w:type="dxa"/>
          </w:tcPr>
          <w:p w14:paraId="2EB5F7AF" w14:textId="77777777" w:rsidR="003F5C95" w:rsidRDefault="003F5C95" w:rsidP="002D11A3"/>
        </w:tc>
        <w:tc>
          <w:tcPr>
            <w:tcW w:w="2337" w:type="dxa"/>
          </w:tcPr>
          <w:p w14:paraId="15EBBC6F" w14:textId="77777777" w:rsidR="003F5C95" w:rsidRPr="002D11A3" w:rsidRDefault="003F5C95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2338" w:type="dxa"/>
          </w:tcPr>
          <w:p w14:paraId="0FA8A939" w14:textId="77777777" w:rsidR="003F5C95" w:rsidRPr="002D11A3" w:rsidRDefault="003F5C95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  <w:tc>
          <w:tcPr>
            <w:tcW w:w="2338" w:type="dxa"/>
          </w:tcPr>
          <w:p w14:paraId="54709A57" w14:textId="03EA26C5" w:rsidR="003F5C95" w:rsidRPr="002D11A3" w:rsidRDefault="00D66D48" w:rsidP="002D11A3">
            <w:pPr>
              <w:rPr>
                <w:b/>
                <w:bCs/>
              </w:rPr>
            </w:pPr>
            <w:r>
              <w:rPr>
                <w:b/>
                <w:bCs/>
              </w:rPr>
              <w:t>Earned</w:t>
            </w:r>
          </w:p>
        </w:tc>
      </w:tr>
      <w:tr w:rsidR="003F5C95" w14:paraId="728FE5CF" w14:textId="77777777">
        <w:tc>
          <w:tcPr>
            <w:tcW w:w="2337" w:type="dxa"/>
          </w:tcPr>
          <w:p w14:paraId="215A90AE" w14:textId="77777777" w:rsidR="003F5C95" w:rsidRPr="002D11A3" w:rsidRDefault="003F5C95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2337" w:type="dxa"/>
          </w:tcPr>
          <w:p w14:paraId="2A6D2BAB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1.000</w:t>
            </w:r>
          </w:p>
        </w:tc>
        <w:tc>
          <w:tcPr>
            <w:tcW w:w="2338" w:type="dxa"/>
          </w:tcPr>
          <w:p w14:paraId="39310B66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0.988</w:t>
            </w:r>
          </w:p>
        </w:tc>
        <w:tc>
          <w:tcPr>
            <w:tcW w:w="2338" w:type="dxa"/>
          </w:tcPr>
          <w:p w14:paraId="298F1E73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0.957</w:t>
            </w:r>
          </w:p>
        </w:tc>
      </w:tr>
      <w:tr w:rsidR="003F5C95" w14:paraId="03E230B6" w14:textId="77777777">
        <w:tc>
          <w:tcPr>
            <w:tcW w:w="2337" w:type="dxa"/>
          </w:tcPr>
          <w:p w14:paraId="157033B5" w14:textId="77777777" w:rsidR="003F5C95" w:rsidRPr="002D11A3" w:rsidRDefault="003F5C95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  <w:tc>
          <w:tcPr>
            <w:tcW w:w="2337" w:type="dxa"/>
          </w:tcPr>
          <w:p w14:paraId="0C7C63D3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0.988</w:t>
            </w:r>
          </w:p>
        </w:tc>
        <w:tc>
          <w:tcPr>
            <w:tcW w:w="2338" w:type="dxa"/>
          </w:tcPr>
          <w:p w14:paraId="1B0E4A8E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1.000</w:t>
            </w:r>
          </w:p>
        </w:tc>
        <w:tc>
          <w:tcPr>
            <w:tcW w:w="2338" w:type="dxa"/>
          </w:tcPr>
          <w:p w14:paraId="0E4EE635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0.964</w:t>
            </w:r>
          </w:p>
        </w:tc>
      </w:tr>
      <w:tr w:rsidR="003F5C95" w14:paraId="665731A6" w14:textId="77777777">
        <w:tc>
          <w:tcPr>
            <w:tcW w:w="2337" w:type="dxa"/>
          </w:tcPr>
          <w:p w14:paraId="1773651A" w14:textId="1C0F1E85" w:rsidR="003F5C95" w:rsidRPr="002D11A3" w:rsidRDefault="00D66D48" w:rsidP="002D11A3">
            <w:pPr>
              <w:rPr>
                <w:b/>
                <w:bCs/>
              </w:rPr>
            </w:pPr>
            <w:r>
              <w:rPr>
                <w:b/>
                <w:bCs/>
              </w:rPr>
              <w:t>Earned</w:t>
            </w:r>
          </w:p>
        </w:tc>
        <w:tc>
          <w:tcPr>
            <w:tcW w:w="2337" w:type="dxa"/>
          </w:tcPr>
          <w:p w14:paraId="40FA45A7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0.957</w:t>
            </w:r>
          </w:p>
        </w:tc>
        <w:tc>
          <w:tcPr>
            <w:tcW w:w="2338" w:type="dxa"/>
          </w:tcPr>
          <w:p w14:paraId="5C4EDBC7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0.964</w:t>
            </w:r>
          </w:p>
        </w:tc>
        <w:tc>
          <w:tcPr>
            <w:tcW w:w="2338" w:type="dxa"/>
          </w:tcPr>
          <w:p w14:paraId="58523F67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1.000</w:t>
            </w:r>
          </w:p>
        </w:tc>
      </w:tr>
      <w:tr w:rsidR="005230BE" w14:paraId="2FA576E5" w14:textId="77777777" w:rsidTr="005230BE">
        <w:tc>
          <w:tcPr>
            <w:tcW w:w="9350" w:type="dxa"/>
            <w:gridSpan w:val="4"/>
            <w:shd w:val="clear" w:color="auto" w:fill="B3E5A1" w:themeFill="accent6" w:themeFillTint="66"/>
          </w:tcPr>
          <w:p w14:paraId="29940C38" w14:textId="6D8EC328" w:rsidR="005230BE" w:rsidRPr="002D11A3" w:rsidRDefault="00F44978" w:rsidP="002D1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Two</w:t>
            </w:r>
            <w:r w:rsidR="00570AA1">
              <w:rPr>
                <w:b/>
                <w:bCs/>
              </w:rPr>
              <w:t xml:space="preserve"> </w:t>
            </w:r>
            <w:r w:rsidR="002F32B5" w:rsidRPr="002D11A3">
              <w:rPr>
                <w:b/>
                <w:bCs/>
              </w:rPr>
              <w:t xml:space="preserve">Missing </w:t>
            </w:r>
            <w:r w:rsidR="005230BE" w:rsidRPr="002D11A3">
              <w:rPr>
                <w:b/>
                <w:bCs/>
              </w:rPr>
              <w:t>Domains</w:t>
            </w:r>
          </w:p>
        </w:tc>
      </w:tr>
      <w:tr w:rsidR="005230BE" w14:paraId="62910BB8" w14:textId="77777777">
        <w:tc>
          <w:tcPr>
            <w:tcW w:w="2337" w:type="dxa"/>
          </w:tcPr>
          <w:p w14:paraId="123D5985" w14:textId="77777777" w:rsidR="005230BE" w:rsidRDefault="005230BE" w:rsidP="002D11A3"/>
        </w:tc>
        <w:tc>
          <w:tcPr>
            <w:tcW w:w="2337" w:type="dxa"/>
          </w:tcPr>
          <w:p w14:paraId="56A010B7" w14:textId="133A741B" w:rsidR="005230BE" w:rsidRPr="002D11A3" w:rsidRDefault="005230BE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2338" w:type="dxa"/>
          </w:tcPr>
          <w:p w14:paraId="55AE2EAC" w14:textId="4484E801" w:rsidR="005230BE" w:rsidRPr="002D11A3" w:rsidRDefault="005230BE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  <w:tc>
          <w:tcPr>
            <w:tcW w:w="2338" w:type="dxa"/>
          </w:tcPr>
          <w:p w14:paraId="16414F6F" w14:textId="778407AB" w:rsidR="005230BE" w:rsidRPr="002D11A3" w:rsidRDefault="00D66D48" w:rsidP="002D11A3">
            <w:pPr>
              <w:rPr>
                <w:b/>
                <w:bCs/>
              </w:rPr>
            </w:pPr>
            <w:r>
              <w:rPr>
                <w:b/>
                <w:bCs/>
              </w:rPr>
              <w:t>Earned</w:t>
            </w:r>
          </w:p>
        </w:tc>
      </w:tr>
      <w:tr w:rsidR="005230BE" w14:paraId="3001D84B" w14:textId="77777777">
        <w:tc>
          <w:tcPr>
            <w:tcW w:w="2337" w:type="dxa"/>
          </w:tcPr>
          <w:p w14:paraId="717B8D19" w14:textId="61C2F54D" w:rsidR="005230BE" w:rsidRPr="002D11A3" w:rsidRDefault="005230BE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2337" w:type="dxa"/>
          </w:tcPr>
          <w:p w14:paraId="2BE0F091" w14:textId="71827348" w:rsidR="005230BE" w:rsidRDefault="005230BE" w:rsidP="002D11A3">
            <w:pPr>
              <w:rPr>
                <w:b/>
                <w:bCs/>
              </w:rPr>
            </w:pPr>
            <w:r>
              <w:t>1.000</w:t>
            </w:r>
          </w:p>
        </w:tc>
        <w:tc>
          <w:tcPr>
            <w:tcW w:w="2338" w:type="dxa"/>
          </w:tcPr>
          <w:p w14:paraId="6F79C782" w14:textId="348D867F" w:rsidR="005230BE" w:rsidRDefault="005230BE" w:rsidP="002D11A3">
            <w:pPr>
              <w:rPr>
                <w:b/>
                <w:bCs/>
              </w:rPr>
            </w:pPr>
            <w:r>
              <w:t>0.995</w:t>
            </w:r>
          </w:p>
        </w:tc>
        <w:tc>
          <w:tcPr>
            <w:tcW w:w="2338" w:type="dxa"/>
          </w:tcPr>
          <w:p w14:paraId="2DE7C874" w14:textId="346D7AFF" w:rsidR="005230BE" w:rsidRDefault="005230BE" w:rsidP="002D11A3">
            <w:pPr>
              <w:rPr>
                <w:b/>
                <w:bCs/>
              </w:rPr>
            </w:pPr>
            <w:r>
              <w:t>0.966</w:t>
            </w:r>
          </w:p>
        </w:tc>
      </w:tr>
      <w:tr w:rsidR="005230BE" w14:paraId="43D192F9" w14:textId="77777777">
        <w:tc>
          <w:tcPr>
            <w:tcW w:w="2337" w:type="dxa"/>
          </w:tcPr>
          <w:p w14:paraId="51D37A08" w14:textId="6080D41B" w:rsidR="005230BE" w:rsidRPr="002D11A3" w:rsidRDefault="005230BE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  <w:tc>
          <w:tcPr>
            <w:tcW w:w="2337" w:type="dxa"/>
          </w:tcPr>
          <w:p w14:paraId="38FD5501" w14:textId="67145FB4" w:rsidR="005230BE" w:rsidRDefault="005230BE" w:rsidP="002D11A3">
            <w:pPr>
              <w:rPr>
                <w:b/>
                <w:bCs/>
              </w:rPr>
            </w:pPr>
            <w:r>
              <w:t>0.995</w:t>
            </w:r>
          </w:p>
        </w:tc>
        <w:tc>
          <w:tcPr>
            <w:tcW w:w="2338" w:type="dxa"/>
          </w:tcPr>
          <w:p w14:paraId="69B2E7DE" w14:textId="13A858C8" w:rsidR="005230BE" w:rsidRDefault="005230BE" w:rsidP="002D11A3">
            <w:pPr>
              <w:rPr>
                <w:b/>
                <w:bCs/>
              </w:rPr>
            </w:pPr>
            <w:r>
              <w:t>1.000</w:t>
            </w:r>
          </w:p>
        </w:tc>
        <w:tc>
          <w:tcPr>
            <w:tcW w:w="2338" w:type="dxa"/>
          </w:tcPr>
          <w:p w14:paraId="0F762E0E" w14:textId="3C62A2B5" w:rsidR="005230BE" w:rsidRDefault="005230BE" w:rsidP="002D11A3">
            <w:pPr>
              <w:rPr>
                <w:b/>
                <w:bCs/>
              </w:rPr>
            </w:pPr>
            <w:r>
              <w:t>0.976</w:t>
            </w:r>
          </w:p>
        </w:tc>
      </w:tr>
      <w:tr w:rsidR="005230BE" w14:paraId="3F8ED0D4" w14:textId="77777777">
        <w:tc>
          <w:tcPr>
            <w:tcW w:w="2337" w:type="dxa"/>
          </w:tcPr>
          <w:p w14:paraId="5A0023A9" w14:textId="6BD262B9" w:rsidR="005230BE" w:rsidRPr="002D11A3" w:rsidRDefault="00D66D48" w:rsidP="002D11A3">
            <w:pPr>
              <w:rPr>
                <w:b/>
                <w:bCs/>
              </w:rPr>
            </w:pPr>
            <w:r>
              <w:rPr>
                <w:b/>
                <w:bCs/>
              </w:rPr>
              <w:t>Earned</w:t>
            </w:r>
          </w:p>
        </w:tc>
        <w:tc>
          <w:tcPr>
            <w:tcW w:w="2337" w:type="dxa"/>
          </w:tcPr>
          <w:p w14:paraId="5264F5FE" w14:textId="2F08E07B" w:rsidR="005230BE" w:rsidRDefault="005230BE" w:rsidP="002D11A3">
            <w:pPr>
              <w:rPr>
                <w:b/>
                <w:bCs/>
              </w:rPr>
            </w:pPr>
            <w:r>
              <w:t>0.966</w:t>
            </w:r>
          </w:p>
        </w:tc>
        <w:tc>
          <w:tcPr>
            <w:tcW w:w="2338" w:type="dxa"/>
          </w:tcPr>
          <w:p w14:paraId="063DE4D3" w14:textId="0298A9A7" w:rsidR="005230BE" w:rsidRDefault="005230BE" w:rsidP="002D11A3">
            <w:pPr>
              <w:rPr>
                <w:b/>
                <w:bCs/>
              </w:rPr>
            </w:pPr>
            <w:r>
              <w:t>0.976</w:t>
            </w:r>
          </w:p>
        </w:tc>
        <w:tc>
          <w:tcPr>
            <w:tcW w:w="2338" w:type="dxa"/>
          </w:tcPr>
          <w:p w14:paraId="0F801413" w14:textId="35B10C6A" w:rsidR="005230BE" w:rsidRDefault="005230BE" w:rsidP="002D11A3">
            <w:pPr>
              <w:rPr>
                <w:b/>
                <w:bCs/>
              </w:rPr>
            </w:pPr>
            <w:r>
              <w:t>1.000</w:t>
            </w:r>
          </w:p>
        </w:tc>
      </w:tr>
    </w:tbl>
    <w:p w14:paraId="3A18A856" w14:textId="77777777" w:rsidR="003F5C95" w:rsidRDefault="003F5C95" w:rsidP="002D11A3"/>
    <w:p w14:paraId="5EFECED2" w14:textId="03F3370D" w:rsidR="003F5C95" w:rsidRDefault="003F5C95" w:rsidP="003F5C95">
      <w:pPr>
        <w:rPr>
          <w:b/>
          <w:bCs/>
        </w:rPr>
      </w:pPr>
      <w:r w:rsidRPr="001F18CC">
        <w:rPr>
          <w:b/>
          <w:bCs/>
        </w:rPr>
        <w:t xml:space="preserve">Table </w:t>
      </w:r>
      <w:r w:rsidR="005F0972">
        <w:rPr>
          <w:b/>
          <w:bCs/>
        </w:rPr>
        <w:t>8</w:t>
      </w:r>
      <w:r w:rsidRPr="001F18CC">
        <w:rPr>
          <w:b/>
          <w:bCs/>
        </w:rPr>
        <w:t xml:space="preserve">. Correlation Matrix between </w:t>
      </w:r>
      <w:r w:rsidR="00BA3455">
        <w:rPr>
          <w:b/>
          <w:bCs/>
        </w:rPr>
        <w:t>Earned</w:t>
      </w:r>
      <w:r w:rsidRPr="001F18CC">
        <w:rPr>
          <w:b/>
          <w:bCs/>
        </w:rPr>
        <w:t xml:space="preserve"> and Imputed Overall Proficiency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11"/>
        <w:gridCol w:w="2320"/>
        <w:gridCol w:w="2310"/>
      </w:tblGrid>
      <w:tr w:rsidR="005230BE" w14:paraId="2FCB90AB" w14:textId="77777777" w:rsidTr="005230BE">
        <w:tc>
          <w:tcPr>
            <w:tcW w:w="9350" w:type="dxa"/>
            <w:gridSpan w:val="4"/>
            <w:shd w:val="clear" w:color="auto" w:fill="83CAEB" w:themeFill="accent1" w:themeFillTint="66"/>
          </w:tcPr>
          <w:p w14:paraId="190D56E7" w14:textId="18E1B884" w:rsidR="005230BE" w:rsidRPr="002D11A3" w:rsidRDefault="00570AA1" w:rsidP="002D1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One </w:t>
            </w:r>
            <w:r w:rsidR="002F32B5" w:rsidRPr="002D11A3">
              <w:rPr>
                <w:b/>
                <w:bCs/>
              </w:rPr>
              <w:t xml:space="preserve">Missing </w:t>
            </w:r>
            <w:r w:rsidR="005230BE" w:rsidRPr="002D11A3">
              <w:rPr>
                <w:b/>
                <w:bCs/>
              </w:rPr>
              <w:t>Domain</w:t>
            </w:r>
          </w:p>
        </w:tc>
      </w:tr>
      <w:tr w:rsidR="003F5C95" w14:paraId="6371190B" w14:textId="77777777">
        <w:tc>
          <w:tcPr>
            <w:tcW w:w="2337" w:type="dxa"/>
          </w:tcPr>
          <w:p w14:paraId="7051377C" w14:textId="77777777" w:rsidR="003F5C95" w:rsidRPr="002D11A3" w:rsidRDefault="003F5C95" w:rsidP="002D11A3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76CA9125" w14:textId="77777777" w:rsidR="003F5C95" w:rsidRPr="002D11A3" w:rsidRDefault="003F5C95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2338" w:type="dxa"/>
          </w:tcPr>
          <w:p w14:paraId="542F3772" w14:textId="77777777" w:rsidR="003F5C95" w:rsidRPr="002D11A3" w:rsidRDefault="003F5C95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  <w:tc>
          <w:tcPr>
            <w:tcW w:w="2338" w:type="dxa"/>
          </w:tcPr>
          <w:p w14:paraId="326EE5C2" w14:textId="39C4C2C8" w:rsidR="003F5C95" w:rsidRPr="002D11A3" w:rsidRDefault="00D66D48" w:rsidP="002D11A3">
            <w:pPr>
              <w:rPr>
                <w:b/>
                <w:bCs/>
              </w:rPr>
            </w:pPr>
            <w:r>
              <w:rPr>
                <w:b/>
                <w:bCs/>
              </w:rPr>
              <w:t>Earned</w:t>
            </w:r>
          </w:p>
        </w:tc>
      </w:tr>
      <w:tr w:rsidR="003F5C95" w14:paraId="5DE4AF53" w14:textId="77777777">
        <w:tc>
          <w:tcPr>
            <w:tcW w:w="2337" w:type="dxa"/>
          </w:tcPr>
          <w:p w14:paraId="04DAA579" w14:textId="77777777" w:rsidR="003F5C95" w:rsidRPr="002D11A3" w:rsidRDefault="003F5C95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2337" w:type="dxa"/>
          </w:tcPr>
          <w:p w14:paraId="530ACAB4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1.000</w:t>
            </w:r>
          </w:p>
        </w:tc>
        <w:tc>
          <w:tcPr>
            <w:tcW w:w="2338" w:type="dxa"/>
          </w:tcPr>
          <w:p w14:paraId="600F3A9F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0.974</w:t>
            </w:r>
          </w:p>
        </w:tc>
        <w:tc>
          <w:tcPr>
            <w:tcW w:w="2338" w:type="dxa"/>
          </w:tcPr>
          <w:p w14:paraId="4348E0CB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0.929</w:t>
            </w:r>
          </w:p>
        </w:tc>
      </w:tr>
      <w:tr w:rsidR="003F5C95" w14:paraId="198562C9" w14:textId="77777777">
        <w:tc>
          <w:tcPr>
            <w:tcW w:w="2337" w:type="dxa"/>
          </w:tcPr>
          <w:p w14:paraId="2926EC5A" w14:textId="77777777" w:rsidR="003F5C95" w:rsidRPr="002D11A3" w:rsidRDefault="003F5C95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  <w:tc>
          <w:tcPr>
            <w:tcW w:w="2337" w:type="dxa"/>
          </w:tcPr>
          <w:p w14:paraId="5546136F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0.974</w:t>
            </w:r>
          </w:p>
        </w:tc>
        <w:tc>
          <w:tcPr>
            <w:tcW w:w="2338" w:type="dxa"/>
          </w:tcPr>
          <w:p w14:paraId="7C6461E3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1.000</w:t>
            </w:r>
          </w:p>
        </w:tc>
        <w:tc>
          <w:tcPr>
            <w:tcW w:w="2338" w:type="dxa"/>
          </w:tcPr>
          <w:p w14:paraId="320C3621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0.944</w:t>
            </w:r>
          </w:p>
        </w:tc>
      </w:tr>
      <w:tr w:rsidR="003F5C95" w14:paraId="2427CCCF" w14:textId="77777777">
        <w:tc>
          <w:tcPr>
            <w:tcW w:w="2337" w:type="dxa"/>
          </w:tcPr>
          <w:p w14:paraId="2D2B87D8" w14:textId="335F40FD" w:rsidR="003F5C95" w:rsidRPr="002D11A3" w:rsidRDefault="00D66D48" w:rsidP="002D11A3">
            <w:pPr>
              <w:rPr>
                <w:b/>
                <w:bCs/>
              </w:rPr>
            </w:pPr>
            <w:r>
              <w:rPr>
                <w:b/>
                <w:bCs/>
              </w:rPr>
              <w:t>Earned</w:t>
            </w:r>
          </w:p>
        </w:tc>
        <w:tc>
          <w:tcPr>
            <w:tcW w:w="2337" w:type="dxa"/>
          </w:tcPr>
          <w:p w14:paraId="7A07469A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0.929</w:t>
            </w:r>
          </w:p>
        </w:tc>
        <w:tc>
          <w:tcPr>
            <w:tcW w:w="2338" w:type="dxa"/>
          </w:tcPr>
          <w:p w14:paraId="042C79AF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0.944</w:t>
            </w:r>
          </w:p>
        </w:tc>
        <w:tc>
          <w:tcPr>
            <w:tcW w:w="2338" w:type="dxa"/>
          </w:tcPr>
          <w:p w14:paraId="3944EC3E" w14:textId="77777777" w:rsidR="003F5C95" w:rsidRPr="001F18CC" w:rsidRDefault="003F5C95" w:rsidP="002D11A3">
            <w:pPr>
              <w:rPr>
                <w:b/>
                <w:bCs/>
              </w:rPr>
            </w:pPr>
            <w:r>
              <w:t>1.000</w:t>
            </w:r>
          </w:p>
        </w:tc>
      </w:tr>
      <w:tr w:rsidR="005230BE" w14:paraId="456533F5" w14:textId="77777777" w:rsidTr="005230BE">
        <w:tc>
          <w:tcPr>
            <w:tcW w:w="9350" w:type="dxa"/>
            <w:gridSpan w:val="4"/>
            <w:shd w:val="clear" w:color="auto" w:fill="B3E5A1" w:themeFill="accent6" w:themeFillTint="66"/>
          </w:tcPr>
          <w:p w14:paraId="17A58ED5" w14:textId="3DF2B7FF" w:rsidR="005230BE" w:rsidRPr="002D11A3" w:rsidRDefault="00F44978" w:rsidP="002D1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Two</w:t>
            </w:r>
            <w:r w:rsidR="005230BE" w:rsidRPr="002D11A3">
              <w:rPr>
                <w:b/>
                <w:bCs/>
              </w:rPr>
              <w:t xml:space="preserve"> </w:t>
            </w:r>
            <w:r w:rsidR="002F32B5" w:rsidRPr="002D11A3">
              <w:rPr>
                <w:b/>
                <w:bCs/>
              </w:rPr>
              <w:t>Missing</w:t>
            </w:r>
            <w:r w:rsidR="002F32B5">
              <w:rPr>
                <w:b/>
                <w:bCs/>
              </w:rPr>
              <w:t xml:space="preserve"> </w:t>
            </w:r>
            <w:r w:rsidR="005230BE" w:rsidRPr="002D11A3">
              <w:rPr>
                <w:b/>
                <w:bCs/>
              </w:rPr>
              <w:t>Domains</w:t>
            </w:r>
          </w:p>
        </w:tc>
      </w:tr>
      <w:tr w:rsidR="005230BE" w14:paraId="445DFF5A" w14:textId="77777777">
        <w:tc>
          <w:tcPr>
            <w:tcW w:w="2337" w:type="dxa"/>
          </w:tcPr>
          <w:p w14:paraId="049132DE" w14:textId="77777777" w:rsidR="005230BE" w:rsidRPr="002D11A3" w:rsidRDefault="005230BE" w:rsidP="002D11A3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5159257F" w14:textId="2179CF43" w:rsidR="005230BE" w:rsidRPr="002D11A3" w:rsidRDefault="005230BE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2338" w:type="dxa"/>
          </w:tcPr>
          <w:p w14:paraId="6400517A" w14:textId="5910F11D" w:rsidR="005230BE" w:rsidRPr="002D11A3" w:rsidRDefault="005230BE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  <w:tc>
          <w:tcPr>
            <w:tcW w:w="2338" w:type="dxa"/>
          </w:tcPr>
          <w:p w14:paraId="7B429513" w14:textId="29E72618" w:rsidR="005230BE" w:rsidRPr="002D11A3" w:rsidRDefault="0B329567" w:rsidP="002D11A3">
            <w:pPr>
              <w:rPr>
                <w:b/>
                <w:bCs/>
              </w:rPr>
            </w:pPr>
            <w:r w:rsidRPr="606729D6">
              <w:rPr>
                <w:b/>
                <w:bCs/>
              </w:rPr>
              <w:t>Earn</w:t>
            </w:r>
            <w:r w:rsidR="005230BE" w:rsidRPr="606729D6">
              <w:rPr>
                <w:b/>
                <w:bCs/>
              </w:rPr>
              <w:t>ed</w:t>
            </w:r>
          </w:p>
        </w:tc>
      </w:tr>
      <w:tr w:rsidR="005230BE" w14:paraId="11ED94F4" w14:textId="77777777">
        <w:tc>
          <w:tcPr>
            <w:tcW w:w="2337" w:type="dxa"/>
          </w:tcPr>
          <w:p w14:paraId="568708C8" w14:textId="3FF49589" w:rsidR="005230BE" w:rsidRPr="002D11A3" w:rsidRDefault="005230BE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2337" w:type="dxa"/>
          </w:tcPr>
          <w:p w14:paraId="1568C523" w14:textId="25197892" w:rsidR="005230BE" w:rsidRDefault="005230BE" w:rsidP="002D11A3">
            <w:pPr>
              <w:rPr>
                <w:b/>
                <w:bCs/>
              </w:rPr>
            </w:pPr>
            <w:r>
              <w:t>1.000</w:t>
            </w:r>
          </w:p>
        </w:tc>
        <w:tc>
          <w:tcPr>
            <w:tcW w:w="2338" w:type="dxa"/>
          </w:tcPr>
          <w:p w14:paraId="6F5F9971" w14:textId="5D333DAC" w:rsidR="005230BE" w:rsidRDefault="005230BE" w:rsidP="002D11A3">
            <w:pPr>
              <w:rPr>
                <w:b/>
                <w:bCs/>
              </w:rPr>
            </w:pPr>
            <w:r>
              <w:t>0.990</w:t>
            </w:r>
          </w:p>
        </w:tc>
        <w:tc>
          <w:tcPr>
            <w:tcW w:w="2338" w:type="dxa"/>
          </w:tcPr>
          <w:p w14:paraId="418E7A10" w14:textId="11D1D803" w:rsidR="005230BE" w:rsidRDefault="005230BE" w:rsidP="002D11A3">
            <w:pPr>
              <w:rPr>
                <w:b/>
                <w:bCs/>
              </w:rPr>
            </w:pPr>
            <w:r>
              <w:t>0.941</w:t>
            </w:r>
          </w:p>
        </w:tc>
      </w:tr>
      <w:tr w:rsidR="005230BE" w14:paraId="4557F07E" w14:textId="77777777">
        <w:tc>
          <w:tcPr>
            <w:tcW w:w="2337" w:type="dxa"/>
          </w:tcPr>
          <w:p w14:paraId="6277FFA6" w14:textId="3A58AD7A" w:rsidR="005230BE" w:rsidRPr="002D11A3" w:rsidRDefault="005230BE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  <w:tc>
          <w:tcPr>
            <w:tcW w:w="2337" w:type="dxa"/>
          </w:tcPr>
          <w:p w14:paraId="3097672F" w14:textId="7703F89C" w:rsidR="005230BE" w:rsidRDefault="005230BE" w:rsidP="002D11A3">
            <w:pPr>
              <w:rPr>
                <w:b/>
                <w:bCs/>
              </w:rPr>
            </w:pPr>
            <w:r>
              <w:t>0.990</w:t>
            </w:r>
          </w:p>
        </w:tc>
        <w:tc>
          <w:tcPr>
            <w:tcW w:w="2338" w:type="dxa"/>
          </w:tcPr>
          <w:p w14:paraId="3B5E54C9" w14:textId="6E6569F6" w:rsidR="005230BE" w:rsidRDefault="005230BE" w:rsidP="002D11A3">
            <w:pPr>
              <w:rPr>
                <w:b/>
                <w:bCs/>
              </w:rPr>
            </w:pPr>
            <w:r>
              <w:t>1.000</w:t>
            </w:r>
          </w:p>
        </w:tc>
        <w:tc>
          <w:tcPr>
            <w:tcW w:w="2338" w:type="dxa"/>
          </w:tcPr>
          <w:p w14:paraId="2CE76D46" w14:textId="439EF4C8" w:rsidR="005230BE" w:rsidRDefault="005230BE" w:rsidP="002D11A3">
            <w:pPr>
              <w:rPr>
                <w:b/>
                <w:bCs/>
              </w:rPr>
            </w:pPr>
            <w:r>
              <w:t>0.955</w:t>
            </w:r>
          </w:p>
        </w:tc>
      </w:tr>
      <w:tr w:rsidR="005230BE" w14:paraId="5150D99A" w14:textId="77777777">
        <w:tc>
          <w:tcPr>
            <w:tcW w:w="2337" w:type="dxa"/>
          </w:tcPr>
          <w:p w14:paraId="59B1F859" w14:textId="613270F1" w:rsidR="005230BE" w:rsidRPr="002D11A3" w:rsidRDefault="00D66D48" w:rsidP="002D11A3">
            <w:pPr>
              <w:rPr>
                <w:b/>
                <w:bCs/>
              </w:rPr>
            </w:pPr>
            <w:r>
              <w:rPr>
                <w:b/>
                <w:bCs/>
              </w:rPr>
              <w:t>Earned</w:t>
            </w:r>
          </w:p>
        </w:tc>
        <w:tc>
          <w:tcPr>
            <w:tcW w:w="2337" w:type="dxa"/>
          </w:tcPr>
          <w:p w14:paraId="1B9161B9" w14:textId="54E81F7F" w:rsidR="005230BE" w:rsidRDefault="005230BE" w:rsidP="002D11A3">
            <w:pPr>
              <w:rPr>
                <w:b/>
                <w:bCs/>
              </w:rPr>
            </w:pPr>
            <w:r>
              <w:t>0.941</w:t>
            </w:r>
          </w:p>
        </w:tc>
        <w:tc>
          <w:tcPr>
            <w:tcW w:w="2338" w:type="dxa"/>
          </w:tcPr>
          <w:p w14:paraId="335EC58F" w14:textId="680D1D08" w:rsidR="005230BE" w:rsidRDefault="005230BE" w:rsidP="002D11A3">
            <w:pPr>
              <w:rPr>
                <w:b/>
                <w:bCs/>
              </w:rPr>
            </w:pPr>
            <w:r>
              <w:t>0.955</w:t>
            </w:r>
          </w:p>
        </w:tc>
        <w:tc>
          <w:tcPr>
            <w:tcW w:w="2338" w:type="dxa"/>
          </w:tcPr>
          <w:p w14:paraId="55CDC023" w14:textId="5A1FAA33" w:rsidR="005230BE" w:rsidRDefault="005230BE" w:rsidP="002D11A3">
            <w:pPr>
              <w:rPr>
                <w:b/>
                <w:bCs/>
              </w:rPr>
            </w:pPr>
            <w:r>
              <w:t>1.000</w:t>
            </w:r>
          </w:p>
        </w:tc>
      </w:tr>
    </w:tbl>
    <w:p w14:paraId="25E8E337" w14:textId="77777777" w:rsidR="003F5C95" w:rsidRDefault="003F5C95" w:rsidP="003F5C95">
      <w:pPr>
        <w:rPr>
          <w:b/>
          <w:bCs/>
        </w:rPr>
      </w:pPr>
    </w:p>
    <w:p w14:paraId="51EB075B" w14:textId="6AE5A9A1" w:rsidR="00D353F5" w:rsidRDefault="00D353F5" w:rsidP="00FC2085">
      <w:pPr>
        <w:pStyle w:val="Heading2"/>
        <w:keepNext/>
      </w:pPr>
      <w:bookmarkStart w:id="10" w:name="_Toc171339050"/>
      <w:r>
        <w:lastRenderedPageBreak/>
        <w:t>Predictive Validity Computations</w:t>
      </w:r>
      <w:bookmarkEnd w:id="10"/>
    </w:p>
    <w:p w14:paraId="122121A7" w14:textId="41E0A6EF" w:rsidR="00310C30" w:rsidRDefault="005F0972">
      <w:pPr>
        <w:rPr>
          <w:b/>
          <w:bCs/>
        </w:rPr>
      </w:pPr>
      <w:r>
        <w:t xml:space="preserve">Counts of students in </w:t>
      </w:r>
      <w:r w:rsidR="00005AD1">
        <w:t xml:space="preserve">each imputation method alignment category are outlined in Table 9. </w:t>
      </w:r>
      <w:r w:rsidR="00FE2D8C">
        <w:t xml:space="preserve">Rows indicate imputation methods. </w:t>
      </w:r>
      <w:r w:rsidR="00BB6AA6">
        <w:t xml:space="preserve">Columns </w:t>
      </w:r>
      <w:r w:rsidR="00FE2D8C">
        <w:t>indicate number of missing domains.</w:t>
      </w:r>
      <w:r w:rsidR="00BB6AA6">
        <w:t xml:space="preserve"> </w:t>
      </w:r>
      <w:r w:rsidR="00FE2D8C">
        <w:t xml:space="preserve">Four values are in each </w:t>
      </w:r>
      <w:r w:rsidR="00157237">
        <w:t xml:space="preserve">outlined </w:t>
      </w:r>
      <w:r w:rsidR="00A71C7B">
        <w:t xml:space="preserve">box, corresponding to </w:t>
      </w:r>
      <w:r w:rsidR="00D11B4A">
        <w:t>the</w:t>
      </w:r>
      <w:r w:rsidR="00A71C7B">
        <w:t xml:space="preserve"> imputation method and </w:t>
      </w:r>
      <w:r w:rsidR="00D11B4A">
        <w:t>the</w:t>
      </w:r>
      <w:r w:rsidR="00300124">
        <w:t xml:space="preserve"> </w:t>
      </w:r>
      <w:r w:rsidR="00A71C7B">
        <w:t xml:space="preserve">number of missing domains (e.g., average score, </w:t>
      </w:r>
      <w:r w:rsidR="00A52937">
        <w:t>one</w:t>
      </w:r>
      <w:r w:rsidR="00A71C7B">
        <w:t xml:space="preserve"> missing domain). </w:t>
      </w:r>
    </w:p>
    <w:p w14:paraId="4A31526F" w14:textId="1C9D1534" w:rsidR="007C204D" w:rsidRDefault="007C204D">
      <w:pPr>
        <w:rPr>
          <w:b/>
          <w:bCs/>
        </w:rPr>
      </w:pPr>
    </w:p>
    <w:p w14:paraId="68C2B00E" w14:textId="788CBCBB" w:rsidR="00005AD1" w:rsidRDefault="00005AD1" w:rsidP="00247953">
      <w:pPr>
        <w:jc w:val="center"/>
        <w:rPr>
          <w:b/>
          <w:bCs/>
        </w:rPr>
      </w:pPr>
      <w:r>
        <w:rPr>
          <w:b/>
          <w:bCs/>
        </w:rPr>
        <w:t>Table 9. Imputation Accuracy by Missing Domain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47"/>
        <w:gridCol w:w="2061"/>
        <w:gridCol w:w="1532"/>
        <w:gridCol w:w="1532"/>
        <w:gridCol w:w="1532"/>
        <w:gridCol w:w="1540"/>
      </w:tblGrid>
      <w:tr w:rsidR="005230BE" w14:paraId="0872D6A6" w14:textId="77777777">
        <w:tc>
          <w:tcPr>
            <w:tcW w:w="3145" w:type="dxa"/>
            <w:gridSpan w:val="3"/>
            <w:vMerge w:val="restart"/>
          </w:tcPr>
          <w:p w14:paraId="1A701F5B" w14:textId="77777777" w:rsidR="005230BE" w:rsidRDefault="005230BE">
            <w:pPr>
              <w:jc w:val="center"/>
              <w:rPr>
                <w:b/>
                <w:bCs/>
              </w:rPr>
            </w:pPr>
          </w:p>
        </w:tc>
        <w:tc>
          <w:tcPr>
            <w:tcW w:w="6205" w:type="dxa"/>
            <w:gridSpan w:val="4"/>
          </w:tcPr>
          <w:p w14:paraId="5A6FA752" w14:textId="4F98E7D1" w:rsidR="005230BE" w:rsidRDefault="00BA3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Earned</w:t>
            </w:r>
            <w:r w:rsidR="005230BE">
              <w:rPr>
                <w:b/>
                <w:bCs/>
              </w:rPr>
              <w:t xml:space="preserve"> Overall Level</w:t>
            </w:r>
          </w:p>
        </w:tc>
      </w:tr>
      <w:tr w:rsidR="005230BE" w14:paraId="390BCB9F" w14:textId="77777777">
        <w:tc>
          <w:tcPr>
            <w:tcW w:w="3145" w:type="dxa"/>
            <w:gridSpan w:val="3"/>
            <w:vMerge/>
          </w:tcPr>
          <w:p w14:paraId="38A15A53" w14:textId="77777777" w:rsidR="005230BE" w:rsidRDefault="005230BE">
            <w:pPr>
              <w:jc w:val="center"/>
              <w:rPr>
                <w:b/>
                <w:bCs/>
              </w:rPr>
            </w:pPr>
          </w:p>
        </w:tc>
        <w:tc>
          <w:tcPr>
            <w:tcW w:w="3102" w:type="dxa"/>
            <w:gridSpan w:val="2"/>
          </w:tcPr>
          <w:p w14:paraId="2112E896" w14:textId="77777777" w:rsidR="005230BE" w:rsidRPr="00A52B73" w:rsidRDefault="00523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Proficient</w:t>
            </w:r>
          </w:p>
        </w:tc>
        <w:tc>
          <w:tcPr>
            <w:tcW w:w="3103" w:type="dxa"/>
            <w:gridSpan w:val="2"/>
          </w:tcPr>
          <w:p w14:paraId="6D719270" w14:textId="77777777" w:rsidR="005230BE" w:rsidRPr="00A52B73" w:rsidRDefault="00523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Proficient</w:t>
            </w:r>
          </w:p>
        </w:tc>
      </w:tr>
      <w:tr w:rsidR="005230BE" w14:paraId="109B0D46" w14:textId="77777777" w:rsidTr="00BB6AA6">
        <w:trPr>
          <w:cantSplit/>
          <w:trHeight w:val="323"/>
        </w:trPr>
        <w:tc>
          <w:tcPr>
            <w:tcW w:w="518" w:type="dxa"/>
            <w:textDirection w:val="btLr"/>
            <w:vAlign w:val="center"/>
          </w:tcPr>
          <w:p w14:paraId="148F7333" w14:textId="77777777" w:rsidR="005230BE" w:rsidRDefault="005230B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extDirection w:val="btLr"/>
            <w:vAlign w:val="center"/>
          </w:tcPr>
          <w:p w14:paraId="5E43163C" w14:textId="77777777" w:rsidR="005230BE" w:rsidRDefault="005230B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077" w:type="dxa"/>
            <w:vAlign w:val="center"/>
          </w:tcPr>
          <w:p w14:paraId="4EB8EA2A" w14:textId="77777777" w:rsidR="005230BE" w:rsidRDefault="005230B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bottom w:val="single" w:sz="24" w:space="0" w:color="auto"/>
            </w:tcBorders>
            <w:shd w:val="clear" w:color="auto" w:fill="83CAEB" w:themeFill="accent1" w:themeFillTint="66"/>
            <w:vAlign w:val="center"/>
          </w:tcPr>
          <w:p w14:paraId="26FC3C74" w14:textId="2C756FF5" w:rsidR="005230BE" w:rsidRDefault="002F32B5">
            <w:pPr>
              <w:jc w:val="center"/>
            </w:pPr>
            <w:r>
              <w:t>One</w:t>
            </w:r>
            <w:r w:rsidR="005230BE">
              <w:t xml:space="preserve"> Domain</w:t>
            </w:r>
          </w:p>
        </w:tc>
        <w:tc>
          <w:tcPr>
            <w:tcW w:w="1551" w:type="dxa"/>
            <w:tcBorders>
              <w:bottom w:val="single" w:sz="24" w:space="0" w:color="auto"/>
            </w:tcBorders>
            <w:shd w:val="clear" w:color="auto" w:fill="B3E5A1" w:themeFill="accent6" w:themeFillTint="66"/>
            <w:vAlign w:val="center"/>
          </w:tcPr>
          <w:p w14:paraId="35A7F6E6" w14:textId="5FA7C7EE" w:rsidR="005230BE" w:rsidRDefault="002F32B5">
            <w:pPr>
              <w:jc w:val="center"/>
            </w:pPr>
            <w:r>
              <w:t>Two</w:t>
            </w:r>
            <w:r w:rsidR="005230BE">
              <w:t xml:space="preserve"> Domains</w:t>
            </w:r>
          </w:p>
        </w:tc>
        <w:tc>
          <w:tcPr>
            <w:tcW w:w="1551" w:type="dxa"/>
            <w:tcBorders>
              <w:bottom w:val="single" w:sz="24" w:space="0" w:color="auto"/>
            </w:tcBorders>
            <w:shd w:val="clear" w:color="auto" w:fill="83CAEB" w:themeFill="accent1" w:themeFillTint="66"/>
            <w:vAlign w:val="center"/>
          </w:tcPr>
          <w:p w14:paraId="07B79758" w14:textId="6CEEEB27" w:rsidR="005230BE" w:rsidRDefault="002F32B5">
            <w:pPr>
              <w:jc w:val="center"/>
            </w:pPr>
            <w:r>
              <w:t>One</w:t>
            </w:r>
            <w:r w:rsidR="005230BE">
              <w:t xml:space="preserve"> Domain</w:t>
            </w:r>
          </w:p>
        </w:tc>
        <w:tc>
          <w:tcPr>
            <w:tcW w:w="1552" w:type="dxa"/>
            <w:tcBorders>
              <w:bottom w:val="single" w:sz="24" w:space="0" w:color="auto"/>
            </w:tcBorders>
            <w:shd w:val="clear" w:color="auto" w:fill="B3E5A1" w:themeFill="accent6" w:themeFillTint="66"/>
            <w:vAlign w:val="center"/>
          </w:tcPr>
          <w:p w14:paraId="2935D0E1" w14:textId="7DBD3183" w:rsidR="005230BE" w:rsidRDefault="002F32B5">
            <w:pPr>
              <w:jc w:val="center"/>
            </w:pPr>
            <w:r>
              <w:t>Two</w:t>
            </w:r>
            <w:r w:rsidR="005230BE">
              <w:t xml:space="preserve"> Domains</w:t>
            </w:r>
          </w:p>
        </w:tc>
      </w:tr>
      <w:tr w:rsidR="005230BE" w14:paraId="0055C922" w14:textId="77777777" w:rsidTr="00BB6AA6">
        <w:trPr>
          <w:cantSplit/>
          <w:trHeight w:val="864"/>
        </w:trPr>
        <w:tc>
          <w:tcPr>
            <w:tcW w:w="518" w:type="dxa"/>
            <w:vMerge w:val="restart"/>
            <w:textDirection w:val="btLr"/>
            <w:vAlign w:val="center"/>
          </w:tcPr>
          <w:p w14:paraId="2758FF7D" w14:textId="69E8E83A" w:rsidR="005230BE" w:rsidRDefault="005230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Imputation Method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14:paraId="1C4E15B6" w14:textId="77777777" w:rsidR="005230BE" w:rsidRDefault="005230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Proficient</w:t>
            </w:r>
          </w:p>
        </w:tc>
        <w:tc>
          <w:tcPr>
            <w:tcW w:w="2077" w:type="dxa"/>
            <w:tcBorders>
              <w:right w:val="single" w:sz="24" w:space="0" w:color="auto"/>
            </w:tcBorders>
            <w:vAlign w:val="center"/>
          </w:tcPr>
          <w:p w14:paraId="7AA39C8A" w14:textId="77777777" w:rsidR="005230BE" w:rsidRPr="00A52B73" w:rsidRDefault="005230B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Score</w:t>
            </w:r>
          </w:p>
        </w:tc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1B94787" w14:textId="095AC389" w:rsidR="005230BE" w:rsidRPr="00DF53B5" w:rsidRDefault="005230BE">
            <w:pPr>
              <w:ind w:left="360"/>
              <w:jc w:val="center"/>
            </w:pPr>
            <w:r>
              <w:t>15,528</w:t>
            </w:r>
          </w:p>
        </w:tc>
        <w:tc>
          <w:tcPr>
            <w:tcW w:w="155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BF9E75F" w14:textId="77777777" w:rsidR="005230BE" w:rsidRPr="00DF53B5" w:rsidRDefault="005230BE">
            <w:pPr>
              <w:ind w:left="360"/>
              <w:jc w:val="center"/>
            </w:pPr>
            <w:r>
              <w:t>12,886</w:t>
            </w:r>
          </w:p>
        </w:tc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D2E25EA" w14:textId="77777777" w:rsidR="005230BE" w:rsidRPr="00DF53B5" w:rsidRDefault="005230BE">
            <w:pPr>
              <w:ind w:left="360"/>
              <w:jc w:val="center"/>
            </w:pPr>
            <w:r>
              <w:t>12,386</w:t>
            </w:r>
          </w:p>
        </w:tc>
        <w:tc>
          <w:tcPr>
            <w:tcW w:w="155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E716C55" w14:textId="77777777" w:rsidR="005230BE" w:rsidRPr="00DF53B5" w:rsidRDefault="005230BE">
            <w:pPr>
              <w:ind w:left="360"/>
              <w:jc w:val="center"/>
            </w:pPr>
            <w:r>
              <w:t>3,416</w:t>
            </w:r>
          </w:p>
        </w:tc>
      </w:tr>
      <w:tr w:rsidR="005230BE" w14:paraId="7E6D1509" w14:textId="77777777" w:rsidTr="00BB6AA6">
        <w:trPr>
          <w:cantSplit/>
          <w:trHeight w:val="864"/>
        </w:trPr>
        <w:tc>
          <w:tcPr>
            <w:tcW w:w="518" w:type="dxa"/>
            <w:vMerge/>
            <w:textDirection w:val="btLr"/>
          </w:tcPr>
          <w:p w14:paraId="7611BF11" w14:textId="77777777" w:rsidR="005230BE" w:rsidRDefault="005230BE">
            <w:pPr>
              <w:ind w:left="113" w:right="113"/>
              <w:rPr>
                <w:b/>
                <w:bCs/>
              </w:rPr>
            </w:pPr>
          </w:p>
        </w:tc>
        <w:tc>
          <w:tcPr>
            <w:tcW w:w="550" w:type="dxa"/>
            <w:vMerge/>
            <w:textDirection w:val="btLr"/>
            <w:vAlign w:val="center"/>
          </w:tcPr>
          <w:p w14:paraId="21DBE557" w14:textId="77777777" w:rsidR="005230BE" w:rsidRDefault="005230B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077" w:type="dxa"/>
            <w:tcBorders>
              <w:right w:val="single" w:sz="24" w:space="0" w:color="auto"/>
            </w:tcBorders>
            <w:vAlign w:val="center"/>
          </w:tcPr>
          <w:p w14:paraId="0BFA0DB4" w14:textId="77777777" w:rsidR="005230BE" w:rsidRPr="00A52B73" w:rsidRDefault="005230B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Reweighting</w:t>
            </w:r>
          </w:p>
        </w:tc>
        <w:tc>
          <w:tcPr>
            <w:tcW w:w="15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EC76BA" w14:textId="24F6A6BD" w:rsidR="005230BE" w:rsidRPr="00DF53B5" w:rsidRDefault="005230BE">
            <w:pPr>
              <w:ind w:left="360"/>
              <w:jc w:val="center"/>
            </w:pPr>
            <w:r>
              <w:t>13,720</w:t>
            </w:r>
          </w:p>
        </w:tc>
        <w:tc>
          <w:tcPr>
            <w:tcW w:w="155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938A3A" w14:textId="77777777" w:rsidR="005230BE" w:rsidRPr="00DF53B5" w:rsidRDefault="005230BE">
            <w:pPr>
              <w:ind w:left="360"/>
              <w:jc w:val="center"/>
            </w:pPr>
            <w:r>
              <w:t>12,229</w:t>
            </w:r>
          </w:p>
        </w:tc>
        <w:tc>
          <w:tcPr>
            <w:tcW w:w="15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B2A7F93" w14:textId="77777777" w:rsidR="005230BE" w:rsidRPr="00DF53B5" w:rsidRDefault="005230BE">
            <w:pPr>
              <w:ind w:left="360"/>
              <w:jc w:val="center"/>
            </w:pPr>
            <w:r>
              <w:t>3,785</w:t>
            </w:r>
          </w:p>
        </w:tc>
        <w:tc>
          <w:tcPr>
            <w:tcW w:w="155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86D268F" w14:textId="77777777" w:rsidR="005230BE" w:rsidRPr="00DF53B5" w:rsidRDefault="005230BE">
            <w:pPr>
              <w:ind w:left="360"/>
              <w:jc w:val="center"/>
            </w:pPr>
            <w:r>
              <w:t>2,327</w:t>
            </w:r>
          </w:p>
        </w:tc>
      </w:tr>
      <w:tr w:rsidR="005230BE" w14:paraId="10A0EE7D" w14:textId="77777777" w:rsidTr="00BB6AA6">
        <w:trPr>
          <w:cantSplit/>
          <w:trHeight w:val="864"/>
        </w:trPr>
        <w:tc>
          <w:tcPr>
            <w:tcW w:w="518" w:type="dxa"/>
            <w:vMerge/>
          </w:tcPr>
          <w:p w14:paraId="39CCF959" w14:textId="77777777" w:rsidR="005230BE" w:rsidRDefault="005230BE">
            <w:pPr>
              <w:rPr>
                <w:b/>
                <w:bCs/>
              </w:rPr>
            </w:pPr>
          </w:p>
        </w:tc>
        <w:tc>
          <w:tcPr>
            <w:tcW w:w="550" w:type="dxa"/>
            <w:vMerge w:val="restart"/>
            <w:textDirection w:val="btLr"/>
            <w:vAlign w:val="center"/>
          </w:tcPr>
          <w:p w14:paraId="0786A793" w14:textId="77777777" w:rsidR="005230BE" w:rsidRDefault="005230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Proficient</w:t>
            </w:r>
          </w:p>
        </w:tc>
        <w:tc>
          <w:tcPr>
            <w:tcW w:w="2077" w:type="dxa"/>
            <w:tcBorders>
              <w:right w:val="single" w:sz="24" w:space="0" w:color="auto"/>
            </w:tcBorders>
            <w:vAlign w:val="center"/>
          </w:tcPr>
          <w:p w14:paraId="53D75684" w14:textId="77777777" w:rsidR="005230BE" w:rsidRPr="00A52B73" w:rsidRDefault="005230B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Score</w:t>
            </w:r>
          </w:p>
        </w:tc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71EF4ED" w14:textId="00408B1B" w:rsidR="005230BE" w:rsidRPr="00DF53B5" w:rsidRDefault="005230BE">
            <w:pPr>
              <w:ind w:left="360"/>
              <w:jc w:val="center"/>
            </w:pPr>
            <w:r>
              <w:t>785</w:t>
            </w:r>
          </w:p>
        </w:tc>
        <w:tc>
          <w:tcPr>
            <w:tcW w:w="155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9A6DBF3" w14:textId="77777777" w:rsidR="005230BE" w:rsidRPr="00DF53B5" w:rsidRDefault="005230BE">
            <w:pPr>
              <w:ind w:left="360"/>
              <w:jc w:val="center"/>
            </w:pPr>
            <w:r>
              <w:t>3,427</w:t>
            </w:r>
          </w:p>
        </w:tc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150C76E" w14:textId="77777777" w:rsidR="005230BE" w:rsidRPr="00DF53B5" w:rsidRDefault="005230BE">
            <w:pPr>
              <w:ind w:left="360"/>
              <w:jc w:val="center"/>
            </w:pPr>
            <w:r>
              <w:t>87,851</w:t>
            </w:r>
          </w:p>
        </w:tc>
        <w:tc>
          <w:tcPr>
            <w:tcW w:w="155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2FF8BBF" w14:textId="77777777" w:rsidR="005230BE" w:rsidRPr="00DF53B5" w:rsidRDefault="005230BE">
            <w:pPr>
              <w:ind w:left="360"/>
              <w:jc w:val="center"/>
            </w:pPr>
            <w:r>
              <w:t>99,463</w:t>
            </w:r>
          </w:p>
        </w:tc>
      </w:tr>
      <w:tr w:rsidR="005230BE" w14:paraId="27B51F2F" w14:textId="77777777" w:rsidTr="00BB6AA6">
        <w:trPr>
          <w:cantSplit/>
          <w:trHeight w:val="864"/>
        </w:trPr>
        <w:tc>
          <w:tcPr>
            <w:tcW w:w="518" w:type="dxa"/>
            <w:vMerge/>
          </w:tcPr>
          <w:p w14:paraId="08E9EB8F" w14:textId="77777777" w:rsidR="005230BE" w:rsidRDefault="005230BE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</w:tcPr>
          <w:p w14:paraId="10FE7EA1" w14:textId="77777777" w:rsidR="005230BE" w:rsidRDefault="005230BE">
            <w:pPr>
              <w:rPr>
                <w:b/>
                <w:bCs/>
              </w:rPr>
            </w:pPr>
          </w:p>
        </w:tc>
        <w:tc>
          <w:tcPr>
            <w:tcW w:w="2077" w:type="dxa"/>
            <w:tcBorders>
              <w:right w:val="single" w:sz="24" w:space="0" w:color="auto"/>
            </w:tcBorders>
            <w:vAlign w:val="center"/>
          </w:tcPr>
          <w:p w14:paraId="0E4CAA60" w14:textId="77777777" w:rsidR="005230BE" w:rsidRPr="00A52B73" w:rsidRDefault="005230BE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Reweighting</w:t>
            </w:r>
          </w:p>
        </w:tc>
        <w:tc>
          <w:tcPr>
            <w:tcW w:w="15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30EE15" w14:textId="461AFB7D" w:rsidR="005230BE" w:rsidRPr="00DF53B5" w:rsidRDefault="005230BE">
            <w:pPr>
              <w:ind w:left="360"/>
              <w:jc w:val="center"/>
            </w:pPr>
            <w:r>
              <w:t>2,593</w:t>
            </w:r>
          </w:p>
        </w:tc>
        <w:tc>
          <w:tcPr>
            <w:tcW w:w="155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62A60DD" w14:textId="77777777" w:rsidR="005230BE" w:rsidRPr="00DF53B5" w:rsidRDefault="005230BE">
            <w:pPr>
              <w:ind w:left="360"/>
              <w:jc w:val="center"/>
            </w:pPr>
            <w:r>
              <w:t>4,084</w:t>
            </w:r>
          </w:p>
        </w:tc>
        <w:tc>
          <w:tcPr>
            <w:tcW w:w="15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2D2D1D5" w14:textId="77777777" w:rsidR="005230BE" w:rsidRPr="00DF53B5" w:rsidRDefault="005230BE">
            <w:pPr>
              <w:ind w:left="360"/>
              <w:jc w:val="center"/>
            </w:pPr>
            <w:r>
              <w:t>98, 260</w:t>
            </w:r>
          </w:p>
        </w:tc>
        <w:tc>
          <w:tcPr>
            <w:tcW w:w="155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CC8A029" w14:textId="77777777" w:rsidR="005230BE" w:rsidRPr="00DF53B5" w:rsidRDefault="005230BE">
            <w:pPr>
              <w:ind w:left="360"/>
              <w:jc w:val="center"/>
            </w:pPr>
            <w:r>
              <w:t>101,209</w:t>
            </w:r>
          </w:p>
        </w:tc>
      </w:tr>
    </w:tbl>
    <w:p w14:paraId="404F0FBD" w14:textId="77777777" w:rsidR="00284199" w:rsidRDefault="00284199" w:rsidP="005230BE"/>
    <w:p w14:paraId="6AA4F5D3" w14:textId="40974AF0" w:rsidR="005230BE" w:rsidRDefault="005A6FE8" w:rsidP="005230BE">
      <w:r>
        <w:t>Table 10 shows validity</w:t>
      </w:r>
      <w:r w:rsidR="00A71C7B">
        <w:t xml:space="preserve"> statistics for each imputation method </w:t>
      </w:r>
      <w:r w:rsidR="00894E3A">
        <w:t xml:space="preserve">by the number of missing </w:t>
      </w:r>
      <w:proofErr w:type="gramStart"/>
      <w:r w:rsidR="00894E3A">
        <w:t xml:space="preserve">domains </w:t>
      </w:r>
      <w:r w:rsidR="00A71C7B">
        <w:t>.</w:t>
      </w:r>
      <w:proofErr w:type="gramEnd"/>
      <w:r w:rsidR="00A71C7B">
        <w:t xml:space="preserve"> </w:t>
      </w:r>
      <w:r w:rsidR="00BA43F5">
        <w:t xml:space="preserve">In terms of overall accuracy, </w:t>
      </w:r>
      <w:r w:rsidR="0012382B">
        <w:t xml:space="preserve">the average score and reweighting methods were similar in terms of predicting </w:t>
      </w:r>
      <w:r w:rsidR="00BA3455">
        <w:t>e</w:t>
      </w:r>
      <w:r w:rsidR="00BA3455" w:rsidRPr="00BA3455">
        <w:t>arned</w:t>
      </w:r>
      <w:r w:rsidR="00BA3455">
        <w:t xml:space="preserve"> </w:t>
      </w:r>
      <w:r w:rsidR="0012382B">
        <w:t xml:space="preserve">scores for </w:t>
      </w:r>
      <w:r w:rsidR="00A52937">
        <w:t xml:space="preserve">two </w:t>
      </w:r>
      <w:r w:rsidR="0012382B">
        <w:t xml:space="preserve">missing domains. However, the reweighting method was more accurate for predicting overall scores for </w:t>
      </w:r>
      <w:r w:rsidR="00A52937">
        <w:t>one</w:t>
      </w:r>
      <w:r w:rsidR="00C26CC0">
        <w:t xml:space="preserve"> missing domain. </w:t>
      </w:r>
      <w:r w:rsidR="00BF2123">
        <w:t xml:space="preserve">For both </w:t>
      </w:r>
      <w:r w:rsidR="00A52937">
        <w:t>one</w:t>
      </w:r>
      <w:r w:rsidR="00BF2123">
        <w:t xml:space="preserve"> and </w:t>
      </w:r>
      <w:r w:rsidR="00A52937">
        <w:t>two</w:t>
      </w:r>
      <w:r w:rsidR="00BF2123">
        <w:t xml:space="preserve"> missing domains, reweighting showed a higher PPV value. </w:t>
      </w:r>
      <w:r w:rsidR="0014325A">
        <w:t xml:space="preserve">This difference was larger for the </w:t>
      </w:r>
      <w:r w:rsidR="00A52937">
        <w:t>one</w:t>
      </w:r>
      <w:r w:rsidR="0014325A">
        <w:t xml:space="preserve"> missing domain analysis than the </w:t>
      </w:r>
      <w:r w:rsidR="00A52937">
        <w:t>two</w:t>
      </w:r>
      <w:r w:rsidR="0014325A">
        <w:t xml:space="preserve"> missing domains analysis. </w:t>
      </w:r>
      <w:r w:rsidR="00AF228C">
        <w:t>NPV values were slighting higher for average score</w:t>
      </w:r>
      <w:r w:rsidR="00A52937">
        <w:t xml:space="preserve"> method</w:t>
      </w:r>
      <w:r w:rsidR="00AF228C">
        <w:t xml:space="preserve"> in the </w:t>
      </w:r>
      <w:r w:rsidR="00A52937">
        <w:t>one</w:t>
      </w:r>
      <w:r w:rsidR="00AF228C">
        <w:t xml:space="preserve"> missing domain analysis but similar for </w:t>
      </w:r>
      <w:r w:rsidR="0014325A">
        <w:t xml:space="preserve">the </w:t>
      </w:r>
      <w:r w:rsidR="00A52937">
        <w:t>two</w:t>
      </w:r>
      <w:r w:rsidR="00AF228C">
        <w:t xml:space="preserve"> missing domains</w:t>
      </w:r>
      <w:r w:rsidR="0014325A">
        <w:t xml:space="preserve"> analysis</w:t>
      </w:r>
      <w:r w:rsidR="00AF228C">
        <w:t xml:space="preserve">. </w:t>
      </w:r>
      <w:r w:rsidR="00C640EB">
        <w:t xml:space="preserve">Sensitivity was higher in the average score method, but specificity was higher in the reweighting method. </w:t>
      </w:r>
    </w:p>
    <w:p w14:paraId="203D3656" w14:textId="3CC6C9B5" w:rsidR="00F67B9A" w:rsidRPr="00310C30" w:rsidRDefault="00F67B9A" w:rsidP="00FC2085">
      <w:pPr>
        <w:keepNext/>
        <w:keepLines/>
        <w:jc w:val="center"/>
        <w:rPr>
          <w:b/>
          <w:bCs/>
        </w:rPr>
      </w:pPr>
      <w:r w:rsidRPr="00310C30">
        <w:rPr>
          <w:b/>
          <w:bCs/>
        </w:rPr>
        <w:lastRenderedPageBreak/>
        <w:t xml:space="preserve">Table 10. </w:t>
      </w:r>
      <w:r w:rsidR="006A3CC3" w:rsidRPr="00310C30">
        <w:rPr>
          <w:b/>
          <w:bCs/>
        </w:rPr>
        <w:t xml:space="preserve">Predictive Validity Statistics by </w:t>
      </w:r>
      <w:r w:rsidR="00310C30" w:rsidRPr="00310C30">
        <w:rPr>
          <w:b/>
          <w:bCs/>
        </w:rPr>
        <w:t>Imputation Method and Missing Domain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2"/>
      </w:tblGrid>
      <w:tr w:rsidR="005230BE" w14:paraId="5FA44988" w14:textId="77777777" w:rsidTr="6B91FE9B">
        <w:tc>
          <w:tcPr>
            <w:tcW w:w="1000" w:type="pct"/>
            <w:shd w:val="clear" w:color="auto" w:fill="E8E8E8" w:themeFill="background2"/>
          </w:tcPr>
          <w:p w14:paraId="5577967D" w14:textId="77777777" w:rsidR="005230BE" w:rsidRDefault="005230BE" w:rsidP="00FC2085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2000" w:type="pct"/>
            <w:gridSpan w:val="2"/>
            <w:shd w:val="clear" w:color="auto" w:fill="83CAEB" w:themeFill="accent1" w:themeFillTint="66"/>
          </w:tcPr>
          <w:p w14:paraId="67D51665" w14:textId="245B87C1" w:rsidR="005230BE" w:rsidRDefault="002F32B5" w:rsidP="00FC208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</w:t>
            </w:r>
            <w:r w:rsidR="005230BE" w:rsidRPr="6B91FE9B">
              <w:rPr>
                <w:b/>
                <w:bCs/>
              </w:rPr>
              <w:t xml:space="preserve"> Missing Domain</w:t>
            </w:r>
          </w:p>
        </w:tc>
        <w:tc>
          <w:tcPr>
            <w:tcW w:w="2000" w:type="pct"/>
            <w:gridSpan w:val="2"/>
            <w:shd w:val="clear" w:color="auto" w:fill="B3E5A1" w:themeFill="accent6" w:themeFillTint="66"/>
          </w:tcPr>
          <w:p w14:paraId="74C90A7D" w14:textId="71DA8251" w:rsidR="005230BE" w:rsidRDefault="002F32B5" w:rsidP="00FC208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Two</w:t>
            </w:r>
            <w:r w:rsidR="005230BE">
              <w:rPr>
                <w:b/>
                <w:bCs/>
              </w:rPr>
              <w:t xml:space="preserve"> Missing Domains</w:t>
            </w:r>
          </w:p>
        </w:tc>
      </w:tr>
      <w:tr w:rsidR="005230BE" w14:paraId="3C2DD617" w14:textId="77777777" w:rsidTr="6B91FE9B">
        <w:tc>
          <w:tcPr>
            <w:tcW w:w="1000" w:type="pct"/>
            <w:shd w:val="clear" w:color="auto" w:fill="E8E8E8" w:themeFill="background2"/>
          </w:tcPr>
          <w:p w14:paraId="3CA5C471" w14:textId="77777777" w:rsidR="005230BE" w:rsidRDefault="005230BE" w:rsidP="00FC208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Statistic</w:t>
            </w:r>
          </w:p>
        </w:tc>
        <w:tc>
          <w:tcPr>
            <w:tcW w:w="1000" w:type="pct"/>
            <w:shd w:val="clear" w:color="auto" w:fill="83CAEB" w:themeFill="accent1" w:themeFillTint="66"/>
          </w:tcPr>
          <w:p w14:paraId="3E6DFB51" w14:textId="70A4A8AF" w:rsidR="005230BE" w:rsidRDefault="005230BE" w:rsidP="00FC208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Score</w:t>
            </w:r>
          </w:p>
        </w:tc>
        <w:tc>
          <w:tcPr>
            <w:tcW w:w="1000" w:type="pct"/>
            <w:shd w:val="clear" w:color="auto" w:fill="83CAEB" w:themeFill="accent1" w:themeFillTint="66"/>
          </w:tcPr>
          <w:p w14:paraId="1C4F2B38" w14:textId="77777777" w:rsidR="005230BE" w:rsidRDefault="005230BE" w:rsidP="00FC208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Reweighting</w:t>
            </w:r>
          </w:p>
        </w:tc>
        <w:tc>
          <w:tcPr>
            <w:tcW w:w="1000" w:type="pct"/>
            <w:shd w:val="clear" w:color="auto" w:fill="B3E5A1" w:themeFill="accent6" w:themeFillTint="66"/>
          </w:tcPr>
          <w:p w14:paraId="2439C030" w14:textId="77777777" w:rsidR="005230BE" w:rsidRDefault="005230BE" w:rsidP="00FC208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Score</w:t>
            </w:r>
          </w:p>
        </w:tc>
        <w:tc>
          <w:tcPr>
            <w:tcW w:w="1000" w:type="pct"/>
            <w:shd w:val="clear" w:color="auto" w:fill="B3E5A1" w:themeFill="accent6" w:themeFillTint="66"/>
          </w:tcPr>
          <w:p w14:paraId="568EB7CB" w14:textId="77777777" w:rsidR="005230BE" w:rsidRDefault="005230BE" w:rsidP="00FC208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Reweighting</w:t>
            </w:r>
          </w:p>
        </w:tc>
      </w:tr>
      <w:tr w:rsidR="005230BE" w:rsidRPr="00820513" w14:paraId="4AF62339" w14:textId="77777777" w:rsidTr="6B91FE9B">
        <w:tc>
          <w:tcPr>
            <w:tcW w:w="1000" w:type="pct"/>
          </w:tcPr>
          <w:p w14:paraId="457B070C" w14:textId="77777777" w:rsidR="005230BE" w:rsidRPr="00DB541A" w:rsidRDefault="005230BE" w:rsidP="00FC2085">
            <w:pPr>
              <w:keepNext/>
              <w:keepLines/>
            </w:pPr>
            <w:r>
              <w:t>PPV</w:t>
            </w:r>
          </w:p>
        </w:tc>
        <w:tc>
          <w:tcPr>
            <w:tcW w:w="1000" w:type="pct"/>
          </w:tcPr>
          <w:p w14:paraId="1BCA3745" w14:textId="77777777" w:rsidR="005230BE" w:rsidRPr="00820513" w:rsidRDefault="005230BE" w:rsidP="00FC2085">
            <w:pPr>
              <w:keepNext/>
              <w:keepLines/>
            </w:pPr>
            <w:r w:rsidRPr="00820513">
              <w:t>0.56</w:t>
            </w:r>
          </w:p>
        </w:tc>
        <w:tc>
          <w:tcPr>
            <w:tcW w:w="1000" w:type="pct"/>
          </w:tcPr>
          <w:p w14:paraId="37B718BA" w14:textId="77777777" w:rsidR="005230BE" w:rsidRPr="00820513" w:rsidRDefault="005230BE" w:rsidP="00FC2085">
            <w:pPr>
              <w:keepNext/>
              <w:keepLines/>
            </w:pPr>
            <w:r>
              <w:t>0.78</w:t>
            </w:r>
          </w:p>
        </w:tc>
        <w:tc>
          <w:tcPr>
            <w:tcW w:w="1000" w:type="pct"/>
          </w:tcPr>
          <w:p w14:paraId="063C5610" w14:textId="4F702320" w:rsidR="005230BE" w:rsidRDefault="005230BE" w:rsidP="00FC2085">
            <w:pPr>
              <w:keepNext/>
              <w:keepLines/>
            </w:pPr>
            <w:r>
              <w:t>0.79</w:t>
            </w:r>
          </w:p>
        </w:tc>
        <w:tc>
          <w:tcPr>
            <w:tcW w:w="1000" w:type="pct"/>
          </w:tcPr>
          <w:p w14:paraId="53BE6A05" w14:textId="29EBA044" w:rsidR="005230BE" w:rsidRDefault="005230BE" w:rsidP="00FC2085">
            <w:pPr>
              <w:keepNext/>
              <w:keepLines/>
            </w:pPr>
            <w:r>
              <w:t>0.84</w:t>
            </w:r>
          </w:p>
        </w:tc>
      </w:tr>
      <w:tr w:rsidR="005230BE" w:rsidRPr="00820513" w14:paraId="41CC0B54" w14:textId="77777777" w:rsidTr="6B91FE9B">
        <w:tc>
          <w:tcPr>
            <w:tcW w:w="1000" w:type="pct"/>
          </w:tcPr>
          <w:p w14:paraId="5FB220A4" w14:textId="77777777" w:rsidR="005230BE" w:rsidRPr="00DB541A" w:rsidRDefault="005230BE" w:rsidP="00FC2085">
            <w:pPr>
              <w:keepNext/>
              <w:keepLines/>
            </w:pPr>
            <w:r>
              <w:t>NPV</w:t>
            </w:r>
          </w:p>
        </w:tc>
        <w:tc>
          <w:tcPr>
            <w:tcW w:w="1000" w:type="pct"/>
          </w:tcPr>
          <w:p w14:paraId="4F9B12BD" w14:textId="77777777" w:rsidR="005230BE" w:rsidRPr="00820513" w:rsidRDefault="005230BE" w:rsidP="00FC2085">
            <w:pPr>
              <w:keepNext/>
              <w:keepLines/>
            </w:pPr>
            <w:r>
              <w:t>0.99</w:t>
            </w:r>
          </w:p>
        </w:tc>
        <w:tc>
          <w:tcPr>
            <w:tcW w:w="1000" w:type="pct"/>
          </w:tcPr>
          <w:p w14:paraId="0B2AAA5D" w14:textId="77777777" w:rsidR="005230BE" w:rsidRPr="00820513" w:rsidRDefault="005230BE" w:rsidP="00FC2085">
            <w:pPr>
              <w:keepNext/>
              <w:keepLines/>
            </w:pPr>
            <w:r>
              <w:t>0.97</w:t>
            </w:r>
          </w:p>
        </w:tc>
        <w:tc>
          <w:tcPr>
            <w:tcW w:w="1000" w:type="pct"/>
          </w:tcPr>
          <w:p w14:paraId="7ED6731E" w14:textId="52A8A43E" w:rsidR="005230BE" w:rsidRDefault="005230BE" w:rsidP="00FC2085">
            <w:pPr>
              <w:keepNext/>
              <w:keepLines/>
            </w:pPr>
            <w:r>
              <w:t>0.9</w:t>
            </w:r>
            <w:r w:rsidR="00AF228C">
              <w:t>7</w:t>
            </w:r>
          </w:p>
        </w:tc>
        <w:tc>
          <w:tcPr>
            <w:tcW w:w="1000" w:type="pct"/>
          </w:tcPr>
          <w:p w14:paraId="040B5517" w14:textId="28F068A7" w:rsidR="005230BE" w:rsidRDefault="005230BE" w:rsidP="00FC2085">
            <w:pPr>
              <w:keepNext/>
              <w:keepLines/>
            </w:pPr>
            <w:r>
              <w:t>0.96</w:t>
            </w:r>
          </w:p>
        </w:tc>
      </w:tr>
      <w:tr w:rsidR="005230BE" w:rsidRPr="00820513" w14:paraId="7FD2CC4F" w14:textId="77777777" w:rsidTr="6B91FE9B">
        <w:tc>
          <w:tcPr>
            <w:tcW w:w="1000" w:type="pct"/>
          </w:tcPr>
          <w:p w14:paraId="4BDB634A" w14:textId="77777777" w:rsidR="005230BE" w:rsidRPr="00DB541A" w:rsidRDefault="005230BE" w:rsidP="00FC2085">
            <w:pPr>
              <w:keepNext/>
              <w:keepLines/>
            </w:pPr>
            <w:r w:rsidRPr="00DB541A">
              <w:t>Sensitivity</w:t>
            </w:r>
          </w:p>
        </w:tc>
        <w:tc>
          <w:tcPr>
            <w:tcW w:w="1000" w:type="pct"/>
          </w:tcPr>
          <w:p w14:paraId="3A7CFC8D" w14:textId="77777777" w:rsidR="005230BE" w:rsidRPr="00820513" w:rsidRDefault="005230BE" w:rsidP="00FC2085">
            <w:pPr>
              <w:keepNext/>
              <w:keepLines/>
            </w:pPr>
            <w:r>
              <w:t>0.95</w:t>
            </w:r>
          </w:p>
        </w:tc>
        <w:tc>
          <w:tcPr>
            <w:tcW w:w="1000" w:type="pct"/>
          </w:tcPr>
          <w:p w14:paraId="67F191ED" w14:textId="77777777" w:rsidR="005230BE" w:rsidRPr="00820513" w:rsidRDefault="005230BE" w:rsidP="00FC2085">
            <w:pPr>
              <w:keepNext/>
              <w:keepLines/>
            </w:pPr>
            <w:r>
              <w:t>0.84</w:t>
            </w:r>
          </w:p>
        </w:tc>
        <w:tc>
          <w:tcPr>
            <w:tcW w:w="1000" w:type="pct"/>
          </w:tcPr>
          <w:p w14:paraId="39780FBC" w14:textId="2B18A562" w:rsidR="005230BE" w:rsidRDefault="005230BE" w:rsidP="00FC2085">
            <w:pPr>
              <w:keepNext/>
              <w:keepLines/>
            </w:pPr>
            <w:r>
              <w:t>0.79</w:t>
            </w:r>
          </w:p>
        </w:tc>
        <w:tc>
          <w:tcPr>
            <w:tcW w:w="1000" w:type="pct"/>
          </w:tcPr>
          <w:p w14:paraId="4E006295" w14:textId="6B8D5B31" w:rsidR="005230BE" w:rsidRDefault="005230BE" w:rsidP="00FC2085">
            <w:pPr>
              <w:keepNext/>
              <w:keepLines/>
            </w:pPr>
            <w:r>
              <w:t>0.75</w:t>
            </w:r>
          </w:p>
        </w:tc>
      </w:tr>
      <w:tr w:rsidR="005230BE" w:rsidRPr="00820513" w14:paraId="506D986C" w14:textId="77777777" w:rsidTr="6B91FE9B">
        <w:tc>
          <w:tcPr>
            <w:tcW w:w="1000" w:type="pct"/>
          </w:tcPr>
          <w:p w14:paraId="54F4FF44" w14:textId="77777777" w:rsidR="005230BE" w:rsidRPr="00DB541A" w:rsidRDefault="005230BE" w:rsidP="00FC2085">
            <w:pPr>
              <w:keepNext/>
              <w:keepLines/>
            </w:pPr>
            <w:r w:rsidRPr="00DB541A">
              <w:t>Specificity</w:t>
            </w:r>
          </w:p>
        </w:tc>
        <w:tc>
          <w:tcPr>
            <w:tcW w:w="1000" w:type="pct"/>
          </w:tcPr>
          <w:p w14:paraId="55F1A440" w14:textId="77777777" w:rsidR="005230BE" w:rsidRPr="00820513" w:rsidRDefault="005230BE" w:rsidP="00FC2085">
            <w:pPr>
              <w:keepNext/>
              <w:keepLines/>
            </w:pPr>
            <w:r>
              <w:t>0.88</w:t>
            </w:r>
          </w:p>
        </w:tc>
        <w:tc>
          <w:tcPr>
            <w:tcW w:w="1000" w:type="pct"/>
          </w:tcPr>
          <w:p w14:paraId="32370F35" w14:textId="77777777" w:rsidR="005230BE" w:rsidRPr="00820513" w:rsidRDefault="005230BE" w:rsidP="00FC2085">
            <w:pPr>
              <w:keepNext/>
              <w:keepLines/>
            </w:pPr>
            <w:r>
              <w:t>0.96</w:t>
            </w:r>
          </w:p>
        </w:tc>
        <w:tc>
          <w:tcPr>
            <w:tcW w:w="1000" w:type="pct"/>
          </w:tcPr>
          <w:p w14:paraId="054F2392" w14:textId="31B5EB82" w:rsidR="005230BE" w:rsidRDefault="005230BE" w:rsidP="00FC2085">
            <w:pPr>
              <w:keepNext/>
              <w:keepLines/>
            </w:pPr>
            <w:r>
              <w:t>0.9</w:t>
            </w:r>
            <w:r w:rsidR="00AF228C">
              <w:t>7</w:t>
            </w:r>
          </w:p>
        </w:tc>
        <w:tc>
          <w:tcPr>
            <w:tcW w:w="1000" w:type="pct"/>
          </w:tcPr>
          <w:p w14:paraId="48145E2C" w14:textId="0D9975B5" w:rsidR="005230BE" w:rsidRDefault="005230BE" w:rsidP="00FC2085">
            <w:pPr>
              <w:keepNext/>
              <w:keepLines/>
            </w:pPr>
            <w:r>
              <w:t>0.9</w:t>
            </w:r>
            <w:r w:rsidR="00AF228C">
              <w:t>8</w:t>
            </w:r>
          </w:p>
        </w:tc>
      </w:tr>
      <w:tr w:rsidR="005230BE" w:rsidRPr="00820513" w14:paraId="6F274D16" w14:textId="77777777" w:rsidTr="6B91FE9B">
        <w:tc>
          <w:tcPr>
            <w:tcW w:w="1000" w:type="pct"/>
          </w:tcPr>
          <w:p w14:paraId="177D4A4B" w14:textId="77777777" w:rsidR="005230BE" w:rsidRPr="00DB541A" w:rsidRDefault="005230BE" w:rsidP="00FC2085">
            <w:pPr>
              <w:keepNext/>
              <w:keepLines/>
            </w:pPr>
            <w:r w:rsidRPr="00DB541A">
              <w:t>Accuracy</w:t>
            </w:r>
          </w:p>
        </w:tc>
        <w:tc>
          <w:tcPr>
            <w:tcW w:w="1000" w:type="pct"/>
          </w:tcPr>
          <w:p w14:paraId="3C97D7AB" w14:textId="77777777" w:rsidR="005230BE" w:rsidRPr="00820513" w:rsidRDefault="005230BE" w:rsidP="00FC2085">
            <w:pPr>
              <w:keepNext/>
              <w:keepLines/>
            </w:pPr>
            <w:r>
              <w:t>0.89</w:t>
            </w:r>
          </w:p>
        </w:tc>
        <w:tc>
          <w:tcPr>
            <w:tcW w:w="1000" w:type="pct"/>
          </w:tcPr>
          <w:p w14:paraId="28398C58" w14:textId="77777777" w:rsidR="005230BE" w:rsidRPr="00820513" w:rsidRDefault="005230BE" w:rsidP="00FC2085">
            <w:pPr>
              <w:keepNext/>
              <w:keepLines/>
            </w:pPr>
            <w:r>
              <w:t>0.95</w:t>
            </w:r>
          </w:p>
        </w:tc>
        <w:tc>
          <w:tcPr>
            <w:tcW w:w="1000" w:type="pct"/>
          </w:tcPr>
          <w:p w14:paraId="42C9E1E9" w14:textId="14D97510" w:rsidR="005230BE" w:rsidRDefault="005230BE" w:rsidP="00FC2085">
            <w:pPr>
              <w:keepNext/>
              <w:keepLines/>
            </w:pPr>
            <w:r>
              <w:t>0.94</w:t>
            </w:r>
          </w:p>
        </w:tc>
        <w:tc>
          <w:tcPr>
            <w:tcW w:w="1000" w:type="pct"/>
          </w:tcPr>
          <w:p w14:paraId="55EC8E98" w14:textId="4E5D700C" w:rsidR="005230BE" w:rsidRDefault="005230BE" w:rsidP="00FC2085">
            <w:pPr>
              <w:keepNext/>
              <w:keepLines/>
            </w:pPr>
            <w:r>
              <w:t>0.9</w:t>
            </w:r>
            <w:r w:rsidR="00AF228C">
              <w:t>5</w:t>
            </w:r>
          </w:p>
        </w:tc>
      </w:tr>
    </w:tbl>
    <w:p w14:paraId="583BAE14" w14:textId="19030B6E" w:rsidR="000939A1" w:rsidRDefault="000939A1" w:rsidP="000939A1">
      <w:pPr>
        <w:pStyle w:val="Heading1"/>
      </w:pPr>
      <w:bookmarkStart w:id="11" w:name="_Toc171339051"/>
      <w:r>
        <w:t>Conclusions</w:t>
      </w:r>
      <w:bookmarkEnd w:id="11"/>
    </w:p>
    <w:p w14:paraId="2D0B4E03" w14:textId="3A3C8DD5" w:rsidR="00042D6A" w:rsidRDefault="00A52937">
      <w:r>
        <w:t>The a</w:t>
      </w:r>
      <w:r w:rsidR="0082261D">
        <w:t>verage score and reweighting methods were highly correlated and relatively similar in predictive validity</w:t>
      </w:r>
      <w:r w:rsidR="00F45944">
        <w:t xml:space="preserve"> for the </w:t>
      </w:r>
      <w:r>
        <w:t>two</w:t>
      </w:r>
      <w:r w:rsidR="00F45944">
        <w:t xml:space="preserve"> missing domain analysis</w:t>
      </w:r>
      <w:r w:rsidR="000011A0">
        <w:t>.</w:t>
      </w:r>
      <w:r w:rsidR="0082261D">
        <w:t xml:space="preserve"> </w:t>
      </w:r>
      <w:r w:rsidR="00F45944">
        <w:t>However, t</w:t>
      </w:r>
      <w:r w:rsidR="0082261D">
        <w:t xml:space="preserve">he reweighting method had </w:t>
      </w:r>
      <w:r w:rsidR="00C22E85">
        <w:t xml:space="preserve">slightly stronger correlations with </w:t>
      </w:r>
      <w:r w:rsidR="00BA3455">
        <w:t>e</w:t>
      </w:r>
      <w:r w:rsidR="00BA3455" w:rsidRPr="00BA3455">
        <w:t>arned</w:t>
      </w:r>
      <w:r w:rsidR="00C22E85">
        <w:t xml:space="preserve"> overall scores and showed higher overall accuracy in the </w:t>
      </w:r>
      <w:r>
        <w:t>one</w:t>
      </w:r>
      <w:r w:rsidR="00C22E85">
        <w:t xml:space="preserve"> missing domain analysis</w:t>
      </w:r>
      <w:r w:rsidR="002964CD">
        <w:t xml:space="preserve"> (</w:t>
      </w:r>
      <w:r w:rsidR="006E314B">
        <w:t xml:space="preserve">representative of </w:t>
      </w:r>
      <w:r w:rsidR="002964CD">
        <w:t xml:space="preserve">93% of </w:t>
      </w:r>
      <w:r w:rsidR="006E314B">
        <w:t>data missingness</w:t>
      </w:r>
      <w:r w:rsidR="002964CD">
        <w:t xml:space="preserve"> in 2023)</w:t>
      </w:r>
      <w:r w:rsidR="00C22E85">
        <w:t>.</w:t>
      </w:r>
      <w:r w:rsidR="0008376E">
        <w:t xml:space="preserve"> Results suggest an adoption of the reweighting method would be more valid for imputing missing overall scores than the current average </w:t>
      </w:r>
      <w:r>
        <w:t xml:space="preserve">score </w:t>
      </w:r>
      <w:r w:rsidR="0008376E">
        <w:t>method. In addition, t</w:t>
      </w:r>
      <w:r w:rsidR="00FB33C9">
        <w:t xml:space="preserve">he reweighting method is computationally easier than the average score method and is aligned with the </w:t>
      </w:r>
      <w:r>
        <w:t xml:space="preserve">practices of the </w:t>
      </w:r>
      <w:r w:rsidR="00FB33C9">
        <w:t xml:space="preserve">WIDA consortium. </w:t>
      </w:r>
      <w:r w:rsidR="00042D6A">
        <w:br w:type="page"/>
      </w:r>
    </w:p>
    <w:p w14:paraId="61CC9E9E" w14:textId="2CC8ABCC" w:rsidR="002D11A3" w:rsidRDefault="005F5387" w:rsidP="002D11A3">
      <w:pPr>
        <w:pStyle w:val="Heading1"/>
      </w:pPr>
      <w:bookmarkStart w:id="12" w:name="_Toc171339052"/>
      <w:r>
        <w:lastRenderedPageBreak/>
        <w:t>Appendix A</w:t>
      </w:r>
      <w:bookmarkEnd w:id="12"/>
    </w:p>
    <w:p w14:paraId="6C0EE189" w14:textId="7A364926" w:rsidR="005F5387" w:rsidRPr="005F5387" w:rsidRDefault="005F5387" w:rsidP="00FC2085">
      <w:pPr>
        <w:pStyle w:val="Heading2"/>
        <w:ind w:left="450" w:right="1350" w:hanging="450"/>
        <w:jc w:val="center"/>
      </w:pPr>
      <w:bookmarkStart w:id="13" w:name="_Toc171339053"/>
      <w:r>
        <w:t xml:space="preserve">Correlations between </w:t>
      </w:r>
      <w:r w:rsidR="00BA3455" w:rsidRPr="00BA3455">
        <w:t>Earned</w:t>
      </w:r>
      <w:r>
        <w:t xml:space="preserve"> and Imputed Overall Score by Method and Grade</w:t>
      </w:r>
      <w:r w:rsidR="00C31109">
        <w:t>:</w:t>
      </w:r>
      <w:r w:rsidR="00042D6A">
        <w:t xml:space="preserve"> </w:t>
      </w:r>
      <w:r w:rsidR="00C31109">
        <w:t xml:space="preserve">       </w:t>
      </w:r>
      <w:r w:rsidR="002F32B5">
        <w:t>One</w:t>
      </w:r>
      <w:r w:rsidR="00042D6A">
        <w:t xml:space="preserve"> </w:t>
      </w:r>
      <w:r w:rsidR="002F32B5">
        <w:t xml:space="preserve">Missing </w:t>
      </w:r>
      <w:r w:rsidR="00042D6A">
        <w:t>Domain</w:t>
      </w:r>
      <w:bookmarkEnd w:id="1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6"/>
        <w:gridCol w:w="3086"/>
        <w:gridCol w:w="3088"/>
      </w:tblGrid>
      <w:tr w:rsidR="005F5387" w14:paraId="2C5553E9" w14:textId="77777777" w:rsidTr="00B81720">
        <w:tc>
          <w:tcPr>
            <w:tcW w:w="1666" w:type="pct"/>
            <w:shd w:val="clear" w:color="auto" w:fill="83CAEB" w:themeFill="accent1" w:themeFillTint="66"/>
          </w:tcPr>
          <w:p w14:paraId="57721E6B" w14:textId="664010F4" w:rsidR="005F5387" w:rsidRPr="002D11A3" w:rsidRDefault="005F5387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Grade</w:t>
            </w:r>
          </w:p>
        </w:tc>
        <w:tc>
          <w:tcPr>
            <w:tcW w:w="1666" w:type="pct"/>
            <w:shd w:val="clear" w:color="auto" w:fill="83CAEB" w:themeFill="accent1" w:themeFillTint="66"/>
          </w:tcPr>
          <w:p w14:paraId="5005C783" w14:textId="77777777" w:rsidR="005F5387" w:rsidRPr="002D11A3" w:rsidRDefault="005F5387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1667" w:type="pct"/>
            <w:shd w:val="clear" w:color="auto" w:fill="83CAEB" w:themeFill="accent1" w:themeFillTint="66"/>
          </w:tcPr>
          <w:p w14:paraId="08C3C1DD" w14:textId="77777777" w:rsidR="005F5387" w:rsidRPr="002D11A3" w:rsidRDefault="005F5387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</w:tr>
      <w:tr w:rsidR="005F5387" w14:paraId="6E7F321E" w14:textId="77777777" w:rsidTr="005F5387">
        <w:tc>
          <w:tcPr>
            <w:tcW w:w="1666" w:type="pct"/>
          </w:tcPr>
          <w:p w14:paraId="6080EF61" w14:textId="663F22B7" w:rsidR="005F5387" w:rsidRPr="005F5387" w:rsidRDefault="005F5387" w:rsidP="002D11A3">
            <w:r w:rsidRPr="005F5387">
              <w:t>K</w:t>
            </w:r>
          </w:p>
        </w:tc>
        <w:tc>
          <w:tcPr>
            <w:tcW w:w="1666" w:type="pct"/>
          </w:tcPr>
          <w:p w14:paraId="4D6C3EFE" w14:textId="3DFD68FA" w:rsidR="005F5387" w:rsidRPr="001F18CC" w:rsidRDefault="005F5387" w:rsidP="002D11A3">
            <w:r>
              <w:t>0.939</w:t>
            </w:r>
          </w:p>
        </w:tc>
        <w:tc>
          <w:tcPr>
            <w:tcW w:w="1667" w:type="pct"/>
          </w:tcPr>
          <w:p w14:paraId="4CB97F8C" w14:textId="64E21CDF" w:rsidR="005F5387" w:rsidRPr="001F18CC" w:rsidRDefault="005F5387" w:rsidP="002D11A3">
            <w:r>
              <w:t>0.958</w:t>
            </w:r>
          </w:p>
        </w:tc>
      </w:tr>
      <w:tr w:rsidR="005F5387" w14:paraId="7F7AD916" w14:textId="77777777" w:rsidTr="005F5387">
        <w:tc>
          <w:tcPr>
            <w:tcW w:w="1666" w:type="pct"/>
          </w:tcPr>
          <w:p w14:paraId="20B29DF0" w14:textId="1F23C02B" w:rsidR="005F5387" w:rsidRPr="005F5387" w:rsidRDefault="005F5387" w:rsidP="002D11A3">
            <w:r w:rsidRPr="005F5387">
              <w:t>1</w:t>
            </w:r>
          </w:p>
        </w:tc>
        <w:tc>
          <w:tcPr>
            <w:tcW w:w="1666" w:type="pct"/>
          </w:tcPr>
          <w:p w14:paraId="7F61CF88" w14:textId="2C5C3720" w:rsidR="005F5387" w:rsidRPr="001F18CC" w:rsidRDefault="005F5387" w:rsidP="002D11A3">
            <w:r>
              <w:t>0.935</w:t>
            </w:r>
          </w:p>
        </w:tc>
        <w:tc>
          <w:tcPr>
            <w:tcW w:w="1667" w:type="pct"/>
          </w:tcPr>
          <w:p w14:paraId="6663A252" w14:textId="38588622" w:rsidR="005F5387" w:rsidRPr="001F18CC" w:rsidRDefault="005F5387" w:rsidP="002D11A3">
            <w:r>
              <w:t>0.965</w:t>
            </w:r>
          </w:p>
        </w:tc>
      </w:tr>
      <w:tr w:rsidR="005F5387" w14:paraId="66A1EFA4" w14:textId="77777777" w:rsidTr="005F5387">
        <w:tc>
          <w:tcPr>
            <w:tcW w:w="1666" w:type="pct"/>
          </w:tcPr>
          <w:p w14:paraId="26E72B89" w14:textId="398FE480" w:rsidR="005F5387" w:rsidRPr="005F5387" w:rsidRDefault="005F5387" w:rsidP="002D11A3">
            <w:r w:rsidRPr="005F5387">
              <w:t>2</w:t>
            </w:r>
          </w:p>
        </w:tc>
        <w:tc>
          <w:tcPr>
            <w:tcW w:w="1666" w:type="pct"/>
          </w:tcPr>
          <w:p w14:paraId="0D7DFB11" w14:textId="09023AA5" w:rsidR="005F5387" w:rsidRPr="001F18CC" w:rsidRDefault="005F5387" w:rsidP="002D11A3">
            <w:r>
              <w:t>0.950</w:t>
            </w:r>
          </w:p>
        </w:tc>
        <w:tc>
          <w:tcPr>
            <w:tcW w:w="1667" w:type="pct"/>
          </w:tcPr>
          <w:p w14:paraId="35157BEA" w14:textId="7B0A7E78" w:rsidR="005F5387" w:rsidRPr="001F18CC" w:rsidRDefault="005F5387" w:rsidP="002D11A3">
            <w:r>
              <w:t>0.971</w:t>
            </w:r>
          </w:p>
        </w:tc>
      </w:tr>
      <w:tr w:rsidR="005F5387" w14:paraId="2F734813" w14:textId="77777777" w:rsidTr="005F5387">
        <w:tc>
          <w:tcPr>
            <w:tcW w:w="1666" w:type="pct"/>
          </w:tcPr>
          <w:p w14:paraId="5694AC28" w14:textId="6A0A42B5" w:rsidR="005F5387" w:rsidRPr="005F5387" w:rsidRDefault="005F5387" w:rsidP="002D11A3">
            <w:r>
              <w:t>3</w:t>
            </w:r>
          </w:p>
        </w:tc>
        <w:tc>
          <w:tcPr>
            <w:tcW w:w="1666" w:type="pct"/>
          </w:tcPr>
          <w:p w14:paraId="209D51E6" w14:textId="6798C880" w:rsidR="005F5387" w:rsidRPr="001F18CC" w:rsidRDefault="005F5387" w:rsidP="002D11A3">
            <w:r>
              <w:t>0.958</w:t>
            </w:r>
          </w:p>
        </w:tc>
        <w:tc>
          <w:tcPr>
            <w:tcW w:w="1667" w:type="pct"/>
          </w:tcPr>
          <w:p w14:paraId="4E5BB673" w14:textId="3FBEBD1F" w:rsidR="005F5387" w:rsidRPr="001F18CC" w:rsidRDefault="005F5387" w:rsidP="002D11A3">
            <w:r>
              <w:t>0.975</w:t>
            </w:r>
          </w:p>
        </w:tc>
      </w:tr>
      <w:tr w:rsidR="005F5387" w14:paraId="014A421E" w14:textId="77777777" w:rsidTr="005F5387">
        <w:tc>
          <w:tcPr>
            <w:tcW w:w="1666" w:type="pct"/>
          </w:tcPr>
          <w:p w14:paraId="5B71702A" w14:textId="26AE0893" w:rsidR="005F5387" w:rsidRPr="005F5387" w:rsidRDefault="005F5387" w:rsidP="002D11A3">
            <w:r>
              <w:t>4</w:t>
            </w:r>
          </w:p>
        </w:tc>
        <w:tc>
          <w:tcPr>
            <w:tcW w:w="1666" w:type="pct"/>
          </w:tcPr>
          <w:p w14:paraId="29E8F385" w14:textId="15264269" w:rsidR="005F5387" w:rsidRPr="001F18CC" w:rsidRDefault="005F5387" w:rsidP="002D11A3">
            <w:r>
              <w:t>0.965</w:t>
            </w:r>
          </w:p>
        </w:tc>
        <w:tc>
          <w:tcPr>
            <w:tcW w:w="1667" w:type="pct"/>
          </w:tcPr>
          <w:p w14:paraId="68D2FD3F" w14:textId="36D0CF89" w:rsidR="005F5387" w:rsidRPr="001F18CC" w:rsidRDefault="005F5387" w:rsidP="002D11A3">
            <w:r>
              <w:t>0.979</w:t>
            </w:r>
          </w:p>
        </w:tc>
      </w:tr>
      <w:tr w:rsidR="005F5387" w14:paraId="472E361B" w14:textId="77777777" w:rsidTr="005F5387">
        <w:tc>
          <w:tcPr>
            <w:tcW w:w="1666" w:type="pct"/>
          </w:tcPr>
          <w:p w14:paraId="4753228B" w14:textId="7D8BBBAD" w:rsidR="005F5387" w:rsidRPr="005F5387" w:rsidRDefault="005F5387" w:rsidP="002D11A3">
            <w:r>
              <w:t>5</w:t>
            </w:r>
          </w:p>
        </w:tc>
        <w:tc>
          <w:tcPr>
            <w:tcW w:w="1666" w:type="pct"/>
          </w:tcPr>
          <w:p w14:paraId="5B611C74" w14:textId="73349171" w:rsidR="005F5387" w:rsidRPr="001F18CC" w:rsidRDefault="005F5387" w:rsidP="002D11A3">
            <w:r>
              <w:t>0.968</w:t>
            </w:r>
          </w:p>
        </w:tc>
        <w:tc>
          <w:tcPr>
            <w:tcW w:w="1667" w:type="pct"/>
          </w:tcPr>
          <w:p w14:paraId="378D6A27" w14:textId="10E141CB" w:rsidR="005F5387" w:rsidRPr="001F18CC" w:rsidRDefault="005F5387" w:rsidP="002D11A3">
            <w:r>
              <w:t>0.980</w:t>
            </w:r>
          </w:p>
        </w:tc>
      </w:tr>
      <w:tr w:rsidR="005F5387" w14:paraId="7B7DF97D" w14:textId="77777777" w:rsidTr="005F5387">
        <w:tc>
          <w:tcPr>
            <w:tcW w:w="1666" w:type="pct"/>
          </w:tcPr>
          <w:p w14:paraId="3ED120AA" w14:textId="74ABD89A" w:rsidR="005F5387" w:rsidRPr="005F5387" w:rsidRDefault="005F5387" w:rsidP="002D11A3">
            <w:r>
              <w:t>6</w:t>
            </w:r>
          </w:p>
        </w:tc>
        <w:tc>
          <w:tcPr>
            <w:tcW w:w="1666" w:type="pct"/>
          </w:tcPr>
          <w:p w14:paraId="77DEE43C" w14:textId="18B50D7D" w:rsidR="005F5387" w:rsidRPr="001F18CC" w:rsidRDefault="00897992" w:rsidP="002D11A3">
            <w:r>
              <w:t>0.958</w:t>
            </w:r>
          </w:p>
        </w:tc>
        <w:tc>
          <w:tcPr>
            <w:tcW w:w="1667" w:type="pct"/>
          </w:tcPr>
          <w:p w14:paraId="3CE6C0C4" w14:textId="401B7A8D" w:rsidR="005F5387" w:rsidRPr="001F18CC" w:rsidRDefault="00897992" w:rsidP="002D11A3">
            <w:r>
              <w:t>0.973</w:t>
            </w:r>
          </w:p>
        </w:tc>
      </w:tr>
      <w:tr w:rsidR="005F5387" w14:paraId="65FE0DEB" w14:textId="77777777" w:rsidTr="005F5387">
        <w:tc>
          <w:tcPr>
            <w:tcW w:w="1666" w:type="pct"/>
          </w:tcPr>
          <w:p w14:paraId="780519E4" w14:textId="7FA1766A" w:rsidR="005F5387" w:rsidRPr="005F5387" w:rsidRDefault="005F5387" w:rsidP="002D11A3">
            <w:r>
              <w:t>7</w:t>
            </w:r>
          </w:p>
        </w:tc>
        <w:tc>
          <w:tcPr>
            <w:tcW w:w="1666" w:type="pct"/>
          </w:tcPr>
          <w:p w14:paraId="76BF29A0" w14:textId="482A1EEB" w:rsidR="005F5387" w:rsidRPr="001F18CC" w:rsidRDefault="00897992" w:rsidP="002D11A3">
            <w:r>
              <w:t>0.961</w:t>
            </w:r>
          </w:p>
        </w:tc>
        <w:tc>
          <w:tcPr>
            <w:tcW w:w="1667" w:type="pct"/>
          </w:tcPr>
          <w:p w14:paraId="1EACCB40" w14:textId="3CF8453A" w:rsidR="005F5387" w:rsidRPr="001F18CC" w:rsidRDefault="00897992" w:rsidP="002D11A3">
            <w:r>
              <w:t>0.977</w:t>
            </w:r>
          </w:p>
        </w:tc>
      </w:tr>
      <w:tr w:rsidR="005F5387" w14:paraId="2F35335C" w14:textId="77777777" w:rsidTr="005F5387">
        <w:tc>
          <w:tcPr>
            <w:tcW w:w="1666" w:type="pct"/>
          </w:tcPr>
          <w:p w14:paraId="12133237" w14:textId="7048C50E" w:rsidR="005F5387" w:rsidRPr="005F5387" w:rsidRDefault="005F5387" w:rsidP="002D11A3">
            <w:r>
              <w:t>8</w:t>
            </w:r>
          </w:p>
        </w:tc>
        <w:tc>
          <w:tcPr>
            <w:tcW w:w="1666" w:type="pct"/>
          </w:tcPr>
          <w:p w14:paraId="057A30F7" w14:textId="21DFC500" w:rsidR="005F5387" w:rsidRPr="001F18CC" w:rsidRDefault="00897992" w:rsidP="002D11A3">
            <w:r>
              <w:t>0.968</w:t>
            </w:r>
          </w:p>
        </w:tc>
        <w:tc>
          <w:tcPr>
            <w:tcW w:w="1667" w:type="pct"/>
          </w:tcPr>
          <w:p w14:paraId="3BB5240F" w14:textId="7E5D74ED" w:rsidR="005F5387" w:rsidRPr="001F18CC" w:rsidRDefault="00897992" w:rsidP="002D11A3">
            <w:r>
              <w:t>0.980</w:t>
            </w:r>
          </w:p>
        </w:tc>
      </w:tr>
      <w:tr w:rsidR="005F5387" w14:paraId="613C713F" w14:textId="77777777" w:rsidTr="005F5387">
        <w:tc>
          <w:tcPr>
            <w:tcW w:w="1666" w:type="pct"/>
          </w:tcPr>
          <w:p w14:paraId="671B3300" w14:textId="32BC905D" w:rsidR="005F5387" w:rsidRPr="005F5387" w:rsidRDefault="005F5387" w:rsidP="002D11A3">
            <w:r>
              <w:t>9</w:t>
            </w:r>
          </w:p>
        </w:tc>
        <w:tc>
          <w:tcPr>
            <w:tcW w:w="1666" w:type="pct"/>
          </w:tcPr>
          <w:p w14:paraId="198065F0" w14:textId="1937D893" w:rsidR="005F5387" w:rsidRPr="001F18CC" w:rsidRDefault="00897992" w:rsidP="002D11A3">
            <w:r>
              <w:t>0.959</w:t>
            </w:r>
          </w:p>
        </w:tc>
        <w:tc>
          <w:tcPr>
            <w:tcW w:w="1667" w:type="pct"/>
          </w:tcPr>
          <w:p w14:paraId="6DD360FB" w14:textId="4A557D0A" w:rsidR="005F5387" w:rsidRPr="001F18CC" w:rsidRDefault="00897992" w:rsidP="002D11A3">
            <w:r>
              <w:t>0.974</w:t>
            </w:r>
          </w:p>
        </w:tc>
      </w:tr>
      <w:tr w:rsidR="005F5387" w14:paraId="06415624" w14:textId="77777777" w:rsidTr="005F5387">
        <w:tc>
          <w:tcPr>
            <w:tcW w:w="1666" w:type="pct"/>
          </w:tcPr>
          <w:p w14:paraId="508D87F2" w14:textId="69BCA4AD" w:rsidR="005F5387" w:rsidRPr="005F5387" w:rsidRDefault="005F5387" w:rsidP="002D11A3">
            <w:r>
              <w:t>10</w:t>
            </w:r>
          </w:p>
        </w:tc>
        <w:tc>
          <w:tcPr>
            <w:tcW w:w="1666" w:type="pct"/>
          </w:tcPr>
          <w:p w14:paraId="60A53E2E" w14:textId="14D5C6F8" w:rsidR="005F5387" w:rsidRPr="001F18CC" w:rsidRDefault="00897992" w:rsidP="002D11A3">
            <w:r>
              <w:t>0.958</w:t>
            </w:r>
          </w:p>
        </w:tc>
        <w:tc>
          <w:tcPr>
            <w:tcW w:w="1667" w:type="pct"/>
          </w:tcPr>
          <w:p w14:paraId="3E4F60CC" w14:textId="24C898A1" w:rsidR="005F5387" w:rsidRPr="001F18CC" w:rsidRDefault="00897992" w:rsidP="002D11A3">
            <w:r>
              <w:t>0.974</w:t>
            </w:r>
          </w:p>
        </w:tc>
      </w:tr>
      <w:tr w:rsidR="005F5387" w14:paraId="488F42E2" w14:textId="77777777" w:rsidTr="005F5387">
        <w:tc>
          <w:tcPr>
            <w:tcW w:w="1666" w:type="pct"/>
          </w:tcPr>
          <w:p w14:paraId="46847F45" w14:textId="610855A4" w:rsidR="005F5387" w:rsidRPr="005F5387" w:rsidRDefault="005F5387" w:rsidP="002D11A3">
            <w:r>
              <w:t>11</w:t>
            </w:r>
          </w:p>
        </w:tc>
        <w:tc>
          <w:tcPr>
            <w:tcW w:w="1666" w:type="pct"/>
          </w:tcPr>
          <w:p w14:paraId="6413443E" w14:textId="58431BD9" w:rsidR="005F5387" w:rsidRPr="001F18CC" w:rsidRDefault="00897992" w:rsidP="002D11A3">
            <w:r>
              <w:t>0.959</w:t>
            </w:r>
          </w:p>
        </w:tc>
        <w:tc>
          <w:tcPr>
            <w:tcW w:w="1667" w:type="pct"/>
          </w:tcPr>
          <w:p w14:paraId="522DF7FB" w14:textId="32FDBD27" w:rsidR="005F5387" w:rsidRPr="001F18CC" w:rsidRDefault="00897992" w:rsidP="002D11A3">
            <w:r>
              <w:t>0.974</w:t>
            </w:r>
          </w:p>
        </w:tc>
      </w:tr>
      <w:tr w:rsidR="005F5387" w14:paraId="6FE61D98" w14:textId="77777777" w:rsidTr="005F5387">
        <w:tc>
          <w:tcPr>
            <w:tcW w:w="1666" w:type="pct"/>
          </w:tcPr>
          <w:p w14:paraId="2179D99F" w14:textId="0D9B63D7" w:rsidR="005F5387" w:rsidRPr="005F5387" w:rsidRDefault="005F5387" w:rsidP="002D11A3">
            <w:r>
              <w:t>12</w:t>
            </w:r>
          </w:p>
        </w:tc>
        <w:tc>
          <w:tcPr>
            <w:tcW w:w="1666" w:type="pct"/>
          </w:tcPr>
          <w:p w14:paraId="5A9E7A82" w14:textId="21A4BD99" w:rsidR="005F5387" w:rsidRPr="001F18CC" w:rsidRDefault="00897992" w:rsidP="002D11A3">
            <w:r>
              <w:t>0.951</w:t>
            </w:r>
          </w:p>
        </w:tc>
        <w:tc>
          <w:tcPr>
            <w:tcW w:w="1667" w:type="pct"/>
          </w:tcPr>
          <w:p w14:paraId="0CCEAD96" w14:textId="589AE704" w:rsidR="005F5387" w:rsidRPr="001F18CC" w:rsidRDefault="00897992" w:rsidP="002D11A3">
            <w:r>
              <w:t>0.969</w:t>
            </w:r>
          </w:p>
        </w:tc>
      </w:tr>
    </w:tbl>
    <w:p w14:paraId="0AA0ABB4" w14:textId="77777777" w:rsidR="001F18CC" w:rsidRDefault="001F18CC" w:rsidP="00581CB0">
      <w:pPr>
        <w:rPr>
          <w:b/>
          <w:bCs/>
        </w:rPr>
      </w:pPr>
    </w:p>
    <w:p w14:paraId="54F0EA7C" w14:textId="0FA14120" w:rsidR="00B81720" w:rsidRPr="005F5387" w:rsidRDefault="00B81720" w:rsidP="00FC2085">
      <w:pPr>
        <w:pStyle w:val="Heading2"/>
        <w:ind w:left="270" w:right="1350" w:hanging="270"/>
        <w:jc w:val="center"/>
      </w:pPr>
      <w:bookmarkStart w:id="14" w:name="_Toc171339054"/>
      <w:r>
        <w:t xml:space="preserve">Correlations between </w:t>
      </w:r>
      <w:r w:rsidR="00BA3455" w:rsidRPr="00BA3455">
        <w:t>Earned</w:t>
      </w:r>
      <w:r>
        <w:t xml:space="preserve"> and Imputed Overall Score by Method and Grade</w:t>
      </w:r>
      <w:r w:rsidR="00C31109">
        <w:t xml:space="preserve">: </w:t>
      </w:r>
      <w:r w:rsidR="002F32B5">
        <w:t>Two</w:t>
      </w:r>
      <w:r>
        <w:t xml:space="preserve"> </w:t>
      </w:r>
      <w:r w:rsidR="002F32B5">
        <w:t xml:space="preserve">Missing </w:t>
      </w:r>
      <w:r w:rsidR="00042D6A">
        <w:t>Domains</w:t>
      </w:r>
      <w:bookmarkEnd w:id="1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6"/>
        <w:gridCol w:w="3086"/>
        <w:gridCol w:w="3088"/>
      </w:tblGrid>
      <w:tr w:rsidR="00B81720" w14:paraId="4D36BBF6" w14:textId="77777777" w:rsidTr="00B81720">
        <w:tc>
          <w:tcPr>
            <w:tcW w:w="1666" w:type="pct"/>
            <w:shd w:val="clear" w:color="auto" w:fill="B3E5A1" w:themeFill="accent6" w:themeFillTint="66"/>
          </w:tcPr>
          <w:p w14:paraId="396089FD" w14:textId="77777777" w:rsidR="00B81720" w:rsidRPr="002D11A3" w:rsidRDefault="00B81720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Grade</w:t>
            </w:r>
          </w:p>
        </w:tc>
        <w:tc>
          <w:tcPr>
            <w:tcW w:w="1666" w:type="pct"/>
            <w:shd w:val="clear" w:color="auto" w:fill="B3E5A1" w:themeFill="accent6" w:themeFillTint="66"/>
          </w:tcPr>
          <w:p w14:paraId="479A7AD0" w14:textId="77777777" w:rsidR="00B81720" w:rsidRPr="002D11A3" w:rsidRDefault="00B81720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Average Score</w:t>
            </w:r>
          </w:p>
        </w:tc>
        <w:tc>
          <w:tcPr>
            <w:tcW w:w="1667" w:type="pct"/>
            <w:shd w:val="clear" w:color="auto" w:fill="B3E5A1" w:themeFill="accent6" w:themeFillTint="66"/>
          </w:tcPr>
          <w:p w14:paraId="0C66577B" w14:textId="77777777" w:rsidR="00B81720" w:rsidRPr="002D11A3" w:rsidRDefault="00B81720" w:rsidP="002D11A3">
            <w:pPr>
              <w:rPr>
                <w:b/>
                <w:bCs/>
              </w:rPr>
            </w:pPr>
            <w:r w:rsidRPr="002D11A3">
              <w:rPr>
                <w:b/>
                <w:bCs/>
              </w:rPr>
              <w:t>Reweighting</w:t>
            </w:r>
          </w:p>
        </w:tc>
      </w:tr>
      <w:tr w:rsidR="00B81720" w14:paraId="57B2C644" w14:textId="77777777">
        <w:tc>
          <w:tcPr>
            <w:tcW w:w="1666" w:type="pct"/>
          </w:tcPr>
          <w:p w14:paraId="47D5A1A3" w14:textId="77777777" w:rsidR="00B81720" w:rsidRPr="005F5387" w:rsidRDefault="00B81720" w:rsidP="002D11A3">
            <w:r w:rsidRPr="005F5387">
              <w:t>K</w:t>
            </w:r>
          </w:p>
        </w:tc>
        <w:tc>
          <w:tcPr>
            <w:tcW w:w="1666" w:type="pct"/>
          </w:tcPr>
          <w:p w14:paraId="69A6B8D0" w14:textId="718DEA66" w:rsidR="00B81720" w:rsidRPr="001F18CC" w:rsidRDefault="00894C44" w:rsidP="002D11A3">
            <w:r>
              <w:t>0.930</w:t>
            </w:r>
          </w:p>
        </w:tc>
        <w:tc>
          <w:tcPr>
            <w:tcW w:w="1667" w:type="pct"/>
          </w:tcPr>
          <w:p w14:paraId="3C0CF228" w14:textId="7F521F9B" w:rsidR="00B81720" w:rsidRPr="001F18CC" w:rsidRDefault="00894C44" w:rsidP="002D11A3">
            <w:r>
              <w:t>0.943</w:t>
            </w:r>
          </w:p>
        </w:tc>
      </w:tr>
      <w:tr w:rsidR="00B81720" w14:paraId="618501FB" w14:textId="77777777">
        <w:tc>
          <w:tcPr>
            <w:tcW w:w="1666" w:type="pct"/>
          </w:tcPr>
          <w:p w14:paraId="006D0176" w14:textId="77777777" w:rsidR="00B81720" w:rsidRPr="005F5387" w:rsidRDefault="00B81720" w:rsidP="002D11A3">
            <w:r w:rsidRPr="005F5387">
              <w:t>1</w:t>
            </w:r>
          </w:p>
        </w:tc>
        <w:tc>
          <w:tcPr>
            <w:tcW w:w="1666" w:type="pct"/>
          </w:tcPr>
          <w:p w14:paraId="70DDCEC7" w14:textId="2D8EF000" w:rsidR="00B81720" w:rsidRPr="001F18CC" w:rsidRDefault="00894C44" w:rsidP="002D11A3">
            <w:r>
              <w:t>0.916</w:t>
            </w:r>
          </w:p>
        </w:tc>
        <w:tc>
          <w:tcPr>
            <w:tcW w:w="1667" w:type="pct"/>
          </w:tcPr>
          <w:p w14:paraId="08528A01" w14:textId="0E2C0819" w:rsidR="00B81720" w:rsidRPr="001F18CC" w:rsidRDefault="00894C44" w:rsidP="002D11A3">
            <w:r>
              <w:t>0.937</w:t>
            </w:r>
          </w:p>
        </w:tc>
      </w:tr>
      <w:tr w:rsidR="00B81720" w14:paraId="6D1E667B" w14:textId="77777777">
        <w:tc>
          <w:tcPr>
            <w:tcW w:w="1666" w:type="pct"/>
          </w:tcPr>
          <w:p w14:paraId="46A9EE2C" w14:textId="77777777" w:rsidR="00B81720" w:rsidRPr="005F5387" w:rsidRDefault="00B81720" w:rsidP="002D11A3">
            <w:r w:rsidRPr="005F5387">
              <w:t>2</w:t>
            </w:r>
          </w:p>
        </w:tc>
        <w:tc>
          <w:tcPr>
            <w:tcW w:w="1666" w:type="pct"/>
          </w:tcPr>
          <w:p w14:paraId="0022EEB9" w14:textId="0EE7AE44" w:rsidR="00B81720" w:rsidRPr="001F18CC" w:rsidRDefault="00894C44" w:rsidP="002D11A3">
            <w:r>
              <w:t>0.934</w:t>
            </w:r>
          </w:p>
        </w:tc>
        <w:tc>
          <w:tcPr>
            <w:tcW w:w="1667" w:type="pct"/>
          </w:tcPr>
          <w:p w14:paraId="572CCF6D" w14:textId="5804109E" w:rsidR="00B81720" w:rsidRPr="001F18CC" w:rsidRDefault="00894C44" w:rsidP="002D11A3">
            <w:r>
              <w:t>0.952</w:t>
            </w:r>
          </w:p>
        </w:tc>
      </w:tr>
      <w:tr w:rsidR="00B81720" w14:paraId="54E750FE" w14:textId="77777777">
        <w:tc>
          <w:tcPr>
            <w:tcW w:w="1666" w:type="pct"/>
          </w:tcPr>
          <w:p w14:paraId="424E7BC3" w14:textId="77777777" w:rsidR="00B81720" w:rsidRPr="005F5387" w:rsidRDefault="00B81720" w:rsidP="002D11A3">
            <w:r>
              <w:t>3</w:t>
            </w:r>
          </w:p>
        </w:tc>
        <w:tc>
          <w:tcPr>
            <w:tcW w:w="1666" w:type="pct"/>
          </w:tcPr>
          <w:p w14:paraId="57EEC413" w14:textId="26B7B111" w:rsidR="00B81720" w:rsidRPr="001F18CC" w:rsidRDefault="00894C44" w:rsidP="002D11A3">
            <w:r>
              <w:t>0.952</w:t>
            </w:r>
          </w:p>
        </w:tc>
        <w:tc>
          <w:tcPr>
            <w:tcW w:w="1667" w:type="pct"/>
          </w:tcPr>
          <w:p w14:paraId="7DE4FDBE" w14:textId="0405CA70" w:rsidR="00B81720" w:rsidRPr="001F18CC" w:rsidRDefault="00894C44" w:rsidP="002D11A3">
            <w:r>
              <w:t>0.964</w:t>
            </w:r>
          </w:p>
        </w:tc>
      </w:tr>
      <w:tr w:rsidR="00B81720" w14:paraId="6CCBA761" w14:textId="77777777">
        <w:tc>
          <w:tcPr>
            <w:tcW w:w="1666" w:type="pct"/>
          </w:tcPr>
          <w:p w14:paraId="491AFA90" w14:textId="77777777" w:rsidR="00B81720" w:rsidRPr="005F5387" w:rsidRDefault="00B81720" w:rsidP="002D11A3">
            <w:r>
              <w:t>4</w:t>
            </w:r>
          </w:p>
        </w:tc>
        <w:tc>
          <w:tcPr>
            <w:tcW w:w="1666" w:type="pct"/>
          </w:tcPr>
          <w:p w14:paraId="2B0B3B6F" w14:textId="4357DF7D" w:rsidR="00B81720" w:rsidRPr="001F18CC" w:rsidRDefault="00894C44" w:rsidP="002D11A3">
            <w:r>
              <w:t>0.958</w:t>
            </w:r>
          </w:p>
        </w:tc>
        <w:tc>
          <w:tcPr>
            <w:tcW w:w="1667" w:type="pct"/>
          </w:tcPr>
          <w:p w14:paraId="68F3D1FC" w14:textId="0597505E" w:rsidR="00B81720" w:rsidRPr="001F18CC" w:rsidRDefault="00894C44" w:rsidP="002D11A3">
            <w:r>
              <w:t>0.967</w:t>
            </w:r>
          </w:p>
        </w:tc>
      </w:tr>
      <w:tr w:rsidR="00B81720" w14:paraId="107A1C38" w14:textId="77777777">
        <w:tc>
          <w:tcPr>
            <w:tcW w:w="1666" w:type="pct"/>
          </w:tcPr>
          <w:p w14:paraId="5BE13796" w14:textId="77777777" w:rsidR="00B81720" w:rsidRPr="005F5387" w:rsidRDefault="00B81720" w:rsidP="002D11A3">
            <w:r>
              <w:t>5</w:t>
            </w:r>
          </w:p>
        </w:tc>
        <w:tc>
          <w:tcPr>
            <w:tcW w:w="1666" w:type="pct"/>
          </w:tcPr>
          <w:p w14:paraId="6A1E5F5D" w14:textId="640C6E83" w:rsidR="00B81720" w:rsidRPr="001F18CC" w:rsidRDefault="00894C44" w:rsidP="002D11A3">
            <w:r>
              <w:t>0.959</w:t>
            </w:r>
          </w:p>
        </w:tc>
        <w:tc>
          <w:tcPr>
            <w:tcW w:w="1667" w:type="pct"/>
          </w:tcPr>
          <w:p w14:paraId="2A3D65E0" w14:textId="38D436D6" w:rsidR="00B81720" w:rsidRPr="001F18CC" w:rsidRDefault="00894C44" w:rsidP="002D11A3">
            <w:r>
              <w:t>0.967</w:t>
            </w:r>
          </w:p>
        </w:tc>
      </w:tr>
      <w:tr w:rsidR="00B81720" w14:paraId="7FBF7899" w14:textId="77777777">
        <w:tc>
          <w:tcPr>
            <w:tcW w:w="1666" w:type="pct"/>
          </w:tcPr>
          <w:p w14:paraId="37993BA7" w14:textId="77777777" w:rsidR="00B81720" w:rsidRPr="005F5387" w:rsidRDefault="00B81720" w:rsidP="002D11A3">
            <w:r>
              <w:t>6</w:t>
            </w:r>
          </w:p>
        </w:tc>
        <w:tc>
          <w:tcPr>
            <w:tcW w:w="1666" w:type="pct"/>
          </w:tcPr>
          <w:p w14:paraId="0C924F10" w14:textId="3197786C" w:rsidR="00B81720" w:rsidRPr="001F18CC" w:rsidRDefault="00894C44" w:rsidP="002D11A3">
            <w:r>
              <w:t>0.949</w:t>
            </w:r>
          </w:p>
        </w:tc>
        <w:tc>
          <w:tcPr>
            <w:tcW w:w="1667" w:type="pct"/>
          </w:tcPr>
          <w:p w14:paraId="63EFC0AC" w14:textId="6A49F415" w:rsidR="00B81720" w:rsidRPr="001F18CC" w:rsidRDefault="00894C44" w:rsidP="002D11A3">
            <w:r>
              <w:t>0.963</w:t>
            </w:r>
          </w:p>
        </w:tc>
      </w:tr>
      <w:tr w:rsidR="00B81720" w14:paraId="27539EBE" w14:textId="77777777">
        <w:tc>
          <w:tcPr>
            <w:tcW w:w="1666" w:type="pct"/>
          </w:tcPr>
          <w:p w14:paraId="6F8277EC" w14:textId="77777777" w:rsidR="00B81720" w:rsidRPr="005F5387" w:rsidRDefault="00B81720" w:rsidP="002D11A3">
            <w:r>
              <w:t>7</w:t>
            </w:r>
          </w:p>
        </w:tc>
        <w:tc>
          <w:tcPr>
            <w:tcW w:w="1666" w:type="pct"/>
          </w:tcPr>
          <w:p w14:paraId="7B3F79C3" w14:textId="3102E2EE" w:rsidR="00B81720" w:rsidRPr="001F18CC" w:rsidRDefault="00894C44" w:rsidP="002D11A3">
            <w:r>
              <w:t>0.9</w:t>
            </w:r>
            <w:r w:rsidR="006B346D">
              <w:t>56</w:t>
            </w:r>
          </w:p>
        </w:tc>
        <w:tc>
          <w:tcPr>
            <w:tcW w:w="1667" w:type="pct"/>
          </w:tcPr>
          <w:p w14:paraId="4D2F36BC" w14:textId="02245E2E" w:rsidR="00B81720" w:rsidRPr="001F18CC" w:rsidRDefault="006B346D" w:rsidP="002D11A3">
            <w:r>
              <w:t>0.966</w:t>
            </w:r>
          </w:p>
        </w:tc>
      </w:tr>
      <w:tr w:rsidR="00B81720" w14:paraId="634AD1B4" w14:textId="77777777">
        <w:tc>
          <w:tcPr>
            <w:tcW w:w="1666" w:type="pct"/>
          </w:tcPr>
          <w:p w14:paraId="4DFDADB3" w14:textId="77777777" w:rsidR="00B81720" w:rsidRPr="005F5387" w:rsidRDefault="00B81720" w:rsidP="002D11A3">
            <w:r>
              <w:t>8</w:t>
            </w:r>
          </w:p>
        </w:tc>
        <w:tc>
          <w:tcPr>
            <w:tcW w:w="1666" w:type="pct"/>
          </w:tcPr>
          <w:p w14:paraId="17FD7B3B" w14:textId="0D847323" w:rsidR="00B81720" w:rsidRPr="001F18CC" w:rsidRDefault="006B346D" w:rsidP="002D11A3">
            <w:r>
              <w:t>0.962</w:t>
            </w:r>
          </w:p>
        </w:tc>
        <w:tc>
          <w:tcPr>
            <w:tcW w:w="1667" w:type="pct"/>
          </w:tcPr>
          <w:p w14:paraId="726D39AF" w14:textId="09F5E5B1" w:rsidR="00B81720" w:rsidRPr="001F18CC" w:rsidRDefault="006B346D" w:rsidP="002D11A3">
            <w:r>
              <w:t>0.970</w:t>
            </w:r>
          </w:p>
        </w:tc>
      </w:tr>
      <w:tr w:rsidR="00B81720" w14:paraId="32793532" w14:textId="77777777">
        <w:tc>
          <w:tcPr>
            <w:tcW w:w="1666" w:type="pct"/>
          </w:tcPr>
          <w:p w14:paraId="485BCC38" w14:textId="77777777" w:rsidR="00B81720" w:rsidRPr="005F5387" w:rsidRDefault="00B81720" w:rsidP="002D11A3">
            <w:r>
              <w:t>9</w:t>
            </w:r>
          </w:p>
        </w:tc>
        <w:tc>
          <w:tcPr>
            <w:tcW w:w="1666" w:type="pct"/>
          </w:tcPr>
          <w:p w14:paraId="04B6546B" w14:textId="2AD4CFF8" w:rsidR="00B81720" w:rsidRPr="001F18CC" w:rsidRDefault="006B346D" w:rsidP="002D11A3">
            <w:r>
              <w:t>0.957</w:t>
            </w:r>
          </w:p>
        </w:tc>
        <w:tc>
          <w:tcPr>
            <w:tcW w:w="1667" w:type="pct"/>
          </w:tcPr>
          <w:p w14:paraId="61D138B4" w14:textId="6C837E97" w:rsidR="00B81720" w:rsidRPr="001F18CC" w:rsidRDefault="006B346D" w:rsidP="002D11A3">
            <w:r>
              <w:t>0.970</w:t>
            </w:r>
          </w:p>
        </w:tc>
      </w:tr>
      <w:tr w:rsidR="00B81720" w14:paraId="141AFAB0" w14:textId="77777777">
        <w:tc>
          <w:tcPr>
            <w:tcW w:w="1666" w:type="pct"/>
          </w:tcPr>
          <w:p w14:paraId="6EFA96E7" w14:textId="77777777" w:rsidR="00B81720" w:rsidRPr="005F5387" w:rsidRDefault="00B81720" w:rsidP="002D11A3">
            <w:r>
              <w:t>10</w:t>
            </w:r>
          </w:p>
        </w:tc>
        <w:tc>
          <w:tcPr>
            <w:tcW w:w="1666" w:type="pct"/>
          </w:tcPr>
          <w:p w14:paraId="1E7C10A9" w14:textId="03F52AA5" w:rsidR="00B81720" w:rsidRPr="001F18CC" w:rsidRDefault="006B346D" w:rsidP="002D11A3">
            <w:r>
              <w:t>0.958</w:t>
            </w:r>
          </w:p>
        </w:tc>
        <w:tc>
          <w:tcPr>
            <w:tcW w:w="1667" w:type="pct"/>
          </w:tcPr>
          <w:p w14:paraId="1897D6DF" w14:textId="0F753D48" w:rsidR="00B81720" w:rsidRPr="001F18CC" w:rsidRDefault="006B346D" w:rsidP="002D11A3">
            <w:r>
              <w:t>0.966</w:t>
            </w:r>
          </w:p>
        </w:tc>
      </w:tr>
      <w:tr w:rsidR="00B81720" w14:paraId="4E4BA587" w14:textId="77777777">
        <w:tc>
          <w:tcPr>
            <w:tcW w:w="1666" w:type="pct"/>
          </w:tcPr>
          <w:p w14:paraId="6A0FE4F6" w14:textId="77777777" w:rsidR="00B81720" w:rsidRPr="005F5387" w:rsidRDefault="00B81720" w:rsidP="002D11A3">
            <w:r>
              <w:t>11</w:t>
            </w:r>
          </w:p>
        </w:tc>
        <w:tc>
          <w:tcPr>
            <w:tcW w:w="1666" w:type="pct"/>
          </w:tcPr>
          <w:p w14:paraId="7ECFA5F4" w14:textId="31E4F5DF" w:rsidR="00B81720" w:rsidRPr="001F18CC" w:rsidRDefault="006B346D" w:rsidP="002D11A3">
            <w:r>
              <w:t>0.961</w:t>
            </w:r>
          </w:p>
        </w:tc>
        <w:tc>
          <w:tcPr>
            <w:tcW w:w="1667" w:type="pct"/>
          </w:tcPr>
          <w:p w14:paraId="7F1E73C1" w14:textId="415C4B41" w:rsidR="00B81720" w:rsidRPr="001F18CC" w:rsidRDefault="006B346D" w:rsidP="002D11A3">
            <w:r>
              <w:t>0.967</w:t>
            </w:r>
          </w:p>
        </w:tc>
      </w:tr>
      <w:tr w:rsidR="00B81720" w14:paraId="6B98CF22" w14:textId="77777777">
        <w:tc>
          <w:tcPr>
            <w:tcW w:w="1666" w:type="pct"/>
          </w:tcPr>
          <w:p w14:paraId="471A13F8" w14:textId="77777777" w:rsidR="00B81720" w:rsidRPr="005F5387" w:rsidRDefault="00B81720" w:rsidP="002D11A3">
            <w:r>
              <w:t>12</w:t>
            </w:r>
          </w:p>
        </w:tc>
        <w:tc>
          <w:tcPr>
            <w:tcW w:w="1666" w:type="pct"/>
          </w:tcPr>
          <w:p w14:paraId="4E7CE876" w14:textId="6AD2BDA5" w:rsidR="00B81720" w:rsidRPr="001F18CC" w:rsidRDefault="006B346D" w:rsidP="002D11A3">
            <w:r>
              <w:t>0.955</w:t>
            </w:r>
          </w:p>
        </w:tc>
        <w:tc>
          <w:tcPr>
            <w:tcW w:w="1667" w:type="pct"/>
          </w:tcPr>
          <w:p w14:paraId="28EEC8C4" w14:textId="593C80C5" w:rsidR="00B81720" w:rsidRPr="001F18CC" w:rsidRDefault="006B346D" w:rsidP="002D11A3">
            <w:r>
              <w:t>0.960</w:t>
            </w:r>
          </w:p>
        </w:tc>
      </w:tr>
    </w:tbl>
    <w:p w14:paraId="604F3393" w14:textId="77777777" w:rsidR="00B81720" w:rsidRPr="00066BB2" w:rsidRDefault="00B81720" w:rsidP="00B81720">
      <w:pPr>
        <w:rPr>
          <w:b/>
          <w:bCs/>
        </w:rPr>
      </w:pPr>
    </w:p>
    <w:p w14:paraId="7867DC55" w14:textId="77777777" w:rsidR="006A089C" w:rsidRDefault="006A089C">
      <w:pPr>
        <w:rPr>
          <w:b/>
          <w:bCs/>
        </w:rPr>
      </w:pPr>
      <w:r>
        <w:rPr>
          <w:b/>
          <w:bCs/>
        </w:rPr>
        <w:br w:type="page"/>
      </w:r>
    </w:p>
    <w:p w14:paraId="66653D63" w14:textId="3CD95392" w:rsidR="00B81720" w:rsidRDefault="006A089C" w:rsidP="00EC11CC">
      <w:pPr>
        <w:pStyle w:val="Heading1"/>
      </w:pPr>
      <w:bookmarkStart w:id="15" w:name="_Toc171339055"/>
      <w:r>
        <w:lastRenderedPageBreak/>
        <w:t>References</w:t>
      </w:r>
      <w:bookmarkEnd w:id="15"/>
    </w:p>
    <w:p w14:paraId="1CAC67A1" w14:textId="26BADA37" w:rsidR="006A089C" w:rsidRDefault="001A65F1" w:rsidP="00247953">
      <w:pPr>
        <w:ind w:left="720" w:hanging="720"/>
      </w:pPr>
      <w:proofErr w:type="spellStart"/>
      <w:r>
        <w:t>Akobeng</w:t>
      </w:r>
      <w:proofErr w:type="spellEnd"/>
      <w:r>
        <w:t xml:space="preserve">, A.K (2006). Understanding diagnostic tests 1: sensitivity, specificity and predictive values. </w:t>
      </w:r>
      <w:r>
        <w:rPr>
          <w:i/>
          <w:iCs/>
        </w:rPr>
        <w:t xml:space="preserve">Acta </w:t>
      </w:r>
      <w:proofErr w:type="spellStart"/>
      <w:r>
        <w:rPr>
          <w:i/>
          <w:iCs/>
        </w:rPr>
        <w:t>Paediatr</w:t>
      </w:r>
      <w:r w:rsidR="000D2FDA">
        <w:rPr>
          <w:i/>
          <w:iCs/>
        </w:rPr>
        <w:t>ica</w:t>
      </w:r>
      <w:proofErr w:type="spellEnd"/>
      <w:r>
        <w:rPr>
          <w:i/>
          <w:iCs/>
        </w:rPr>
        <w:t xml:space="preserve">, </w:t>
      </w:r>
      <w:r w:rsidR="00AD4B98" w:rsidRPr="00AD4B98">
        <w:rPr>
          <w:i/>
          <w:iCs/>
        </w:rPr>
        <w:t>96</w:t>
      </w:r>
      <w:r w:rsidR="00AD4B98">
        <w:t>, 338-341.</w:t>
      </w:r>
      <w:r w:rsidR="00AD4B98" w:rsidRPr="00AD4B98">
        <w:t xml:space="preserve"> </w:t>
      </w:r>
      <w:r w:rsidR="00AD4B98">
        <w:t>doi:10.1111/j.1651-2227.2006.00180</w:t>
      </w:r>
    </w:p>
    <w:p w14:paraId="17FB81B4" w14:textId="3A9664BF" w:rsidR="00ED0597" w:rsidRDefault="00ED5CB2" w:rsidP="00247953">
      <w:pPr>
        <w:ind w:left="720" w:hanging="720"/>
      </w:pPr>
      <w:r>
        <w:t xml:space="preserve">Flanagan, K. &amp; Wiener, D. </w:t>
      </w:r>
      <w:r w:rsidR="00DD7ADE">
        <w:t xml:space="preserve">(2019). </w:t>
      </w:r>
      <w:r w:rsidRPr="000B7806">
        <w:rPr>
          <w:i/>
        </w:rPr>
        <w:t>Estimating scores for missing subdomains on ACCESS for ELLs Tests (Two Methods)</w:t>
      </w:r>
      <w:r w:rsidR="00DD7ADE" w:rsidRPr="000B7806">
        <w:t>. DESE.</w:t>
      </w:r>
      <w:r w:rsidR="768592F9">
        <w:t xml:space="preserve"> </w:t>
      </w:r>
    </w:p>
    <w:p w14:paraId="22C270FE" w14:textId="3B49407F" w:rsidR="001253F0" w:rsidRPr="001253F0" w:rsidRDefault="001253F0" w:rsidP="00247953">
      <w:pPr>
        <w:ind w:left="720" w:hanging="720"/>
      </w:pPr>
      <w:r>
        <w:t xml:space="preserve">Porter, T., Cook, H.G., &amp; Sahakyan, N. (2019). Less than four domains: Creating an overall composite score for English learners with individualized education plans. </w:t>
      </w:r>
      <w:r>
        <w:rPr>
          <w:i/>
          <w:iCs/>
        </w:rPr>
        <w:t>WIDA Technical Report.</w:t>
      </w:r>
    </w:p>
    <w:p w14:paraId="430270A8" w14:textId="635738E4" w:rsidR="00ED0597" w:rsidRPr="001253F0" w:rsidRDefault="00D35D5F" w:rsidP="00247953">
      <w:pPr>
        <w:ind w:left="720" w:hanging="720"/>
        <w:rPr>
          <w:i/>
          <w:iCs/>
        </w:rPr>
      </w:pPr>
      <w:r>
        <w:t xml:space="preserve">Sahakyan, N. (2020). Generating imputed* overall composite scale scores for English learners with disabilities who are missing domain scores in the ACCESS for ELLs Assessment. </w:t>
      </w:r>
      <w:r>
        <w:rPr>
          <w:i/>
          <w:iCs/>
        </w:rPr>
        <w:t>WIDA Technical Report.</w:t>
      </w:r>
    </w:p>
    <w:p w14:paraId="3E4FFB16" w14:textId="0CEC945C" w:rsidR="00DD7ADE" w:rsidRPr="00475F9B" w:rsidRDefault="00D142A5" w:rsidP="00247953">
      <w:pPr>
        <w:ind w:left="720" w:hanging="720"/>
      </w:pPr>
      <w:r>
        <w:t xml:space="preserve">Trevethan, R. (2017). Sensitivity, specificity, and predictive values: Foundations, </w:t>
      </w:r>
      <w:proofErr w:type="spellStart"/>
      <w:r>
        <w:t>pliabilities</w:t>
      </w:r>
      <w:proofErr w:type="spellEnd"/>
      <w:r>
        <w:t xml:space="preserve">, and pitfalls in research and practice. </w:t>
      </w:r>
      <w:r>
        <w:rPr>
          <w:i/>
          <w:iCs/>
        </w:rPr>
        <w:t>Frontiers in Public Health, 5(307)</w:t>
      </w:r>
      <w:r w:rsidR="00475F9B">
        <w:rPr>
          <w:i/>
          <w:iCs/>
        </w:rPr>
        <w:t>.</w:t>
      </w:r>
      <w:r w:rsidR="00475F9B" w:rsidRPr="00475F9B">
        <w:t xml:space="preserve"> doi:10.3389/fpubh.2017.00307</w:t>
      </w:r>
    </w:p>
    <w:sectPr w:rsidR="00DD7ADE" w:rsidRPr="00475F9B" w:rsidSect="00BC1EA3">
      <w:footerReference w:type="default" r:id="rId11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7B14" w14:textId="77777777" w:rsidR="00B41C69" w:rsidRDefault="00B41C69" w:rsidP="00A4154A">
      <w:pPr>
        <w:spacing w:after="0" w:line="240" w:lineRule="auto"/>
      </w:pPr>
      <w:r>
        <w:separator/>
      </w:r>
    </w:p>
  </w:endnote>
  <w:endnote w:type="continuationSeparator" w:id="0">
    <w:p w14:paraId="765BE603" w14:textId="77777777" w:rsidR="00B41C69" w:rsidRDefault="00B41C69" w:rsidP="00A4154A">
      <w:pPr>
        <w:spacing w:after="0" w:line="240" w:lineRule="auto"/>
      </w:pPr>
      <w:r>
        <w:continuationSeparator/>
      </w:r>
    </w:p>
  </w:endnote>
  <w:endnote w:type="continuationNotice" w:id="1">
    <w:p w14:paraId="4CA9A719" w14:textId="77777777" w:rsidR="00B41C69" w:rsidRDefault="00B41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833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38992" w14:textId="2608F509" w:rsidR="00BC1EA3" w:rsidRDefault="00BC1E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D2D90" w14:textId="77777777" w:rsidR="00192B8D" w:rsidRDefault="00192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D2F3" w14:textId="77777777" w:rsidR="00B41C69" w:rsidRDefault="00B41C69" w:rsidP="00A4154A">
      <w:pPr>
        <w:spacing w:after="0" w:line="240" w:lineRule="auto"/>
      </w:pPr>
      <w:r>
        <w:separator/>
      </w:r>
    </w:p>
  </w:footnote>
  <w:footnote w:type="continuationSeparator" w:id="0">
    <w:p w14:paraId="59F126C5" w14:textId="77777777" w:rsidR="00B41C69" w:rsidRDefault="00B41C69" w:rsidP="00A4154A">
      <w:pPr>
        <w:spacing w:after="0" w:line="240" w:lineRule="auto"/>
      </w:pPr>
      <w:r>
        <w:continuationSeparator/>
      </w:r>
    </w:p>
  </w:footnote>
  <w:footnote w:type="continuationNotice" w:id="1">
    <w:p w14:paraId="493B6FB2" w14:textId="77777777" w:rsidR="00B41C69" w:rsidRDefault="00B41C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DD3"/>
    <w:multiLevelType w:val="hybridMultilevel"/>
    <w:tmpl w:val="C8865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0250"/>
    <w:multiLevelType w:val="hybridMultilevel"/>
    <w:tmpl w:val="426C8740"/>
    <w:lvl w:ilvl="0" w:tplc="4A5E8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903D8"/>
    <w:multiLevelType w:val="hybridMultilevel"/>
    <w:tmpl w:val="38EA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90473"/>
    <w:multiLevelType w:val="hybridMultilevel"/>
    <w:tmpl w:val="B7AC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48B5"/>
    <w:multiLevelType w:val="hybridMultilevel"/>
    <w:tmpl w:val="2178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1ECF"/>
    <w:multiLevelType w:val="hybridMultilevel"/>
    <w:tmpl w:val="4352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35EA8"/>
    <w:multiLevelType w:val="hybridMultilevel"/>
    <w:tmpl w:val="9D4C1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6549"/>
    <w:multiLevelType w:val="hybridMultilevel"/>
    <w:tmpl w:val="4B7C23D2"/>
    <w:lvl w:ilvl="0" w:tplc="67B85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43306">
    <w:abstractNumId w:val="4"/>
  </w:num>
  <w:num w:numId="2" w16cid:durableId="1684897592">
    <w:abstractNumId w:val="2"/>
  </w:num>
  <w:num w:numId="3" w16cid:durableId="2032953963">
    <w:abstractNumId w:val="1"/>
  </w:num>
  <w:num w:numId="4" w16cid:durableId="423186738">
    <w:abstractNumId w:val="7"/>
  </w:num>
  <w:num w:numId="5" w16cid:durableId="163782833">
    <w:abstractNumId w:val="6"/>
  </w:num>
  <w:num w:numId="6" w16cid:durableId="1910142366">
    <w:abstractNumId w:val="5"/>
  </w:num>
  <w:num w:numId="7" w16cid:durableId="1843011077">
    <w:abstractNumId w:val="3"/>
  </w:num>
  <w:num w:numId="8" w16cid:durableId="3109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8E"/>
    <w:rsid w:val="000011A0"/>
    <w:rsid w:val="00005AD1"/>
    <w:rsid w:val="0002670D"/>
    <w:rsid w:val="00027287"/>
    <w:rsid w:val="00042D6A"/>
    <w:rsid w:val="00047F09"/>
    <w:rsid w:val="00054CB5"/>
    <w:rsid w:val="00066BB2"/>
    <w:rsid w:val="00077D7B"/>
    <w:rsid w:val="00080F3E"/>
    <w:rsid w:val="0008376E"/>
    <w:rsid w:val="00091386"/>
    <w:rsid w:val="000939A1"/>
    <w:rsid w:val="000B7806"/>
    <w:rsid w:val="000C6518"/>
    <w:rsid w:val="000D2FDA"/>
    <w:rsid w:val="000D308C"/>
    <w:rsid w:val="000D7C78"/>
    <w:rsid w:val="000E2ED3"/>
    <w:rsid w:val="000F33D3"/>
    <w:rsid w:val="00100D81"/>
    <w:rsid w:val="001205AD"/>
    <w:rsid w:val="0012382B"/>
    <w:rsid w:val="00123CF6"/>
    <w:rsid w:val="001253F0"/>
    <w:rsid w:val="0012B4BD"/>
    <w:rsid w:val="0014325A"/>
    <w:rsid w:val="0015084B"/>
    <w:rsid w:val="00157237"/>
    <w:rsid w:val="00166824"/>
    <w:rsid w:val="001677E8"/>
    <w:rsid w:val="001759EE"/>
    <w:rsid w:val="00192B8D"/>
    <w:rsid w:val="00193E80"/>
    <w:rsid w:val="00194A35"/>
    <w:rsid w:val="0019508E"/>
    <w:rsid w:val="001A3308"/>
    <w:rsid w:val="001A65F1"/>
    <w:rsid w:val="001B043D"/>
    <w:rsid w:val="001B4736"/>
    <w:rsid w:val="001D4E6F"/>
    <w:rsid w:val="001F18CC"/>
    <w:rsid w:val="001F32DB"/>
    <w:rsid w:val="001F3F30"/>
    <w:rsid w:val="001F71BD"/>
    <w:rsid w:val="00203939"/>
    <w:rsid w:val="0021235D"/>
    <w:rsid w:val="002237E1"/>
    <w:rsid w:val="00227AF8"/>
    <w:rsid w:val="002301E1"/>
    <w:rsid w:val="00231CA6"/>
    <w:rsid w:val="00232909"/>
    <w:rsid w:val="00247953"/>
    <w:rsid w:val="0026122C"/>
    <w:rsid w:val="00276518"/>
    <w:rsid w:val="00284199"/>
    <w:rsid w:val="00290210"/>
    <w:rsid w:val="00293636"/>
    <w:rsid w:val="00293E11"/>
    <w:rsid w:val="002964CD"/>
    <w:rsid w:val="002A353B"/>
    <w:rsid w:val="002A52B7"/>
    <w:rsid w:val="002A793C"/>
    <w:rsid w:val="002C3D55"/>
    <w:rsid w:val="002D11A3"/>
    <w:rsid w:val="002D168A"/>
    <w:rsid w:val="002E7ABF"/>
    <w:rsid w:val="002F2C71"/>
    <w:rsid w:val="002F32B5"/>
    <w:rsid w:val="00300124"/>
    <w:rsid w:val="00310C30"/>
    <w:rsid w:val="00313262"/>
    <w:rsid w:val="003259AB"/>
    <w:rsid w:val="003360F9"/>
    <w:rsid w:val="00342906"/>
    <w:rsid w:val="00344924"/>
    <w:rsid w:val="00345287"/>
    <w:rsid w:val="0035087A"/>
    <w:rsid w:val="00351925"/>
    <w:rsid w:val="00352704"/>
    <w:rsid w:val="00353F98"/>
    <w:rsid w:val="00365342"/>
    <w:rsid w:val="0037043D"/>
    <w:rsid w:val="00380B78"/>
    <w:rsid w:val="00382D66"/>
    <w:rsid w:val="0038587D"/>
    <w:rsid w:val="003910C6"/>
    <w:rsid w:val="00391AF4"/>
    <w:rsid w:val="003C4850"/>
    <w:rsid w:val="003C73DE"/>
    <w:rsid w:val="003F5C95"/>
    <w:rsid w:val="00405DF7"/>
    <w:rsid w:val="004238BB"/>
    <w:rsid w:val="00436C41"/>
    <w:rsid w:val="0044202A"/>
    <w:rsid w:val="004527B8"/>
    <w:rsid w:val="00463F27"/>
    <w:rsid w:val="00466DAB"/>
    <w:rsid w:val="00475F9B"/>
    <w:rsid w:val="00492670"/>
    <w:rsid w:val="004952D2"/>
    <w:rsid w:val="004B7D5A"/>
    <w:rsid w:val="004C3C9A"/>
    <w:rsid w:val="004C5B34"/>
    <w:rsid w:val="004D11BE"/>
    <w:rsid w:val="004D29FD"/>
    <w:rsid w:val="004E62F9"/>
    <w:rsid w:val="004E6EC7"/>
    <w:rsid w:val="004F2F6E"/>
    <w:rsid w:val="004F73B5"/>
    <w:rsid w:val="0050294E"/>
    <w:rsid w:val="0051467D"/>
    <w:rsid w:val="005230BE"/>
    <w:rsid w:val="00525367"/>
    <w:rsid w:val="00540E8C"/>
    <w:rsid w:val="00546B1F"/>
    <w:rsid w:val="00555F0A"/>
    <w:rsid w:val="00570AA1"/>
    <w:rsid w:val="00577849"/>
    <w:rsid w:val="00581CB0"/>
    <w:rsid w:val="00581E05"/>
    <w:rsid w:val="00591A03"/>
    <w:rsid w:val="00596314"/>
    <w:rsid w:val="005A1BA9"/>
    <w:rsid w:val="005A3B52"/>
    <w:rsid w:val="005A6FE8"/>
    <w:rsid w:val="005B0DB0"/>
    <w:rsid w:val="005F0972"/>
    <w:rsid w:val="005F14FB"/>
    <w:rsid w:val="005F5387"/>
    <w:rsid w:val="0060178F"/>
    <w:rsid w:val="00614AF8"/>
    <w:rsid w:val="00635C5F"/>
    <w:rsid w:val="006363B2"/>
    <w:rsid w:val="00660AFE"/>
    <w:rsid w:val="00670093"/>
    <w:rsid w:val="00692269"/>
    <w:rsid w:val="00696AC0"/>
    <w:rsid w:val="006A089C"/>
    <w:rsid w:val="006A3CC3"/>
    <w:rsid w:val="006B346D"/>
    <w:rsid w:val="006B4808"/>
    <w:rsid w:val="006D5824"/>
    <w:rsid w:val="006E314B"/>
    <w:rsid w:val="007049B9"/>
    <w:rsid w:val="007059A3"/>
    <w:rsid w:val="0073079D"/>
    <w:rsid w:val="00733CD0"/>
    <w:rsid w:val="00763668"/>
    <w:rsid w:val="00784C0F"/>
    <w:rsid w:val="0078724A"/>
    <w:rsid w:val="007A6AD4"/>
    <w:rsid w:val="007B0175"/>
    <w:rsid w:val="007C19C1"/>
    <w:rsid w:val="007C204D"/>
    <w:rsid w:val="007D4A13"/>
    <w:rsid w:val="007E0461"/>
    <w:rsid w:val="007F1728"/>
    <w:rsid w:val="00805282"/>
    <w:rsid w:val="00820513"/>
    <w:rsid w:val="0082261D"/>
    <w:rsid w:val="0082536E"/>
    <w:rsid w:val="0083553A"/>
    <w:rsid w:val="008411B1"/>
    <w:rsid w:val="00843B13"/>
    <w:rsid w:val="0085022C"/>
    <w:rsid w:val="00883A8F"/>
    <w:rsid w:val="00884437"/>
    <w:rsid w:val="00894C44"/>
    <w:rsid w:val="00894E3A"/>
    <w:rsid w:val="00897992"/>
    <w:rsid w:val="008A1341"/>
    <w:rsid w:val="008A1701"/>
    <w:rsid w:val="008C1E55"/>
    <w:rsid w:val="008C2E7F"/>
    <w:rsid w:val="008C5DD3"/>
    <w:rsid w:val="008D6D91"/>
    <w:rsid w:val="008D7C00"/>
    <w:rsid w:val="008F22AB"/>
    <w:rsid w:val="008F3E35"/>
    <w:rsid w:val="00905AFB"/>
    <w:rsid w:val="009066E3"/>
    <w:rsid w:val="0093179F"/>
    <w:rsid w:val="009372D0"/>
    <w:rsid w:val="00947BE3"/>
    <w:rsid w:val="00954162"/>
    <w:rsid w:val="009609D0"/>
    <w:rsid w:val="00977C52"/>
    <w:rsid w:val="00990ADF"/>
    <w:rsid w:val="009A26AA"/>
    <w:rsid w:val="009A39F7"/>
    <w:rsid w:val="009E2B9A"/>
    <w:rsid w:val="00A036DA"/>
    <w:rsid w:val="00A067EE"/>
    <w:rsid w:val="00A106BA"/>
    <w:rsid w:val="00A30858"/>
    <w:rsid w:val="00A326A3"/>
    <w:rsid w:val="00A32A41"/>
    <w:rsid w:val="00A4154A"/>
    <w:rsid w:val="00A52937"/>
    <w:rsid w:val="00A52B73"/>
    <w:rsid w:val="00A60FAD"/>
    <w:rsid w:val="00A62F3F"/>
    <w:rsid w:val="00A664B4"/>
    <w:rsid w:val="00A66882"/>
    <w:rsid w:val="00A71C7B"/>
    <w:rsid w:val="00A80074"/>
    <w:rsid w:val="00AA7CA2"/>
    <w:rsid w:val="00AB3AE5"/>
    <w:rsid w:val="00AB7696"/>
    <w:rsid w:val="00AD4B98"/>
    <w:rsid w:val="00AD73EC"/>
    <w:rsid w:val="00AE1173"/>
    <w:rsid w:val="00AF0F08"/>
    <w:rsid w:val="00AF228C"/>
    <w:rsid w:val="00AF4A70"/>
    <w:rsid w:val="00B0485D"/>
    <w:rsid w:val="00B15C7B"/>
    <w:rsid w:val="00B1661E"/>
    <w:rsid w:val="00B20874"/>
    <w:rsid w:val="00B37C77"/>
    <w:rsid w:val="00B41C69"/>
    <w:rsid w:val="00B455F7"/>
    <w:rsid w:val="00B5389C"/>
    <w:rsid w:val="00B753B0"/>
    <w:rsid w:val="00B81720"/>
    <w:rsid w:val="00B90AEF"/>
    <w:rsid w:val="00B93C8A"/>
    <w:rsid w:val="00B952C8"/>
    <w:rsid w:val="00BA3455"/>
    <w:rsid w:val="00BA43F5"/>
    <w:rsid w:val="00BB6AA6"/>
    <w:rsid w:val="00BC1EA3"/>
    <w:rsid w:val="00BE242D"/>
    <w:rsid w:val="00BF2123"/>
    <w:rsid w:val="00C03E87"/>
    <w:rsid w:val="00C17C18"/>
    <w:rsid w:val="00C22E85"/>
    <w:rsid w:val="00C26CC0"/>
    <w:rsid w:val="00C31109"/>
    <w:rsid w:val="00C416D4"/>
    <w:rsid w:val="00C568F2"/>
    <w:rsid w:val="00C640EB"/>
    <w:rsid w:val="00C72923"/>
    <w:rsid w:val="00C766A9"/>
    <w:rsid w:val="00C81231"/>
    <w:rsid w:val="00CA18E4"/>
    <w:rsid w:val="00CA43EC"/>
    <w:rsid w:val="00CB40FF"/>
    <w:rsid w:val="00CB7629"/>
    <w:rsid w:val="00CB7BA9"/>
    <w:rsid w:val="00CD400F"/>
    <w:rsid w:val="00CE66F7"/>
    <w:rsid w:val="00CE75D6"/>
    <w:rsid w:val="00D012F0"/>
    <w:rsid w:val="00D06081"/>
    <w:rsid w:val="00D11B4A"/>
    <w:rsid w:val="00D12A04"/>
    <w:rsid w:val="00D142A5"/>
    <w:rsid w:val="00D2043A"/>
    <w:rsid w:val="00D23264"/>
    <w:rsid w:val="00D3400C"/>
    <w:rsid w:val="00D353F5"/>
    <w:rsid w:val="00D35D5F"/>
    <w:rsid w:val="00D42F79"/>
    <w:rsid w:val="00D50B66"/>
    <w:rsid w:val="00D52A83"/>
    <w:rsid w:val="00D605CB"/>
    <w:rsid w:val="00D607A0"/>
    <w:rsid w:val="00D628BF"/>
    <w:rsid w:val="00D650B1"/>
    <w:rsid w:val="00D66D48"/>
    <w:rsid w:val="00D77D7E"/>
    <w:rsid w:val="00D8154E"/>
    <w:rsid w:val="00DA1925"/>
    <w:rsid w:val="00DB541A"/>
    <w:rsid w:val="00DD101C"/>
    <w:rsid w:val="00DD7ADE"/>
    <w:rsid w:val="00DE6022"/>
    <w:rsid w:val="00DF49CA"/>
    <w:rsid w:val="00DF53B5"/>
    <w:rsid w:val="00E05554"/>
    <w:rsid w:val="00E25850"/>
    <w:rsid w:val="00E4554D"/>
    <w:rsid w:val="00E54996"/>
    <w:rsid w:val="00E54D4E"/>
    <w:rsid w:val="00E70071"/>
    <w:rsid w:val="00E730E2"/>
    <w:rsid w:val="00E752AB"/>
    <w:rsid w:val="00E8277A"/>
    <w:rsid w:val="00E835F2"/>
    <w:rsid w:val="00E90D4D"/>
    <w:rsid w:val="00EB2BF9"/>
    <w:rsid w:val="00EC0C01"/>
    <w:rsid w:val="00EC11CC"/>
    <w:rsid w:val="00ED0597"/>
    <w:rsid w:val="00ED5CB2"/>
    <w:rsid w:val="00EE79AD"/>
    <w:rsid w:val="00EF1BB7"/>
    <w:rsid w:val="00EF511A"/>
    <w:rsid w:val="00EF631F"/>
    <w:rsid w:val="00F10CF9"/>
    <w:rsid w:val="00F17687"/>
    <w:rsid w:val="00F17C90"/>
    <w:rsid w:val="00F202BC"/>
    <w:rsid w:val="00F30BC1"/>
    <w:rsid w:val="00F30C41"/>
    <w:rsid w:val="00F30ED8"/>
    <w:rsid w:val="00F44978"/>
    <w:rsid w:val="00F45944"/>
    <w:rsid w:val="00F45B0C"/>
    <w:rsid w:val="00F6062E"/>
    <w:rsid w:val="00F60E23"/>
    <w:rsid w:val="00F63B22"/>
    <w:rsid w:val="00F67B9A"/>
    <w:rsid w:val="00F96C48"/>
    <w:rsid w:val="00F97429"/>
    <w:rsid w:val="00FA61A0"/>
    <w:rsid w:val="00FB33C9"/>
    <w:rsid w:val="00FB794D"/>
    <w:rsid w:val="00FC2085"/>
    <w:rsid w:val="00FD2835"/>
    <w:rsid w:val="00FE2D8C"/>
    <w:rsid w:val="027A6998"/>
    <w:rsid w:val="09BABE04"/>
    <w:rsid w:val="0B329567"/>
    <w:rsid w:val="0F0E3C40"/>
    <w:rsid w:val="0F203BD4"/>
    <w:rsid w:val="0F442D48"/>
    <w:rsid w:val="1073120D"/>
    <w:rsid w:val="10F61EE2"/>
    <w:rsid w:val="12B85612"/>
    <w:rsid w:val="17102DB5"/>
    <w:rsid w:val="1E4F02F5"/>
    <w:rsid w:val="1F924728"/>
    <w:rsid w:val="2840F985"/>
    <w:rsid w:val="383B5D6D"/>
    <w:rsid w:val="3C3709E0"/>
    <w:rsid w:val="3C5C0D15"/>
    <w:rsid w:val="3CC05786"/>
    <w:rsid w:val="3D421CB4"/>
    <w:rsid w:val="3EA1E19E"/>
    <w:rsid w:val="49A363A5"/>
    <w:rsid w:val="4C500871"/>
    <w:rsid w:val="4F2EF3CE"/>
    <w:rsid w:val="5112F0B1"/>
    <w:rsid w:val="5159F44E"/>
    <w:rsid w:val="51BE95B8"/>
    <w:rsid w:val="552FBEAA"/>
    <w:rsid w:val="580E4972"/>
    <w:rsid w:val="5966A389"/>
    <w:rsid w:val="5E06050A"/>
    <w:rsid w:val="5EDA4EBA"/>
    <w:rsid w:val="5F8F4185"/>
    <w:rsid w:val="606729D6"/>
    <w:rsid w:val="60AE2203"/>
    <w:rsid w:val="65664E2B"/>
    <w:rsid w:val="67990CB3"/>
    <w:rsid w:val="6B91FE9B"/>
    <w:rsid w:val="6E42814F"/>
    <w:rsid w:val="75545D17"/>
    <w:rsid w:val="7599EF63"/>
    <w:rsid w:val="768592F9"/>
    <w:rsid w:val="7A0AAAA3"/>
    <w:rsid w:val="7B70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F649B"/>
  <w15:chartTrackingRefBased/>
  <w15:docId w15:val="{021E7714-FAD5-4204-B202-BDF1D9D8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452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287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528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452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0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5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D11A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D11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11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11A3"/>
    <w:pPr>
      <w:spacing w:after="100" w:line="278" w:lineRule="auto"/>
      <w:ind w:left="480"/>
    </w:pPr>
    <w:rPr>
      <w:rFonts w:eastAsiaTheme="minorEastAsia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D11A3"/>
    <w:pPr>
      <w:spacing w:after="100" w:line="278" w:lineRule="auto"/>
      <w:ind w:left="720"/>
    </w:pPr>
    <w:rPr>
      <w:rFonts w:eastAsiaTheme="minorEastAsia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D11A3"/>
    <w:pPr>
      <w:spacing w:after="100" w:line="278" w:lineRule="auto"/>
      <w:ind w:left="960"/>
    </w:pPr>
    <w:rPr>
      <w:rFonts w:eastAsiaTheme="minorEastAsia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D11A3"/>
    <w:pPr>
      <w:spacing w:after="100" w:line="278" w:lineRule="auto"/>
      <w:ind w:left="1200"/>
    </w:pPr>
    <w:rPr>
      <w:rFonts w:eastAsiaTheme="minorEastAsia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D11A3"/>
    <w:pPr>
      <w:spacing w:after="100" w:line="278" w:lineRule="auto"/>
      <w:ind w:left="1440"/>
    </w:pPr>
    <w:rPr>
      <w:rFonts w:eastAsiaTheme="minorEastAsia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D11A3"/>
    <w:pPr>
      <w:spacing w:after="100" w:line="278" w:lineRule="auto"/>
      <w:ind w:left="1680"/>
    </w:pPr>
    <w:rPr>
      <w:rFonts w:eastAsiaTheme="minorEastAsia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D11A3"/>
    <w:pPr>
      <w:spacing w:after="100" w:line="278" w:lineRule="auto"/>
      <w:ind w:left="1920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1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1A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B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294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568F2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4A"/>
  </w:style>
  <w:style w:type="paragraph" w:styleId="Footer">
    <w:name w:val="footer"/>
    <w:basedOn w:val="Normal"/>
    <w:link w:val="FooterChar"/>
    <w:uiPriority w:val="99"/>
    <w:unhideWhenUsed/>
    <w:rsid w:val="00A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3F739F6-5533-452E-8978-85ADE29ACC75}">
    <t:Anchor>
      <t:Comment id="394142114"/>
    </t:Anchor>
    <t:History>
      <t:Event id="{55631E2B-93C8-445D-908E-114D1B71AD1E}" time="2025-01-03T18:08:53.878Z">
        <t:Attribution userId="S::SarahJo.Torgrimson@mass.gov::ae28d56b-a548-404c-84aa-28114db5e0eb" userProvider="AD" userName="Torgrimson, Sarah Jo (DESE)"/>
        <t:Anchor>
          <t:Comment id="1870125849"/>
        </t:Anchor>
        <t:Create/>
      </t:Event>
      <t:Event id="{09FFC2A0-7201-4A1F-803C-BB0BB2015197}" time="2025-01-03T18:08:53.878Z">
        <t:Attribution userId="S::SarahJo.Torgrimson@mass.gov::ae28d56b-a548-404c-84aa-28114db5e0eb" userProvider="AD" userName="Torgrimson, Sarah Jo (DESE)"/>
        <t:Anchor>
          <t:Comment id="1870125849"/>
        </t:Anchor>
        <t:Assign userId="S::michol.stapel@mass.gov::d1044f1d-e774-462e-aad2-87ada66cdb3f" userProvider="AD" userName="Stapel, Michol (DESE)"/>
      </t:Event>
      <t:Event id="{0AF38750-AFAC-4F03-A588-8C70CD74EEEF}" time="2025-01-03T18:08:53.878Z">
        <t:Attribution userId="S::SarahJo.Torgrimson@mass.gov::ae28d56b-a548-404c-84aa-28114db5e0eb" userProvider="AD" userName="Torgrimson, Sarah Jo (DESE)"/>
        <t:Anchor>
          <t:Comment id="1870125849"/>
        </t:Anchor>
        <t:SetTitle title="@Stapel, Michol (DESE) do you want us to put in a footnote about this? Or are you fine with leaving as 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7ee15a-c9c3-4c6b-86ed-66f166c3c3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B30922DD8B43B21BD0FE58E6D315" ma:contentTypeVersion="13" ma:contentTypeDescription="Create a new document." ma:contentTypeScope="" ma:versionID="c60c3607d421140ced2032647e302d90">
  <xsd:schema xmlns:xsd="http://www.w3.org/2001/XMLSchema" xmlns:xs="http://www.w3.org/2001/XMLSchema" xmlns:p="http://schemas.microsoft.com/office/2006/metadata/properties" xmlns:ns3="e37ee15a-c9c3-4c6b-86ed-66f166c3c345" xmlns:ns4="1ee640b4-1de5-498f-80af-c0d7a99e7721" targetNamespace="http://schemas.microsoft.com/office/2006/metadata/properties" ma:root="true" ma:fieldsID="69377feb999ad5edf9ba51888269bfe3" ns3:_="" ns4:_="">
    <xsd:import namespace="e37ee15a-c9c3-4c6b-86ed-66f166c3c345"/>
    <xsd:import namespace="1ee640b4-1de5-498f-80af-c0d7a99e7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ee15a-c9c3-4c6b-86ed-66f166c3c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40b4-1de5-498f-80af-c0d7a99e7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CB92B-0751-4043-97E1-D9F507F82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DE760-53DD-416C-B937-B5FAF16B95A7}">
  <ds:schemaRefs>
    <ds:schemaRef ds:uri="http://schemas.microsoft.com/office/2006/metadata/properties"/>
    <ds:schemaRef ds:uri="http://schemas.microsoft.com/office/infopath/2007/PartnerControls"/>
    <ds:schemaRef ds:uri="e37ee15a-c9c3-4c6b-86ed-66f166c3c345"/>
  </ds:schemaRefs>
</ds:datastoreItem>
</file>

<file path=customXml/itemProps3.xml><?xml version="1.0" encoding="utf-8"?>
<ds:datastoreItem xmlns:ds="http://schemas.openxmlformats.org/officeDocument/2006/customXml" ds:itemID="{13030162-F822-4AB8-A18B-748C3BB63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D6722-DC3A-4225-8BF5-84A53EB8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ee15a-c9c3-4c6b-86ed-66f166c3c345"/>
    <ds:schemaRef ds:uri="1ee640b4-1de5-498f-80af-c0d7a99e7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2607</Words>
  <Characters>14432</Characters>
  <Application>Microsoft Office Word</Application>
  <DocSecurity>0</DocSecurity>
  <Lines>696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ACCESS Score Imputations</vt:lpstr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ACCESS Score Imputations</dc:title>
  <dc:subject/>
  <dc:creator>DESE</dc:creator>
  <cp:keywords>assigned scores, imputed scores</cp:keywords>
  <dc:description/>
  <cp:lastModifiedBy>Zou, Dong (EOE)</cp:lastModifiedBy>
  <cp:revision>5</cp:revision>
  <dcterms:created xsi:type="dcterms:W3CDTF">2025-01-03T20:49:00Z</dcterms:created>
  <dcterms:modified xsi:type="dcterms:W3CDTF">2025-01-06T17:33:00Z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6 2025 12:00AM</vt:lpwstr>
  </property>
</Properties>
</file>