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298B4" w14:textId="77777777" w:rsidR="00A50FD3" w:rsidRDefault="00A50FD3"/>
    <w:tbl>
      <w:tblPr>
        <w:tblW w:w="139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929"/>
      </w:tblGrid>
      <w:tr w:rsidR="00A50FD3" w14:paraId="785EB256" w14:textId="77777777" w:rsidTr="00E535EB">
        <w:trPr>
          <w:trHeight w:val="375"/>
          <w:jc w:val="center"/>
        </w:trPr>
        <w:tc>
          <w:tcPr>
            <w:tcW w:w="13929" w:type="dxa"/>
          </w:tcPr>
          <w:p w14:paraId="7F18E038" w14:textId="77777777" w:rsidR="00A50FD3" w:rsidRDefault="00303647">
            <w:pPr>
              <w:tabs>
                <w:tab w:val="left" w:pos="1332"/>
              </w:tabs>
              <w:spacing w:before="120"/>
              <w:jc w:val="center"/>
              <w:rPr>
                <w:rFonts w:ascii="Aptos" w:eastAsia="Aptos" w:hAnsi="Aptos" w:cs="Aptos"/>
                <w:sz w:val="22"/>
                <w:szCs w:val="22"/>
              </w:rPr>
            </w:pPr>
            <w:r>
              <w:rPr>
                <w:rFonts w:ascii="Aptos" w:eastAsia="Aptos" w:hAnsi="Aptos" w:cs="Aptos"/>
                <w:b/>
                <w:sz w:val="22"/>
                <w:szCs w:val="22"/>
              </w:rPr>
              <w:t>CHRONICALLY UNDERPERFORMING SCHOOLS EXIT ASSURANCES AND STRATEGIES FOR SUSTAINABILITY</w:t>
            </w:r>
          </w:p>
        </w:tc>
      </w:tr>
    </w:tbl>
    <w:p w14:paraId="63EC7FF5" w14:textId="77777777" w:rsidR="00A50FD3" w:rsidRDefault="00A50FD3">
      <w:pPr>
        <w:pStyle w:val="Title"/>
        <w:jc w:val="left"/>
        <w:rPr>
          <w:rFonts w:ascii="Aptos" w:eastAsia="Aptos" w:hAnsi="Aptos" w:cs="Aptos"/>
          <w:b w:val="0"/>
          <w:sz w:val="12"/>
          <w:szCs w:val="12"/>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4500"/>
        <w:gridCol w:w="1800"/>
        <w:gridCol w:w="1935"/>
      </w:tblGrid>
      <w:tr w:rsidR="00A50FD3" w14:paraId="4EE2E40D" w14:textId="77777777" w:rsidTr="00E535EB">
        <w:trPr>
          <w:trHeight w:val="485"/>
        </w:trPr>
        <w:tc>
          <w:tcPr>
            <w:tcW w:w="1935" w:type="dxa"/>
          </w:tcPr>
          <w:p w14:paraId="02F5B772" w14:textId="77777777" w:rsidR="00A50FD3" w:rsidRDefault="00303647">
            <w:pPr>
              <w:pStyle w:val="Title"/>
              <w:jc w:val="left"/>
              <w:rPr>
                <w:rFonts w:ascii="Aptos" w:eastAsia="Aptos" w:hAnsi="Aptos" w:cs="Aptos"/>
                <w:sz w:val="22"/>
                <w:szCs w:val="22"/>
              </w:rPr>
            </w:pPr>
            <w:r>
              <w:rPr>
                <w:rFonts w:ascii="Aptos" w:eastAsia="Aptos" w:hAnsi="Aptos" w:cs="Aptos"/>
                <w:sz w:val="22"/>
                <w:szCs w:val="22"/>
              </w:rPr>
              <w:t>District Name:</w:t>
            </w:r>
          </w:p>
        </w:tc>
        <w:tc>
          <w:tcPr>
            <w:tcW w:w="4500" w:type="dxa"/>
          </w:tcPr>
          <w:p w14:paraId="278B30EF" w14:textId="77777777" w:rsidR="00A50FD3" w:rsidRDefault="00303647">
            <w:pPr>
              <w:pStyle w:val="Title"/>
              <w:spacing w:before="120"/>
              <w:jc w:val="left"/>
              <w:rPr>
                <w:rFonts w:ascii="Aptos" w:eastAsia="Aptos" w:hAnsi="Aptos" w:cs="Aptos"/>
                <w:b w:val="0"/>
                <w:sz w:val="22"/>
                <w:szCs w:val="22"/>
              </w:rPr>
            </w:pPr>
            <w:r>
              <w:rPr>
                <w:rFonts w:ascii="Aptos" w:eastAsia="Aptos" w:hAnsi="Aptos" w:cs="Aptos"/>
                <w:b w:val="0"/>
                <w:sz w:val="22"/>
                <w:szCs w:val="22"/>
              </w:rPr>
              <w:t>New Bedford Public Schools</w:t>
            </w:r>
          </w:p>
        </w:tc>
        <w:tc>
          <w:tcPr>
            <w:tcW w:w="1800" w:type="dxa"/>
          </w:tcPr>
          <w:p w14:paraId="21E11439" w14:textId="77777777" w:rsidR="00A50FD3" w:rsidRDefault="00303647">
            <w:pPr>
              <w:pStyle w:val="Title"/>
              <w:jc w:val="left"/>
              <w:rPr>
                <w:rFonts w:ascii="Aptos" w:eastAsia="Aptos" w:hAnsi="Aptos" w:cs="Aptos"/>
                <w:sz w:val="22"/>
                <w:szCs w:val="22"/>
              </w:rPr>
            </w:pPr>
            <w:r>
              <w:rPr>
                <w:rFonts w:ascii="Aptos" w:eastAsia="Aptos" w:hAnsi="Aptos" w:cs="Aptos"/>
                <w:sz w:val="22"/>
                <w:szCs w:val="22"/>
              </w:rPr>
              <w:t>LEA Code:</w:t>
            </w:r>
          </w:p>
        </w:tc>
        <w:tc>
          <w:tcPr>
            <w:tcW w:w="1935" w:type="dxa"/>
          </w:tcPr>
          <w:p w14:paraId="52D19F8E" w14:textId="77777777" w:rsidR="00A50FD3" w:rsidRDefault="00303647">
            <w:pPr>
              <w:pStyle w:val="Title"/>
              <w:spacing w:before="120"/>
              <w:jc w:val="left"/>
              <w:rPr>
                <w:rFonts w:ascii="Aptos" w:eastAsia="Aptos" w:hAnsi="Aptos" w:cs="Aptos"/>
                <w:b w:val="0"/>
                <w:sz w:val="22"/>
                <w:szCs w:val="22"/>
              </w:rPr>
            </w:pPr>
            <w:r>
              <w:rPr>
                <w:rFonts w:ascii="Aptos" w:eastAsia="Aptos" w:hAnsi="Aptos" w:cs="Aptos"/>
                <w:b w:val="0"/>
                <w:sz w:val="22"/>
                <w:szCs w:val="22"/>
              </w:rPr>
              <w:t>02010000</w:t>
            </w:r>
          </w:p>
        </w:tc>
      </w:tr>
      <w:tr w:rsidR="00A50FD3" w14:paraId="0A402B89" w14:textId="77777777" w:rsidTr="00E535EB">
        <w:trPr>
          <w:trHeight w:val="512"/>
        </w:trPr>
        <w:tc>
          <w:tcPr>
            <w:tcW w:w="1935" w:type="dxa"/>
          </w:tcPr>
          <w:p w14:paraId="71539BEA" w14:textId="77777777" w:rsidR="00A50FD3" w:rsidRDefault="00303647">
            <w:pPr>
              <w:pStyle w:val="Title"/>
              <w:jc w:val="left"/>
              <w:rPr>
                <w:rFonts w:ascii="Aptos" w:eastAsia="Aptos" w:hAnsi="Aptos" w:cs="Aptos"/>
                <w:sz w:val="22"/>
                <w:szCs w:val="22"/>
              </w:rPr>
            </w:pPr>
            <w:r>
              <w:rPr>
                <w:rFonts w:ascii="Aptos" w:eastAsia="Aptos" w:hAnsi="Aptos" w:cs="Aptos"/>
                <w:sz w:val="22"/>
                <w:szCs w:val="22"/>
              </w:rPr>
              <w:t>School Name:</w:t>
            </w:r>
          </w:p>
        </w:tc>
        <w:tc>
          <w:tcPr>
            <w:tcW w:w="4500" w:type="dxa"/>
          </w:tcPr>
          <w:p w14:paraId="2F914E01" w14:textId="77777777" w:rsidR="00A50FD3" w:rsidRDefault="00303647">
            <w:pPr>
              <w:pStyle w:val="Title"/>
              <w:spacing w:before="120"/>
              <w:jc w:val="left"/>
              <w:rPr>
                <w:rFonts w:ascii="Aptos" w:eastAsia="Aptos" w:hAnsi="Aptos" w:cs="Aptos"/>
                <w:b w:val="0"/>
                <w:sz w:val="22"/>
                <w:szCs w:val="22"/>
              </w:rPr>
            </w:pPr>
            <w:r>
              <w:rPr>
                <w:rFonts w:ascii="Aptos" w:eastAsia="Aptos" w:hAnsi="Aptos" w:cs="Aptos"/>
                <w:b w:val="0"/>
                <w:sz w:val="22"/>
                <w:szCs w:val="22"/>
              </w:rPr>
              <w:t>John Avery Parker Elementary School</w:t>
            </w:r>
          </w:p>
        </w:tc>
        <w:tc>
          <w:tcPr>
            <w:tcW w:w="1800" w:type="dxa"/>
          </w:tcPr>
          <w:p w14:paraId="746A48B6" w14:textId="77777777" w:rsidR="00A50FD3" w:rsidRDefault="00303647">
            <w:pPr>
              <w:pStyle w:val="Title"/>
              <w:jc w:val="left"/>
              <w:rPr>
                <w:rFonts w:ascii="Aptos" w:eastAsia="Aptos" w:hAnsi="Aptos" w:cs="Aptos"/>
                <w:sz w:val="22"/>
                <w:szCs w:val="22"/>
              </w:rPr>
            </w:pPr>
            <w:r>
              <w:rPr>
                <w:rFonts w:ascii="Aptos" w:eastAsia="Aptos" w:hAnsi="Aptos" w:cs="Aptos"/>
                <w:sz w:val="22"/>
                <w:szCs w:val="22"/>
              </w:rPr>
              <w:t>School Code:</w:t>
            </w:r>
          </w:p>
        </w:tc>
        <w:tc>
          <w:tcPr>
            <w:tcW w:w="1935" w:type="dxa"/>
          </w:tcPr>
          <w:p w14:paraId="2C7471D8" w14:textId="77777777" w:rsidR="00A50FD3" w:rsidRDefault="00303647">
            <w:pPr>
              <w:pStyle w:val="Title"/>
              <w:spacing w:before="120"/>
              <w:jc w:val="left"/>
              <w:rPr>
                <w:rFonts w:ascii="Aptos" w:eastAsia="Aptos" w:hAnsi="Aptos" w:cs="Aptos"/>
                <w:b w:val="0"/>
                <w:sz w:val="22"/>
                <w:szCs w:val="22"/>
              </w:rPr>
            </w:pPr>
            <w:r>
              <w:rPr>
                <w:rFonts w:ascii="Aptos" w:eastAsia="Aptos" w:hAnsi="Aptos" w:cs="Aptos"/>
                <w:b w:val="0"/>
                <w:sz w:val="22"/>
                <w:szCs w:val="22"/>
              </w:rPr>
              <w:t>02010115</w:t>
            </w:r>
          </w:p>
        </w:tc>
      </w:tr>
    </w:tbl>
    <w:p w14:paraId="5AD2E5DC" w14:textId="77777777" w:rsidR="00A50FD3" w:rsidRDefault="00A50FD3">
      <w:pPr>
        <w:rPr>
          <w:rFonts w:ascii="Aptos" w:eastAsia="Aptos" w:hAnsi="Aptos" w:cs="Aptos"/>
          <w:sz w:val="12"/>
          <w:szCs w:val="12"/>
        </w:rPr>
      </w:pPr>
    </w:p>
    <w:p w14:paraId="67C90083" w14:textId="77777777" w:rsidR="00A50FD3" w:rsidRDefault="00303647">
      <w:pPr>
        <w:rPr>
          <w:rFonts w:ascii="Aptos" w:eastAsia="Aptos" w:hAnsi="Aptos" w:cs="Aptos"/>
          <w:sz w:val="22"/>
          <w:szCs w:val="22"/>
        </w:rPr>
      </w:pPr>
      <w:r>
        <w:rPr>
          <w:rFonts w:ascii="Aptos" w:eastAsia="Aptos" w:hAnsi="Aptos" w:cs="Aptos"/>
          <w:sz w:val="22"/>
          <w:szCs w:val="22"/>
        </w:rPr>
        <w:t xml:space="preserve">The following has been developed consistent with M.G.L. Chapter 69, Section 1J and 603 CMR 2.06 to define the features of the turnaround plan that will continue for a transitional period upon the Commissioner’s removal of a school from chronically underperforming status. </w:t>
      </w:r>
    </w:p>
    <w:p w14:paraId="25258865" w14:textId="77777777" w:rsidR="00A50FD3" w:rsidRDefault="00303647">
      <w:pPr>
        <w:pStyle w:val="Heading2"/>
        <w:shd w:val="clear" w:color="auto" w:fill="BFBFBF"/>
        <w:tabs>
          <w:tab w:val="right" w:pos="14490"/>
        </w:tabs>
        <w:ind w:left="-90" w:right="-90"/>
        <w:rPr>
          <w:rFonts w:ascii="Aptos" w:eastAsia="Aptos" w:hAnsi="Aptos" w:cs="Aptos"/>
          <w:i w:val="0"/>
        </w:rPr>
      </w:pPr>
      <w:r>
        <w:rPr>
          <w:rFonts w:ascii="Aptos" w:eastAsia="Aptos" w:hAnsi="Aptos" w:cs="Aptos"/>
          <w:i w:val="0"/>
        </w:rPr>
        <w:t>CONTINUED FEATURES OF TURNAROUND PLAN</w:t>
      </w:r>
    </w:p>
    <w:p w14:paraId="2BEE4643" w14:textId="77777777" w:rsidR="00A50FD3" w:rsidRDefault="00A50FD3">
      <w:pPr>
        <w:ind w:left="180"/>
        <w:rPr>
          <w:rFonts w:ascii="Aptos" w:eastAsia="Aptos" w:hAnsi="Aptos" w:cs="Aptos"/>
          <w:sz w:val="10"/>
          <w:szCs w:val="10"/>
        </w:rPr>
      </w:pPr>
    </w:p>
    <w:p w14:paraId="6F0A3B53" w14:textId="77777777" w:rsidR="00A50FD3" w:rsidRDefault="00303647">
      <w:pPr>
        <w:rPr>
          <w:rFonts w:ascii="Aptos" w:eastAsia="Aptos" w:hAnsi="Aptos" w:cs="Aptos"/>
          <w:b/>
          <w:sz w:val="22"/>
          <w:szCs w:val="22"/>
        </w:rPr>
      </w:pPr>
      <w:r>
        <w:rPr>
          <w:rFonts w:ascii="Aptos" w:eastAsia="Aptos" w:hAnsi="Aptos" w:cs="Aptos"/>
          <w:b/>
          <w:sz w:val="22"/>
          <w:szCs w:val="22"/>
        </w:rPr>
        <w:t>The following table lists the features of the turnaround plan that will be continued for a transitional period</w:t>
      </w:r>
      <w:r>
        <w:rPr>
          <w:rFonts w:ascii="Aptos" w:eastAsia="Aptos" w:hAnsi="Aptos" w:cs="Aptos"/>
          <w:b/>
          <w:sz w:val="22"/>
          <w:szCs w:val="22"/>
          <w:vertAlign w:val="superscript"/>
        </w:rPr>
        <w:footnoteReference w:id="1"/>
      </w:r>
      <w:r>
        <w:rPr>
          <w:rFonts w:ascii="Aptos" w:eastAsia="Aptos" w:hAnsi="Aptos" w:cs="Aptos"/>
          <w:b/>
          <w:sz w:val="22"/>
          <w:szCs w:val="22"/>
        </w:rPr>
        <w:t xml:space="preserve"> beyond the school’s exit from receivership. </w:t>
      </w: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2"/>
      </w:tblGrid>
      <w:tr w:rsidR="00A50FD3" w14:paraId="7808E069" w14:textId="77777777" w:rsidTr="00E535EB">
        <w:trPr>
          <w:trHeight w:val="300"/>
        </w:trPr>
        <w:tc>
          <w:tcPr>
            <w:tcW w:w="10612" w:type="dxa"/>
          </w:tcPr>
          <w:p w14:paraId="7692C7D3" w14:textId="77777777" w:rsidR="00A50FD3" w:rsidRDefault="00303647">
            <w:pPr>
              <w:ind w:left="180"/>
              <w:jc w:val="center"/>
              <w:rPr>
                <w:rFonts w:ascii="Aptos" w:eastAsia="Aptos" w:hAnsi="Aptos" w:cs="Aptos"/>
                <w:sz w:val="24"/>
              </w:rPr>
            </w:pPr>
            <w:r>
              <w:rPr>
                <w:rFonts w:ascii="Aptos" w:eastAsia="Aptos" w:hAnsi="Aptos" w:cs="Aptos"/>
                <w:b/>
                <w:sz w:val="24"/>
              </w:rPr>
              <w:t>Turnaround Plan Feature</w:t>
            </w:r>
          </w:p>
        </w:tc>
      </w:tr>
      <w:tr w:rsidR="00A50FD3" w14:paraId="69672694" w14:textId="77777777" w:rsidTr="00E535EB">
        <w:trPr>
          <w:trHeight w:val="300"/>
        </w:trPr>
        <w:tc>
          <w:tcPr>
            <w:tcW w:w="10612" w:type="dxa"/>
          </w:tcPr>
          <w:p w14:paraId="0796189B" w14:textId="77777777" w:rsidR="00A50FD3" w:rsidRDefault="00303647">
            <w:pPr>
              <w:ind w:left="180"/>
              <w:rPr>
                <w:rFonts w:ascii="Aptos" w:eastAsia="Aptos" w:hAnsi="Aptos" w:cs="Aptos"/>
                <w:i/>
                <w:sz w:val="22"/>
                <w:szCs w:val="22"/>
              </w:rPr>
            </w:pPr>
            <w:r>
              <w:rPr>
                <w:rFonts w:ascii="Aptos" w:eastAsia="Aptos" w:hAnsi="Aptos" w:cs="Aptos"/>
                <w:sz w:val="22"/>
                <w:szCs w:val="22"/>
              </w:rPr>
              <w:t> </w:t>
            </w:r>
            <w:r>
              <w:rPr>
                <w:rFonts w:ascii="Aptos" w:eastAsia="Aptos" w:hAnsi="Aptos" w:cs="Aptos"/>
                <w:i/>
                <w:sz w:val="22"/>
                <w:szCs w:val="22"/>
              </w:rPr>
              <w:t xml:space="preserve">Priority Area 1: Maximize and accelerate student achievement by increasing the rigor of classroom instruction in every classroom for every student every day. </w:t>
            </w:r>
          </w:p>
          <w:p w14:paraId="243A9A8C" w14:textId="77777777" w:rsidR="00A50FD3" w:rsidRDefault="00303647">
            <w:pPr>
              <w:numPr>
                <w:ilvl w:val="0"/>
                <w:numId w:val="5"/>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Continue to train all staff in evidence-based strategies for cultivating student belonging and creating a safe, inclusive environment.</w:t>
            </w:r>
          </w:p>
          <w:p w14:paraId="7747B516" w14:textId="77777777" w:rsidR="00A50FD3" w:rsidRDefault="00303647">
            <w:pPr>
              <w:numPr>
                <w:ilvl w:val="0"/>
                <w:numId w:val="5"/>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 xml:space="preserve"> Continue to create strong developmental relationships and engagement across culturally and linguistically diverse learners, guided primarily by the principles of Zaretta Hammond’s “Ready for Rigor” framework.</w:t>
            </w:r>
          </w:p>
          <w:p w14:paraId="14FB1118" w14:textId="77777777" w:rsidR="00A50FD3" w:rsidRDefault="00303647">
            <w:pPr>
              <w:numPr>
                <w:ilvl w:val="0"/>
                <w:numId w:val="5"/>
              </w:numPr>
              <w:pBdr>
                <w:top w:val="nil"/>
                <w:left w:val="nil"/>
                <w:bottom w:val="nil"/>
                <w:right w:val="nil"/>
                <w:between w:val="nil"/>
              </w:pBdr>
              <w:spacing w:line="259" w:lineRule="auto"/>
              <w:rPr>
                <w:rFonts w:ascii="Aptos" w:eastAsia="Aptos" w:hAnsi="Aptos" w:cs="Aptos"/>
                <w:color w:val="000000"/>
                <w:sz w:val="22"/>
                <w:szCs w:val="22"/>
              </w:rPr>
            </w:pPr>
            <w:r>
              <w:rPr>
                <w:rFonts w:ascii="Aptos" w:eastAsia="Aptos" w:hAnsi="Aptos" w:cs="Aptos"/>
                <w:color w:val="000000"/>
                <w:sz w:val="22"/>
                <w:szCs w:val="22"/>
              </w:rPr>
              <w:t>Continue to support schoolwide implementation of culturally and linguistically responsive pedagogy aligned with Zaretta Hammond’s “Ready for Rigor” framework.</w:t>
            </w:r>
          </w:p>
          <w:p w14:paraId="7ECB822F" w14:textId="77777777" w:rsidR="00A50FD3" w:rsidRDefault="00303647">
            <w:pPr>
              <w:numPr>
                <w:ilvl w:val="0"/>
                <w:numId w:val="5"/>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Continue to implement evidence-based instructional programs that support inquiry, discourse, and skill development through relevant and complex tasks.</w:t>
            </w:r>
          </w:p>
          <w:p w14:paraId="604E3551" w14:textId="77777777" w:rsidR="00A50FD3" w:rsidRDefault="00303647">
            <w:pPr>
              <w:numPr>
                <w:ilvl w:val="0"/>
                <w:numId w:val="5"/>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Continue to train all teachers in Systemic Functional Linguistics as a framework for developing teacher knowledge about language, language use across domains, and critical aspects of language development for diverse learners.</w:t>
            </w:r>
          </w:p>
          <w:p w14:paraId="3360422A" w14:textId="77777777" w:rsidR="00A50FD3" w:rsidRDefault="00303647">
            <w:pPr>
              <w:numPr>
                <w:ilvl w:val="0"/>
                <w:numId w:val="5"/>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Optimize staff schedules to support a co-teaching model of instruction, supported by time for common planning among classroom teachers, special education staff, English as a Second Language educators, and interventionists.</w:t>
            </w:r>
          </w:p>
          <w:p w14:paraId="0ED701A7" w14:textId="77777777" w:rsidR="00A50FD3" w:rsidRDefault="00A50FD3">
            <w:pPr>
              <w:rPr>
                <w:rFonts w:ascii="Aptos" w:eastAsia="Aptos" w:hAnsi="Aptos" w:cs="Aptos"/>
                <w:sz w:val="22"/>
                <w:szCs w:val="22"/>
              </w:rPr>
            </w:pPr>
          </w:p>
        </w:tc>
      </w:tr>
      <w:tr w:rsidR="00A50FD3" w14:paraId="3C4504BF" w14:textId="77777777" w:rsidTr="00E535EB">
        <w:trPr>
          <w:trHeight w:val="300"/>
        </w:trPr>
        <w:tc>
          <w:tcPr>
            <w:tcW w:w="10612" w:type="dxa"/>
          </w:tcPr>
          <w:p w14:paraId="353FDD79" w14:textId="77777777" w:rsidR="00A50FD3" w:rsidRDefault="00303647">
            <w:pPr>
              <w:ind w:left="180"/>
              <w:rPr>
                <w:rFonts w:ascii="Aptos" w:eastAsia="Aptos" w:hAnsi="Aptos" w:cs="Aptos"/>
                <w:i/>
                <w:sz w:val="22"/>
                <w:szCs w:val="22"/>
              </w:rPr>
            </w:pPr>
            <w:r>
              <w:rPr>
                <w:rFonts w:ascii="Aptos" w:eastAsia="Aptos" w:hAnsi="Aptos" w:cs="Aptos"/>
                <w:i/>
                <w:sz w:val="22"/>
                <w:szCs w:val="22"/>
              </w:rPr>
              <w:t>Priority Area 2: Establish school structures and systems to ensure that all students have teachers who are proficient in delivering rigorous instruction and maximize instructional time.</w:t>
            </w:r>
          </w:p>
          <w:p w14:paraId="6E203F66" w14:textId="77777777" w:rsidR="00A50FD3" w:rsidRDefault="00303647">
            <w:pPr>
              <w:numPr>
                <w:ilvl w:val="0"/>
                <w:numId w:val="5"/>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Continue to extend professional development time for Parker staff, to include up to six additional days during the summer and weekly professional development time.</w:t>
            </w:r>
          </w:p>
          <w:p w14:paraId="662D2117" w14:textId="77777777" w:rsidR="00A50FD3" w:rsidRDefault="00303647">
            <w:pPr>
              <w:numPr>
                <w:ilvl w:val="0"/>
                <w:numId w:val="5"/>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Implement a teacher feedback system to understand educator growth experiences; conduct regular Educator Development Review meetings to review needs and inform coaching and training strategies.</w:t>
            </w:r>
          </w:p>
          <w:p w14:paraId="6C5B6511" w14:textId="77777777" w:rsidR="00A50FD3" w:rsidRDefault="00303647">
            <w:pPr>
              <w:numPr>
                <w:ilvl w:val="0"/>
                <w:numId w:val="5"/>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Continue Parker’s extended school day and school year calendar, which includes up to 192 instructional days a year and up to 7.5 hours for students per full day of school.</w:t>
            </w:r>
          </w:p>
          <w:p w14:paraId="094124BB" w14:textId="77777777" w:rsidR="00A50FD3" w:rsidRDefault="00303647">
            <w:pPr>
              <w:numPr>
                <w:ilvl w:val="0"/>
                <w:numId w:val="5"/>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Continue to implement a performance-based compensation system that rewards teacher effectiveness, professional growth, and student academic growth and pays competitive wages.</w:t>
            </w:r>
          </w:p>
          <w:p w14:paraId="232ACE9C" w14:textId="77777777" w:rsidR="00A50FD3" w:rsidRDefault="00303647">
            <w:pPr>
              <w:numPr>
                <w:ilvl w:val="0"/>
                <w:numId w:val="5"/>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Continue to identify teacher leaders at each grade level who facilitate teacher collaboration time and support instructional planning.</w:t>
            </w:r>
          </w:p>
        </w:tc>
      </w:tr>
      <w:tr w:rsidR="00A50FD3" w14:paraId="28513CCA" w14:textId="77777777" w:rsidTr="00E535EB">
        <w:trPr>
          <w:trHeight w:val="300"/>
        </w:trPr>
        <w:tc>
          <w:tcPr>
            <w:tcW w:w="10612" w:type="dxa"/>
          </w:tcPr>
          <w:p w14:paraId="3ED3F791" w14:textId="77777777" w:rsidR="00A50FD3" w:rsidRDefault="00303647">
            <w:pPr>
              <w:ind w:left="180"/>
              <w:rPr>
                <w:rFonts w:ascii="Aptos" w:eastAsia="Aptos" w:hAnsi="Aptos" w:cs="Aptos"/>
                <w:i/>
                <w:sz w:val="22"/>
                <w:szCs w:val="22"/>
              </w:rPr>
            </w:pPr>
            <w:r>
              <w:rPr>
                <w:rFonts w:ascii="Aptos" w:eastAsia="Aptos" w:hAnsi="Aptos" w:cs="Aptos"/>
                <w:i/>
                <w:sz w:val="22"/>
                <w:szCs w:val="22"/>
              </w:rPr>
              <w:t>Priority 3: Provide students with appropriate supports and acceleration opportunities to maximize their learning by using data to differentiate instruction and identifying opportunities for intervention and enrichment.</w:t>
            </w:r>
          </w:p>
          <w:p w14:paraId="64CD49E5" w14:textId="77777777" w:rsidR="00A50FD3" w:rsidRDefault="00303647">
            <w:pPr>
              <w:numPr>
                <w:ilvl w:val="0"/>
                <w:numId w:val="5"/>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lastRenderedPageBreak/>
              <w:t>Continue to train all staff on Parker’s Planning for Learning Cycle, a seven-step instructional planning process that is grounded in the neuroscience of learning and aligned to the tenets of culturally responsive teaching.</w:t>
            </w:r>
          </w:p>
          <w:p w14:paraId="3298B653" w14:textId="77777777" w:rsidR="00A50FD3" w:rsidRDefault="00303647">
            <w:pPr>
              <w:numPr>
                <w:ilvl w:val="0"/>
                <w:numId w:val="5"/>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Continue to implement social emotional support activities for all students.</w:t>
            </w:r>
          </w:p>
          <w:p w14:paraId="279769B7" w14:textId="77777777" w:rsidR="00A50FD3" w:rsidRDefault="00303647">
            <w:pPr>
              <w:numPr>
                <w:ilvl w:val="0"/>
                <w:numId w:val="5"/>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Continue to provide training to staff so they can recognize social emotional skill development needs that affect a student’s ability to participate fully in the classroom learning environment.</w:t>
            </w:r>
          </w:p>
          <w:p w14:paraId="76BF69F8" w14:textId="77777777" w:rsidR="00A50FD3" w:rsidRDefault="00303647">
            <w:pPr>
              <w:numPr>
                <w:ilvl w:val="0"/>
                <w:numId w:val="5"/>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Continue to build out a system of extended learning opportunities (afterschool, vacation, summer, etc.) that provide alternative settings for developing core skills, social emotional wellness, and confidence. This includes creating a Positive Youth Development coordinator position to oversee the development of an extended learning opportunity system.</w:t>
            </w:r>
          </w:p>
        </w:tc>
      </w:tr>
      <w:tr w:rsidR="00A50FD3" w14:paraId="0BEDD39B" w14:textId="77777777" w:rsidTr="00E535EB">
        <w:trPr>
          <w:trHeight w:val="300"/>
        </w:trPr>
        <w:tc>
          <w:tcPr>
            <w:tcW w:w="10612" w:type="dxa"/>
          </w:tcPr>
          <w:p w14:paraId="4F95E839" w14:textId="77777777" w:rsidR="00A50FD3" w:rsidRDefault="00303647">
            <w:pPr>
              <w:ind w:left="180"/>
              <w:rPr>
                <w:rFonts w:ascii="Aptos" w:eastAsia="Aptos" w:hAnsi="Aptos" w:cs="Aptos"/>
                <w:i/>
                <w:sz w:val="22"/>
                <w:szCs w:val="22"/>
              </w:rPr>
            </w:pPr>
            <w:r>
              <w:rPr>
                <w:rFonts w:ascii="Aptos" w:eastAsia="Aptos" w:hAnsi="Aptos" w:cs="Aptos"/>
                <w:i/>
                <w:sz w:val="22"/>
                <w:szCs w:val="22"/>
              </w:rPr>
              <w:lastRenderedPageBreak/>
              <w:t>Priority Area 4: Ensure that all students succeed academically by establishing a climate that focuses on learning and engaging families as partners in student learning.</w:t>
            </w:r>
          </w:p>
          <w:p w14:paraId="44FAC08D" w14:textId="77777777" w:rsidR="00A50FD3" w:rsidRDefault="00303647">
            <w:pPr>
              <w:numPr>
                <w:ilvl w:val="0"/>
                <w:numId w:val="5"/>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Continue to use family engagement nights to help families understand how to support academic and social emotional development and connect to resources.</w:t>
            </w:r>
          </w:p>
          <w:p w14:paraId="62B9C600" w14:textId="77777777" w:rsidR="00A50FD3" w:rsidRDefault="00303647">
            <w:pPr>
              <w:numPr>
                <w:ilvl w:val="0"/>
                <w:numId w:val="5"/>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Continue to conduct regular family focus groups to inform decision-making by school leaders.</w:t>
            </w:r>
          </w:p>
        </w:tc>
      </w:tr>
      <w:tr w:rsidR="00A50FD3" w14:paraId="25F44AA3" w14:textId="77777777" w:rsidTr="00E535EB">
        <w:trPr>
          <w:trHeight w:val="300"/>
        </w:trPr>
        <w:tc>
          <w:tcPr>
            <w:tcW w:w="10612" w:type="dxa"/>
          </w:tcPr>
          <w:p w14:paraId="3DDBA079" w14:textId="77777777" w:rsidR="00A50FD3" w:rsidRDefault="00303647">
            <w:pPr>
              <w:ind w:left="180"/>
              <w:rPr>
                <w:rFonts w:ascii="Aptos" w:eastAsia="Aptos" w:hAnsi="Aptos" w:cs="Aptos"/>
                <w:i/>
                <w:sz w:val="22"/>
                <w:szCs w:val="22"/>
              </w:rPr>
            </w:pPr>
            <w:r>
              <w:rPr>
                <w:rFonts w:ascii="Aptos" w:eastAsia="Aptos" w:hAnsi="Aptos" w:cs="Aptos"/>
                <w:i/>
                <w:sz w:val="22"/>
                <w:szCs w:val="22"/>
              </w:rPr>
              <w:t> Appendix A: Working Conditions and Compensation for Chronically Underperforming Schools</w:t>
            </w:r>
          </w:p>
          <w:p w14:paraId="2DA82085" w14:textId="77777777" w:rsidR="00A50FD3" w:rsidRDefault="00303647">
            <w:pPr>
              <w:numPr>
                <w:ilvl w:val="0"/>
                <w:numId w:val="5"/>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Part II: Professional Compensation System</w:t>
            </w:r>
          </w:p>
        </w:tc>
      </w:tr>
    </w:tbl>
    <w:p w14:paraId="27E00B29" w14:textId="77777777" w:rsidR="00A50FD3" w:rsidRDefault="00303647">
      <w:pPr>
        <w:rPr>
          <w:rFonts w:ascii="Aptos" w:eastAsia="Aptos" w:hAnsi="Aptos" w:cs="Aptos"/>
          <w:b/>
          <w:sz w:val="22"/>
          <w:szCs w:val="22"/>
        </w:rPr>
      </w:pPr>
      <w:r>
        <w:rPr>
          <w:rFonts w:ascii="Aptos" w:eastAsia="Aptos" w:hAnsi="Aptos" w:cs="Aptos"/>
          <w:b/>
          <w:sz w:val="22"/>
          <w:szCs w:val="22"/>
        </w:rPr>
        <w:t xml:space="preserve">Throughout a transitional period, the Department will periodically monitor the school’s progress using the following metrics. </w:t>
      </w:r>
    </w:p>
    <w:tbl>
      <w:tblPr>
        <w:tblStyle w:val="aa"/>
        <w:tblW w:w="10612"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20" w:firstRow="1" w:lastRow="0" w:firstColumn="0" w:lastColumn="0" w:noHBand="0" w:noVBand="1"/>
      </w:tblPr>
      <w:tblGrid>
        <w:gridCol w:w="6765"/>
        <w:gridCol w:w="3847"/>
      </w:tblGrid>
      <w:tr w:rsidR="00A50FD3" w14:paraId="1839F7F9" w14:textId="77777777" w:rsidTr="00E535EB">
        <w:trPr>
          <w:trHeight w:val="300"/>
        </w:trPr>
        <w:tc>
          <w:tcPr>
            <w:tcW w:w="6765" w:type="dxa"/>
            <w:tcBorders>
              <w:top w:val="single" w:sz="6" w:space="0" w:color="000000"/>
              <w:left w:val="single" w:sz="6" w:space="0" w:color="000000"/>
              <w:bottom w:val="single" w:sz="6" w:space="0" w:color="000000"/>
              <w:right w:val="single" w:sz="6" w:space="0" w:color="000000"/>
            </w:tcBorders>
            <w:shd w:val="clear" w:color="auto" w:fill="F2F2F2"/>
          </w:tcPr>
          <w:p w14:paraId="5918E35C" w14:textId="77777777" w:rsidR="00A50FD3" w:rsidRDefault="00303647">
            <w:pPr>
              <w:jc w:val="center"/>
              <w:rPr>
                <w:rFonts w:ascii="Aptos" w:eastAsia="Aptos" w:hAnsi="Aptos" w:cs="Aptos"/>
                <w:b/>
                <w:sz w:val="24"/>
              </w:rPr>
            </w:pPr>
            <w:r>
              <w:rPr>
                <w:rFonts w:ascii="Aptos" w:eastAsia="Aptos" w:hAnsi="Aptos" w:cs="Aptos"/>
                <w:b/>
                <w:sz w:val="24"/>
              </w:rPr>
              <w:t>Progress Metric</w:t>
            </w:r>
          </w:p>
        </w:tc>
        <w:tc>
          <w:tcPr>
            <w:tcW w:w="3847" w:type="dxa"/>
            <w:tcBorders>
              <w:top w:val="single" w:sz="6" w:space="0" w:color="000000"/>
              <w:left w:val="single" w:sz="6" w:space="0" w:color="000000"/>
              <w:bottom w:val="single" w:sz="6" w:space="0" w:color="000000"/>
              <w:right w:val="single" w:sz="6" w:space="0" w:color="000000"/>
            </w:tcBorders>
            <w:shd w:val="clear" w:color="auto" w:fill="F2F2F2"/>
          </w:tcPr>
          <w:p w14:paraId="2AD7147E" w14:textId="77777777" w:rsidR="00A50FD3" w:rsidRDefault="00303647">
            <w:pPr>
              <w:jc w:val="center"/>
              <w:rPr>
                <w:rFonts w:ascii="Aptos" w:eastAsia="Aptos" w:hAnsi="Aptos" w:cs="Aptos"/>
                <w:b/>
                <w:sz w:val="24"/>
              </w:rPr>
            </w:pPr>
            <w:r>
              <w:rPr>
                <w:rFonts w:ascii="Aptos" w:eastAsia="Aptos" w:hAnsi="Aptos" w:cs="Aptos"/>
                <w:b/>
                <w:sz w:val="24"/>
              </w:rPr>
              <w:t>Aligned Turnaround Plan Strategy</w:t>
            </w:r>
          </w:p>
        </w:tc>
      </w:tr>
      <w:tr w:rsidR="00A50FD3" w14:paraId="5900ECFC" w14:textId="77777777" w:rsidTr="00E535EB">
        <w:trPr>
          <w:trHeight w:val="300"/>
        </w:trPr>
        <w:tc>
          <w:tcPr>
            <w:tcW w:w="6765" w:type="dxa"/>
            <w:tcBorders>
              <w:top w:val="single" w:sz="6" w:space="0" w:color="000000"/>
              <w:left w:val="single" w:sz="6" w:space="0" w:color="000000"/>
              <w:bottom w:val="single" w:sz="6" w:space="0" w:color="000000"/>
              <w:right w:val="single" w:sz="6" w:space="0" w:color="000000"/>
            </w:tcBorders>
            <w:shd w:val="clear" w:color="auto" w:fill="auto"/>
          </w:tcPr>
          <w:p w14:paraId="02EAC8E7" w14:textId="77777777" w:rsidR="00A50FD3" w:rsidRDefault="00303647">
            <w:pPr>
              <w:rPr>
                <w:rFonts w:ascii="Aptos" w:eastAsia="Aptos" w:hAnsi="Aptos" w:cs="Aptos"/>
                <w:sz w:val="22"/>
                <w:szCs w:val="22"/>
              </w:rPr>
            </w:pPr>
            <w:r>
              <w:rPr>
                <w:rFonts w:ascii="Aptos" w:eastAsia="Aptos" w:hAnsi="Aptos" w:cs="Aptos"/>
                <w:sz w:val="22"/>
                <w:szCs w:val="22"/>
              </w:rPr>
              <w:t>Participation of Parker leaders in NBPS learning walk system to build capacity to monitor instructional quality</w:t>
            </w:r>
          </w:p>
        </w:tc>
        <w:tc>
          <w:tcPr>
            <w:tcW w:w="3847" w:type="dxa"/>
            <w:tcBorders>
              <w:top w:val="single" w:sz="6" w:space="0" w:color="000000"/>
              <w:left w:val="single" w:sz="6" w:space="0" w:color="000000"/>
              <w:bottom w:val="single" w:sz="6" w:space="0" w:color="000000"/>
              <w:right w:val="single" w:sz="6" w:space="0" w:color="000000"/>
            </w:tcBorders>
            <w:shd w:val="clear" w:color="auto" w:fill="auto"/>
          </w:tcPr>
          <w:p w14:paraId="0429F74D" w14:textId="77777777" w:rsidR="00A50FD3" w:rsidRDefault="00303647">
            <w:pPr>
              <w:jc w:val="center"/>
              <w:rPr>
                <w:rFonts w:ascii="Aptos" w:eastAsia="Aptos" w:hAnsi="Aptos" w:cs="Aptos"/>
                <w:sz w:val="22"/>
                <w:szCs w:val="22"/>
              </w:rPr>
            </w:pPr>
            <w:r>
              <w:rPr>
                <w:rFonts w:ascii="Aptos" w:eastAsia="Aptos" w:hAnsi="Aptos" w:cs="Aptos"/>
                <w:sz w:val="22"/>
                <w:szCs w:val="22"/>
              </w:rPr>
              <w:t>Priority 2 &amp; 3</w:t>
            </w:r>
          </w:p>
        </w:tc>
      </w:tr>
      <w:tr w:rsidR="00A50FD3" w14:paraId="38201A12" w14:textId="77777777" w:rsidTr="00E535EB">
        <w:trPr>
          <w:trHeight w:val="300"/>
        </w:trPr>
        <w:tc>
          <w:tcPr>
            <w:tcW w:w="6765" w:type="dxa"/>
            <w:tcBorders>
              <w:top w:val="single" w:sz="6" w:space="0" w:color="000000"/>
              <w:left w:val="single" w:sz="6" w:space="0" w:color="000000"/>
              <w:bottom w:val="single" w:sz="6" w:space="0" w:color="000000"/>
              <w:right w:val="single" w:sz="6" w:space="0" w:color="000000"/>
            </w:tcBorders>
            <w:shd w:val="clear" w:color="auto" w:fill="auto"/>
          </w:tcPr>
          <w:p w14:paraId="1390703C" w14:textId="77777777" w:rsidR="00A50FD3" w:rsidRDefault="00303647">
            <w:pPr>
              <w:rPr>
                <w:rFonts w:ascii="Aptos" w:eastAsia="Aptos" w:hAnsi="Aptos" w:cs="Aptos"/>
                <w:sz w:val="22"/>
                <w:szCs w:val="22"/>
              </w:rPr>
            </w:pPr>
            <w:r>
              <w:rPr>
                <w:rFonts w:ascii="Aptos" w:eastAsia="Aptos" w:hAnsi="Aptos" w:cs="Aptos"/>
                <w:sz w:val="22"/>
                <w:szCs w:val="22"/>
              </w:rPr>
              <w:t>Percentage of students who are English learners making progress toward English proficiency as measured by ACCESS</w:t>
            </w:r>
          </w:p>
        </w:tc>
        <w:tc>
          <w:tcPr>
            <w:tcW w:w="3847" w:type="dxa"/>
            <w:tcBorders>
              <w:top w:val="single" w:sz="6" w:space="0" w:color="000000"/>
              <w:left w:val="single" w:sz="6" w:space="0" w:color="000000"/>
              <w:bottom w:val="single" w:sz="6" w:space="0" w:color="000000"/>
              <w:right w:val="single" w:sz="6" w:space="0" w:color="000000"/>
            </w:tcBorders>
            <w:shd w:val="clear" w:color="auto" w:fill="auto"/>
          </w:tcPr>
          <w:p w14:paraId="272E592F" w14:textId="77777777" w:rsidR="00A50FD3" w:rsidRDefault="00303647">
            <w:pPr>
              <w:jc w:val="center"/>
              <w:rPr>
                <w:rFonts w:ascii="Aptos" w:eastAsia="Aptos" w:hAnsi="Aptos" w:cs="Aptos"/>
                <w:sz w:val="22"/>
                <w:szCs w:val="22"/>
              </w:rPr>
            </w:pPr>
            <w:r>
              <w:rPr>
                <w:rFonts w:ascii="Aptos" w:eastAsia="Aptos" w:hAnsi="Aptos" w:cs="Aptos"/>
                <w:sz w:val="22"/>
                <w:szCs w:val="22"/>
              </w:rPr>
              <w:t>Priority 1</w:t>
            </w:r>
          </w:p>
        </w:tc>
      </w:tr>
      <w:tr w:rsidR="00A50FD3" w14:paraId="563A06FE" w14:textId="77777777" w:rsidTr="00E535EB">
        <w:trPr>
          <w:trHeight w:val="300"/>
        </w:trPr>
        <w:tc>
          <w:tcPr>
            <w:tcW w:w="6765" w:type="dxa"/>
            <w:tcBorders>
              <w:top w:val="single" w:sz="6" w:space="0" w:color="000000"/>
              <w:left w:val="single" w:sz="6" w:space="0" w:color="000000"/>
              <w:bottom w:val="single" w:sz="6" w:space="0" w:color="000000"/>
              <w:right w:val="single" w:sz="6" w:space="0" w:color="000000"/>
            </w:tcBorders>
            <w:shd w:val="clear" w:color="auto" w:fill="auto"/>
          </w:tcPr>
          <w:p w14:paraId="4294EEA5" w14:textId="77777777" w:rsidR="00A50FD3" w:rsidRDefault="00303647">
            <w:pPr>
              <w:rPr>
                <w:rFonts w:ascii="Aptos" w:eastAsia="Aptos" w:hAnsi="Aptos" w:cs="Aptos"/>
                <w:sz w:val="22"/>
                <w:szCs w:val="22"/>
              </w:rPr>
            </w:pPr>
            <w:r>
              <w:rPr>
                <w:rFonts w:ascii="Aptos" w:eastAsia="Aptos" w:hAnsi="Aptos" w:cs="Aptos"/>
                <w:sz w:val="22"/>
                <w:szCs w:val="22"/>
              </w:rPr>
              <w:t>Percentage of students meeting or exceeding expectations on unit-end assessments in math, ELA, and science</w:t>
            </w:r>
          </w:p>
        </w:tc>
        <w:tc>
          <w:tcPr>
            <w:tcW w:w="3847" w:type="dxa"/>
            <w:tcBorders>
              <w:top w:val="single" w:sz="6" w:space="0" w:color="000000"/>
              <w:left w:val="single" w:sz="6" w:space="0" w:color="000000"/>
              <w:bottom w:val="single" w:sz="6" w:space="0" w:color="000000"/>
              <w:right w:val="single" w:sz="6" w:space="0" w:color="000000"/>
            </w:tcBorders>
            <w:shd w:val="clear" w:color="auto" w:fill="auto"/>
          </w:tcPr>
          <w:p w14:paraId="6693FC11" w14:textId="77777777" w:rsidR="00A50FD3" w:rsidRDefault="00303647">
            <w:pPr>
              <w:jc w:val="center"/>
              <w:rPr>
                <w:rFonts w:ascii="Aptos" w:eastAsia="Aptos" w:hAnsi="Aptos" w:cs="Aptos"/>
                <w:sz w:val="22"/>
                <w:szCs w:val="22"/>
              </w:rPr>
            </w:pPr>
            <w:r>
              <w:rPr>
                <w:rFonts w:ascii="Aptos" w:eastAsia="Aptos" w:hAnsi="Aptos" w:cs="Aptos"/>
                <w:sz w:val="22"/>
                <w:szCs w:val="22"/>
              </w:rPr>
              <w:t>Priority 1</w:t>
            </w:r>
          </w:p>
        </w:tc>
      </w:tr>
      <w:tr w:rsidR="00A50FD3" w14:paraId="0F25CE75" w14:textId="77777777" w:rsidTr="00E535EB">
        <w:trPr>
          <w:trHeight w:val="300"/>
        </w:trPr>
        <w:tc>
          <w:tcPr>
            <w:tcW w:w="6765" w:type="dxa"/>
            <w:tcBorders>
              <w:top w:val="single" w:sz="6" w:space="0" w:color="000000"/>
              <w:left w:val="single" w:sz="6" w:space="0" w:color="000000"/>
              <w:bottom w:val="single" w:sz="6" w:space="0" w:color="000000"/>
              <w:right w:val="single" w:sz="6" w:space="0" w:color="000000"/>
            </w:tcBorders>
            <w:shd w:val="clear" w:color="auto" w:fill="auto"/>
          </w:tcPr>
          <w:p w14:paraId="0B2B30EB" w14:textId="77777777" w:rsidR="00A50FD3" w:rsidRDefault="00303647">
            <w:pPr>
              <w:rPr>
                <w:rFonts w:ascii="Aptos" w:eastAsia="Aptos" w:hAnsi="Aptos" w:cs="Aptos"/>
                <w:sz w:val="22"/>
                <w:szCs w:val="22"/>
              </w:rPr>
            </w:pPr>
            <w:r>
              <w:rPr>
                <w:rFonts w:ascii="Aptos" w:eastAsia="Aptos" w:hAnsi="Aptos" w:cs="Aptos"/>
                <w:sz w:val="22"/>
                <w:szCs w:val="22"/>
              </w:rPr>
              <w:t>Percentage of students that are chronically absent</w:t>
            </w:r>
          </w:p>
        </w:tc>
        <w:tc>
          <w:tcPr>
            <w:tcW w:w="3847" w:type="dxa"/>
            <w:tcBorders>
              <w:top w:val="single" w:sz="6" w:space="0" w:color="000000"/>
              <w:left w:val="single" w:sz="6" w:space="0" w:color="000000"/>
              <w:bottom w:val="single" w:sz="6" w:space="0" w:color="000000"/>
              <w:right w:val="single" w:sz="6" w:space="0" w:color="000000"/>
            </w:tcBorders>
            <w:shd w:val="clear" w:color="auto" w:fill="auto"/>
          </w:tcPr>
          <w:p w14:paraId="13005767" w14:textId="77777777" w:rsidR="00A50FD3" w:rsidRDefault="00303647">
            <w:pPr>
              <w:jc w:val="center"/>
              <w:rPr>
                <w:rFonts w:ascii="Aptos" w:eastAsia="Aptos" w:hAnsi="Aptos" w:cs="Aptos"/>
                <w:sz w:val="22"/>
                <w:szCs w:val="22"/>
              </w:rPr>
            </w:pPr>
            <w:r>
              <w:rPr>
                <w:rFonts w:ascii="Aptos" w:eastAsia="Aptos" w:hAnsi="Aptos" w:cs="Aptos"/>
                <w:sz w:val="22"/>
                <w:szCs w:val="22"/>
              </w:rPr>
              <w:t>Priority 3</w:t>
            </w:r>
          </w:p>
        </w:tc>
      </w:tr>
    </w:tbl>
    <w:p w14:paraId="386E0F48" w14:textId="77777777" w:rsidR="00A50FD3" w:rsidRDefault="00A50FD3">
      <w:pPr>
        <w:rPr>
          <w:rFonts w:ascii="Aptos" w:eastAsia="Aptos" w:hAnsi="Aptos" w:cs="Aptos"/>
          <w:sz w:val="24"/>
        </w:rPr>
      </w:pPr>
    </w:p>
    <w:p w14:paraId="714D2082" w14:textId="77777777" w:rsidR="00A50FD3" w:rsidRDefault="00303647">
      <w:pPr>
        <w:rPr>
          <w:rFonts w:ascii="Aptos" w:eastAsia="Aptos" w:hAnsi="Aptos" w:cs="Aptos"/>
          <w:sz w:val="22"/>
          <w:szCs w:val="22"/>
        </w:rPr>
      </w:pPr>
      <w:r>
        <w:rPr>
          <w:rFonts w:ascii="Aptos" w:eastAsia="Aptos" w:hAnsi="Aptos" w:cs="Aptos"/>
          <w:b/>
          <w:sz w:val="22"/>
          <w:szCs w:val="22"/>
        </w:rPr>
        <w:t xml:space="preserve">For flexibilities that require funding to implement, please describe the relevant costs and how they will be funded. </w:t>
      </w:r>
    </w:p>
    <w:tbl>
      <w:tblPr>
        <w:tblW w:w="106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15"/>
      </w:tblGrid>
      <w:tr w:rsidR="00A50FD3" w14:paraId="51B19034" w14:textId="77777777" w:rsidTr="00E535EB">
        <w:trPr>
          <w:trHeight w:val="746"/>
        </w:trPr>
        <w:tc>
          <w:tcPr>
            <w:tcW w:w="10615" w:type="dxa"/>
          </w:tcPr>
          <w:p w14:paraId="36E515E3" w14:textId="77777777" w:rsidR="00A50FD3" w:rsidRDefault="00303647">
            <w:pPr>
              <w:spacing w:line="259" w:lineRule="auto"/>
              <w:rPr>
                <w:rFonts w:ascii="Aptos" w:eastAsia="Aptos" w:hAnsi="Aptos" w:cs="Aptos"/>
              </w:rPr>
            </w:pPr>
            <w:r>
              <w:rPr>
                <w:rFonts w:ascii="Aptos" w:eastAsia="Aptos" w:hAnsi="Aptos" w:cs="Aptos"/>
                <w:sz w:val="22"/>
                <w:szCs w:val="22"/>
              </w:rPr>
              <w:t>Continued SFL training will be funded through a grant from DESE.</w:t>
            </w:r>
          </w:p>
          <w:p w14:paraId="0D856648" w14:textId="77777777" w:rsidR="00A50FD3" w:rsidRDefault="00303647">
            <w:pPr>
              <w:spacing w:line="259" w:lineRule="auto"/>
              <w:rPr>
                <w:rFonts w:ascii="Aptos" w:eastAsia="Aptos" w:hAnsi="Aptos" w:cs="Aptos"/>
                <w:sz w:val="22"/>
                <w:szCs w:val="22"/>
              </w:rPr>
            </w:pPr>
            <w:r>
              <w:rPr>
                <w:rFonts w:ascii="Aptos" w:eastAsia="Aptos" w:hAnsi="Aptos" w:cs="Aptos"/>
                <w:sz w:val="22"/>
                <w:szCs w:val="22"/>
              </w:rPr>
              <w:t>District will continue to fund staff salaries based on the Career Ladder compensation system.</w:t>
            </w:r>
          </w:p>
        </w:tc>
      </w:tr>
    </w:tbl>
    <w:p w14:paraId="23F5EFA3" w14:textId="77777777" w:rsidR="00A50FD3" w:rsidRDefault="00303647">
      <w:pPr>
        <w:pStyle w:val="Heading2"/>
        <w:shd w:val="clear" w:color="auto" w:fill="BFBFBF"/>
        <w:tabs>
          <w:tab w:val="right" w:pos="14490"/>
        </w:tabs>
        <w:ind w:right="-90"/>
        <w:rPr>
          <w:rFonts w:ascii="Aptos" w:eastAsia="Aptos" w:hAnsi="Aptos" w:cs="Aptos"/>
          <w:i w:val="0"/>
        </w:rPr>
      </w:pPr>
      <w:r>
        <w:rPr>
          <w:rFonts w:ascii="Aptos" w:eastAsia="Aptos" w:hAnsi="Aptos" w:cs="Aptos"/>
          <w:i w:val="0"/>
        </w:rPr>
        <w:t>DISTRICT SUPPORTS FOR CONTINUED IMPROVEMENT</w:t>
      </w:r>
    </w:p>
    <w:p w14:paraId="2CF70467" w14:textId="77777777" w:rsidR="00A50FD3" w:rsidRDefault="00303647">
      <w:pPr>
        <w:spacing w:line="276" w:lineRule="auto"/>
        <w:rPr>
          <w:rFonts w:ascii="Aptos" w:eastAsia="Aptos" w:hAnsi="Aptos" w:cs="Aptos"/>
        </w:rPr>
      </w:pPr>
      <w:r>
        <w:rPr>
          <w:rFonts w:ascii="Aptos" w:eastAsia="Aptos" w:hAnsi="Aptos" w:cs="Aptos"/>
          <w:sz w:val="22"/>
          <w:szCs w:val="22"/>
        </w:rPr>
        <w:t>The following narrative describes supports that the district will provide to ensure that the exiting school sustains improvement. This table should include systemwide supports for school improvement and may also include transitional supports that are tailored to the needs of the exiting school.</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5"/>
      </w:tblGrid>
      <w:tr w:rsidR="00A50FD3" w14:paraId="49D8E0EE" w14:textId="77777777" w:rsidTr="00E535EB">
        <w:trPr>
          <w:trHeight w:val="953"/>
        </w:trPr>
        <w:tc>
          <w:tcPr>
            <w:tcW w:w="10615" w:type="dxa"/>
          </w:tcPr>
          <w:p w14:paraId="1B70A223" w14:textId="77777777" w:rsidR="00A50FD3" w:rsidRDefault="00303647">
            <w:pPr>
              <w:rPr>
                <w:rFonts w:ascii="Aptos" w:eastAsia="Aptos" w:hAnsi="Aptos" w:cs="Aptos"/>
                <w:sz w:val="22"/>
                <w:szCs w:val="22"/>
              </w:rPr>
            </w:pPr>
            <w:r w:rsidRPr="00371760">
              <w:rPr>
                <w:rFonts w:ascii="Aptos" w:eastAsia="Aptos" w:hAnsi="Aptos" w:cs="Aptos"/>
                <w:sz w:val="22"/>
                <w:szCs w:val="22"/>
                <w:highlight w:val="yellow"/>
              </w:rPr>
              <w:t>District Narrative:</w:t>
            </w:r>
            <w:r w:rsidR="00B66747">
              <w:rPr>
                <w:rFonts w:ascii="Aptos" w:eastAsia="Aptos" w:hAnsi="Aptos" w:cs="Aptos"/>
                <w:sz w:val="22"/>
                <w:szCs w:val="22"/>
                <w:highlight w:val="yellow"/>
              </w:rPr>
              <w:t xml:space="preserve"> </w:t>
            </w:r>
            <w:r>
              <w:rPr>
                <w:rFonts w:ascii="Aptos" w:eastAsia="Aptos" w:hAnsi="Aptos" w:cs="Aptos"/>
                <w:sz w:val="22"/>
                <w:szCs w:val="22"/>
              </w:rPr>
              <w:t>The Central Office Team has implemented numerous structures to support improvement across the district. We have assigned principal liaisons from the Office of School Performance (OSP) and Central Office to work alongside building leaders. This liaison model has proven to be supportive and was well received in past years, reflecting our commitment to fostering better outcomes through collaborative leadership. Liaisons were strategically assigned in late August, based on the school’s data and areas of need. The Office of School Performance will collaborate with the Parker Leadership Team, using a variety of data points to determine liaison assignments that will be most beneficial to continued school improvement. Liaisons are non-evaluative.</w:t>
            </w:r>
          </w:p>
          <w:p w14:paraId="4B08CD77" w14:textId="77777777" w:rsidR="00A50FD3" w:rsidRDefault="00A50FD3">
            <w:pPr>
              <w:rPr>
                <w:rFonts w:ascii="Aptos" w:eastAsia="Aptos" w:hAnsi="Aptos" w:cs="Aptos"/>
                <w:sz w:val="22"/>
                <w:szCs w:val="22"/>
              </w:rPr>
            </w:pPr>
          </w:p>
          <w:p w14:paraId="2BBF2347" w14:textId="77777777" w:rsidR="00A50FD3" w:rsidRDefault="00303647">
            <w:pPr>
              <w:rPr>
                <w:rFonts w:ascii="Aptos" w:eastAsia="Aptos" w:hAnsi="Aptos" w:cs="Aptos"/>
                <w:sz w:val="22"/>
                <w:szCs w:val="22"/>
              </w:rPr>
            </w:pPr>
            <w:r>
              <w:rPr>
                <w:rFonts w:ascii="Aptos" w:eastAsia="Aptos" w:hAnsi="Aptos" w:cs="Aptos"/>
                <w:sz w:val="22"/>
                <w:szCs w:val="22"/>
              </w:rPr>
              <w:t xml:space="preserve">Combining the Liaisons with the Central Office team members who serve as evaluators builds a team called PELT: Principal, Evaluator and Liaison Team. This team meets regularly for professional development, </w:t>
            </w:r>
            <w:r>
              <w:rPr>
                <w:rFonts w:ascii="Aptos" w:eastAsia="Aptos" w:hAnsi="Aptos" w:cs="Aptos"/>
                <w:sz w:val="22"/>
                <w:szCs w:val="22"/>
              </w:rPr>
              <w:lastRenderedPageBreak/>
              <w:t>debriefing learning walk trends and to collaboratively and efficiently address commonalities among schools. Liaison and evaluator teams conduct monthly learning walks alongside building administrators in each school, using a consistent protocol resulting in a debrief document that includes action steps for building and Central Office personnel. Beginning in January, Parker will be included in this model; a learning walk schedule that works for the Parker team will be collaboratively constructed and implemented.</w:t>
            </w:r>
          </w:p>
          <w:p w14:paraId="5EB9147C" w14:textId="77777777" w:rsidR="00A50FD3" w:rsidRDefault="00A50FD3">
            <w:pPr>
              <w:rPr>
                <w:rFonts w:ascii="Aptos" w:eastAsia="Aptos" w:hAnsi="Aptos" w:cs="Aptos"/>
                <w:sz w:val="22"/>
                <w:szCs w:val="22"/>
              </w:rPr>
            </w:pPr>
          </w:p>
          <w:p w14:paraId="7D53D400" w14:textId="77777777" w:rsidR="00A50FD3" w:rsidRPr="00B66747" w:rsidRDefault="00303647">
            <w:pPr>
              <w:rPr>
                <w:rFonts w:ascii="Aptos" w:eastAsia="Aptos" w:hAnsi="Aptos" w:cs="Aptos"/>
                <w:sz w:val="22"/>
                <w:szCs w:val="22"/>
              </w:rPr>
            </w:pPr>
            <w:r>
              <w:rPr>
                <w:rFonts w:ascii="Aptos" w:eastAsia="Aptos" w:hAnsi="Aptos" w:cs="Aptos"/>
                <w:sz w:val="22"/>
                <w:szCs w:val="22"/>
              </w:rPr>
              <w:t xml:space="preserve">The District’s School Improvement Planning Process and School Improvement Plan (SIP) template, revised for the 2024-2025 School Year, is another key support for school improvement. Since this is a mid-year transition, Parker will not need to write a new plan on the template. Instead, the Parker Evaluator and/or Liaison will work with Parker’s Leadership Team to ensure consistent monitoring of the existing plan and relevant data points throughout the school year. As a district, we have re-centered all discussions around data, emphasizing accountability in how we discuss, interpret, and act upon it. Our focus is on taking real, innovative action rather than repeating ineffective practices — a commitment strongly reflected in the Academic Achievement Subcommittee (AASC) of the School Committee, which meets monthly. The Parker administrative team has participated in relevant AASC Meetings during the 2024-2025 School Year, and will continue to do so. </w:t>
            </w:r>
          </w:p>
          <w:p w14:paraId="13F906FA" w14:textId="77777777" w:rsidR="00A50FD3" w:rsidRDefault="00A50FD3">
            <w:pPr>
              <w:rPr>
                <w:rFonts w:ascii="Aptos" w:eastAsia="Aptos" w:hAnsi="Aptos" w:cs="Aptos"/>
                <w:sz w:val="22"/>
                <w:szCs w:val="22"/>
              </w:rPr>
            </w:pPr>
          </w:p>
          <w:p w14:paraId="538D6BC7" w14:textId="77777777" w:rsidR="00A50FD3" w:rsidRDefault="00303647">
            <w:pPr>
              <w:rPr>
                <w:rFonts w:ascii="Aptos" w:eastAsia="Aptos" w:hAnsi="Aptos" w:cs="Aptos"/>
                <w:sz w:val="22"/>
                <w:szCs w:val="22"/>
              </w:rPr>
            </w:pPr>
            <w:r>
              <w:rPr>
                <w:rFonts w:ascii="Aptos" w:eastAsia="Aptos" w:hAnsi="Aptos" w:cs="Aptos"/>
                <w:sz w:val="22"/>
                <w:szCs w:val="22"/>
              </w:rPr>
              <w:t>In addition to the systemwide supports named above, the District will provide Parker Elementary School with the following transitional supports to promote a stable teaching and learning environment for the duration of the 2024-25 school year:</w:t>
            </w:r>
          </w:p>
          <w:p w14:paraId="736C8BA7" w14:textId="77777777" w:rsidR="00A50FD3" w:rsidRDefault="00A50FD3">
            <w:pPr>
              <w:rPr>
                <w:rFonts w:ascii="Aptos" w:eastAsia="Aptos" w:hAnsi="Aptos" w:cs="Aptos"/>
                <w:sz w:val="22"/>
                <w:szCs w:val="22"/>
              </w:rPr>
            </w:pPr>
          </w:p>
          <w:p w14:paraId="2636881F" w14:textId="77777777" w:rsidR="00A50FD3" w:rsidRDefault="00303647">
            <w:pPr>
              <w:numPr>
                <w:ilvl w:val="0"/>
                <w:numId w:val="6"/>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The District will provide the Principal, Assistant Principal, and Manager of Educator Quality with mentoring hours and other professional learning experiences that will enable each administrator to fulfill the requirements of the administrative apprenticeship/internship route to licensure by the end of the 2024-25 school year. The plans for licensure preparation are outlined in Appendix A.</w:t>
            </w:r>
          </w:p>
          <w:p w14:paraId="1510C9E2" w14:textId="77777777" w:rsidR="00A50FD3" w:rsidRDefault="00303647">
            <w:pPr>
              <w:numPr>
                <w:ilvl w:val="0"/>
                <w:numId w:val="6"/>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The District will enable the Principal, Assistant Principal, and Manager of Educator Quality to continue to conduct evaluations of Parker educators under appropriate supervision, for the duration of the 2024-25 school year.</w:t>
            </w:r>
          </w:p>
          <w:p w14:paraId="401D948E" w14:textId="77777777" w:rsidR="00A50FD3" w:rsidRDefault="00303647">
            <w:pPr>
              <w:numPr>
                <w:ilvl w:val="0"/>
                <w:numId w:val="6"/>
              </w:numPr>
              <w:pBdr>
                <w:top w:val="nil"/>
                <w:left w:val="nil"/>
                <w:bottom w:val="nil"/>
                <w:right w:val="nil"/>
                <w:between w:val="nil"/>
              </w:pBdr>
              <w:rPr>
                <w:rFonts w:ascii="Aptos" w:eastAsia="Aptos" w:hAnsi="Aptos" w:cs="Aptos"/>
                <w:color w:val="000000"/>
                <w:sz w:val="22"/>
                <w:szCs w:val="22"/>
              </w:rPr>
            </w:pPr>
            <w:r>
              <w:rPr>
                <w:rFonts w:ascii="Aptos" w:eastAsia="Aptos" w:hAnsi="Aptos" w:cs="Aptos"/>
                <w:color w:val="000000"/>
                <w:sz w:val="22"/>
                <w:szCs w:val="22"/>
              </w:rPr>
              <w:t>The District will fund the continuation of leadership support services from Denise Ward during the 2024-25 school year, under a phaseout transition plan developed in collaboration with the Parker administrative team. The phaseout plan is outlined in Appendix B.</w:t>
            </w:r>
          </w:p>
        </w:tc>
      </w:tr>
    </w:tbl>
    <w:p w14:paraId="2039E008" w14:textId="77777777" w:rsidR="00A50FD3" w:rsidRDefault="00A50FD3">
      <w:pPr>
        <w:ind w:left="720"/>
        <w:rPr>
          <w:rFonts w:ascii="Aptos" w:eastAsia="Aptos" w:hAnsi="Aptos" w:cs="Aptos"/>
          <w:sz w:val="24"/>
        </w:rPr>
      </w:pPr>
    </w:p>
    <w:p w14:paraId="67545704" w14:textId="77777777" w:rsidR="00A50FD3" w:rsidRDefault="00303647">
      <w:pPr>
        <w:pStyle w:val="Heading2"/>
        <w:shd w:val="clear" w:color="auto" w:fill="BFBFBF"/>
        <w:tabs>
          <w:tab w:val="right" w:pos="14490"/>
        </w:tabs>
        <w:ind w:right="-90"/>
        <w:rPr>
          <w:rFonts w:ascii="Aptos" w:eastAsia="Aptos" w:hAnsi="Aptos" w:cs="Aptos"/>
          <w:i w:val="0"/>
        </w:rPr>
      </w:pPr>
      <w:r>
        <w:rPr>
          <w:rFonts w:ascii="Aptos" w:eastAsia="Aptos" w:hAnsi="Aptos" w:cs="Aptos"/>
          <w:i w:val="0"/>
        </w:rPr>
        <w:t>ASSURANCES</w:t>
      </w:r>
    </w:p>
    <w:p w14:paraId="299B1291" w14:textId="77777777" w:rsidR="00A50FD3" w:rsidRDefault="00303647">
      <w:pPr>
        <w:spacing w:line="276" w:lineRule="auto"/>
        <w:rPr>
          <w:rFonts w:ascii="Aptos" w:eastAsia="Aptos" w:hAnsi="Aptos" w:cs="Aptos"/>
          <w:sz w:val="22"/>
          <w:szCs w:val="22"/>
        </w:rPr>
      </w:pPr>
      <w:r>
        <w:rPr>
          <w:rFonts w:ascii="Aptos" w:eastAsia="Aptos" w:hAnsi="Aptos" w:cs="Aptos"/>
          <w:sz w:val="22"/>
          <w:szCs w:val="22"/>
        </w:rPr>
        <w:t>The District must assure that it will</w:t>
      </w:r>
    </w:p>
    <w:p w14:paraId="3D23FD8C" w14:textId="77777777" w:rsidR="00A50FD3" w:rsidRDefault="00303647">
      <w:pPr>
        <w:numPr>
          <w:ilvl w:val="0"/>
          <w:numId w:val="4"/>
        </w:numPr>
        <w:pBdr>
          <w:top w:val="nil"/>
          <w:left w:val="nil"/>
          <w:bottom w:val="nil"/>
          <w:right w:val="nil"/>
          <w:between w:val="nil"/>
        </w:pBdr>
        <w:spacing w:line="276" w:lineRule="auto"/>
        <w:rPr>
          <w:rFonts w:ascii="Aptos" w:eastAsia="Aptos" w:hAnsi="Aptos" w:cs="Aptos"/>
          <w:color w:val="000000"/>
          <w:sz w:val="22"/>
          <w:szCs w:val="22"/>
        </w:rPr>
      </w:pPr>
      <w:r>
        <w:rPr>
          <w:rFonts w:ascii="Aptos" w:eastAsia="Aptos" w:hAnsi="Aptos" w:cs="Aptos"/>
          <w:color w:val="000000"/>
          <w:sz w:val="22"/>
          <w:szCs w:val="22"/>
        </w:rPr>
        <w:t>Implement continued flexibilities consistent with the “Continued Features of the Turnaround Plan” section above.</w:t>
      </w:r>
    </w:p>
    <w:p w14:paraId="28C2B888" w14:textId="77777777" w:rsidR="00A50FD3" w:rsidRDefault="00303647">
      <w:pPr>
        <w:numPr>
          <w:ilvl w:val="0"/>
          <w:numId w:val="4"/>
        </w:numPr>
        <w:pBdr>
          <w:top w:val="nil"/>
          <w:left w:val="nil"/>
          <w:bottom w:val="nil"/>
          <w:right w:val="nil"/>
          <w:between w:val="nil"/>
        </w:pBdr>
        <w:spacing w:line="276" w:lineRule="auto"/>
        <w:rPr>
          <w:rFonts w:ascii="Aptos" w:eastAsia="Aptos" w:hAnsi="Aptos" w:cs="Aptos"/>
          <w:color w:val="000000"/>
          <w:sz w:val="22"/>
          <w:szCs w:val="22"/>
        </w:rPr>
      </w:pPr>
      <w:r>
        <w:rPr>
          <w:rFonts w:ascii="Aptos" w:eastAsia="Aptos" w:hAnsi="Aptos" w:cs="Aptos"/>
          <w:color w:val="000000"/>
          <w:sz w:val="22"/>
          <w:szCs w:val="22"/>
        </w:rPr>
        <w:t>Continue providing targeted support to the exited school to ensure that progress is sustained and effective practices are embedded.</w:t>
      </w:r>
    </w:p>
    <w:p w14:paraId="512DF69F" w14:textId="77777777" w:rsidR="00A50FD3" w:rsidRDefault="00303647">
      <w:pPr>
        <w:numPr>
          <w:ilvl w:val="0"/>
          <w:numId w:val="4"/>
        </w:numPr>
        <w:pBdr>
          <w:top w:val="nil"/>
          <w:left w:val="nil"/>
          <w:bottom w:val="nil"/>
          <w:right w:val="nil"/>
          <w:between w:val="nil"/>
        </w:pBdr>
        <w:spacing w:after="200" w:line="276" w:lineRule="auto"/>
        <w:rPr>
          <w:rFonts w:ascii="Aptos" w:eastAsia="Aptos" w:hAnsi="Aptos" w:cs="Aptos"/>
          <w:color w:val="000000"/>
          <w:sz w:val="22"/>
          <w:szCs w:val="22"/>
        </w:rPr>
      </w:pPr>
      <w:r>
        <w:rPr>
          <w:rFonts w:ascii="Aptos" w:eastAsia="Aptos" w:hAnsi="Aptos" w:cs="Aptos"/>
          <w:color w:val="000000"/>
          <w:sz w:val="22"/>
          <w:szCs w:val="22"/>
        </w:rPr>
        <w:t>Cooperate with the Department of Elementary and Secondary Education (DESE) in DESE’s continued efforts to assess progress in the exited school.</w:t>
      </w: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9"/>
        <w:gridCol w:w="5888"/>
      </w:tblGrid>
      <w:tr w:rsidR="00A50FD3" w14:paraId="502A2673" w14:textId="77777777" w:rsidTr="00E535EB">
        <w:tc>
          <w:tcPr>
            <w:tcW w:w="4269" w:type="dxa"/>
          </w:tcPr>
          <w:p w14:paraId="6B5B1AF5" w14:textId="77777777" w:rsidR="00A50FD3" w:rsidRDefault="00303647">
            <w:pPr>
              <w:pBdr>
                <w:top w:val="nil"/>
                <w:left w:val="nil"/>
                <w:bottom w:val="nil"/>
                <w:right w:val="nil"/>
                <w:between w:val="nil"/>
              </w:pBdr>
              <w:tabs>
                <w:tab w:val="center" w:pos="4680"/>
                <w:tab w:val="right" w:pos="9360"/>
              </w:tabs>
              <w:spacing w:before="120" w:after="120"/>
              <w:rPr>
                <w:rFonts w:ascii="Aptos" w:eastAsia="Aptos" w:hAnsi="Aptos" w:cs="Aptos"/>
                <w:b/>
                <w:color w:val="000000"/>
                <w:szCs w:val="20"/>
              </w:rPr>
            </w:pPr>
            <w:r>
              <w:rPr>
                <w:rFonts w:ascii="Aptos" w:eastAsia="Aptos" w:hAnsi="Aptos" w:cs="Aptos"/>
                <w:b/>
                <w:color w:val="000000"/>
                <w:szCs w:val="20"/>
              </w:rPr>
              <w:t>Typed Name of Superintendent:</w:t>
            </w:r>
          </w:p>
        </w:tc>
        <w:tc>
          <w:tcPr>
            <w:tcW w:w="5888" w:type="dxa"/>
          </w:tcPr>
          <w:p w14:paraId="21262A1C" w14:textId="77777777" w:rsidR="00A50FD3" w:rsidRDefault="00A50FD3">
            <w:pPr>
              <w:pBdr>
                <w:top w:val="nil"/>
                <w:left w:val="nil"/>
                <w:bottom w:val="nil"/>
                <w:right w:val="nil"/>
                <w:between w:val="nil"/>
              </w:pBdr>
              <w:tabs>
                <w:tab w:val="center" w:pos="4680"/>
                <w:tab w:val="right" w:pos="9360"/>
              </w:tabs>
              <w:spacing w:before="120" w:after="120"/>
              <w:rPr>
                <w:rFonts w:ascii="Aptos" w:eastAsia="Aptos" w:hAnsi="Aptos" w:cs="Aptos"/>
                <w:color w:val="000000"/>
                <w:szCs w:val="20"/>
              </w:rPr>
            </w:pPr>
          </w:p>
        </w:tc>
      </w:tr>
      <w:tr w:rsidR="00A50FD3" w14:paraId="1706AEAD" w14:textId="77777777" w:rsidTr="00E535EB">
        <w:tc>
          <w:tcPr>
            <w:tcW w:w="4269" w:type="dxa"/>
          </w:tcPr>
          <w:p w14:paraId="7C11DF0B" w14:textId="77777777" w:rsidR="00A50FD3" w:rsidRDefault="00303647">
            <w:pPr>
              <w:pBdr>
                <w:top w:val="nil"/>
                <w:left w:val="nil"/>
                <w:bottom w:val="nil"/>
                <w:right w:val="nil"/>
                <w:between w:val="nil"/>
              </w:pBdr>
              <w:tabs>
                <w:tab w:val="center" w:pos="4680"/>
                <w:tab w:val="right" w:pos="9360"/>
              </w:tabs>
              <w:spacing w:before="120" w:after="120"/>
              <w:rPr>
                <w:rFonts w:ascii="Aptos" w:eastAsia="Aptos" w:hAnsi="Aptos" w:cs="Aptos"/>
                <w:b/>
                <w:color w:val="000000"/>
                <w:szCs w:val="20"/>
              </w:rPr>
            </w:pPr>
            <w:r>
              <w:rPr>
                <w:rFonts w:ascii="Aptos" w:eastAsia="Aptos" w:hAnsi="Aptos" w:cs="Aptos"/>
                <w:b/>
                <w:color w:val="000000"/>
                <w:szCs w:val="20"/>
              </w:rPr>
              <w:t>Signature of Superintendent:</w:t>
            </w:r>
          </w:p>
        </w:tc>
        <w:tc>
          <w:tcPr>
            <w:tcW w:w="5888" w:type="dxa"/>
          </w:tcPr>
          <w:p w14:paraId="54A69DF5" w14:textId="77777777" w:rsidR="00A50FD3" w:rsidRDefault="00A50FD3">
            <w:pPr>
              <w:pBdr>
                <w:top w:val="nil"/>
                <w:left w:val="nil"/>
                <w:bottom w:val="nil"/>
                <w:right w:val="nil"/>
                <w:between w:val="nil"/>
              </w:pBdr>
              <w:tabs>
                <w:tab w:val="center" w:pos="4680"/>
                <w:tab w:val="right" w:pos="9360"/>
              </w:tabs>
              <w:spacing w:before="120" w:after="120"/>
              <w:rPr>
                <w:rFonts w:ascii="Aptos" w:eastAsia="Aptos" w:hAnsi="Aptos" w:cs="Aptos"/>
                <w:color w:val="000000"/>
                <w:szCs w:val="20"/>
              </w:rPr>
            </w:pPr>
          </w:p>
        </w:tc>
      </w:tr>
      <w:tr w:rsidR="00A50FD3" w14:paraId="73661543" w14:textId="77777777" w:rsidTr="00E535EB">
        <w:tc>
          <w:tcPr>
            <w:tcW w:w="4269" w:type="dxa"/>
          </w:tcPr>
          <w:p w14:paraId="7667E12F" w14:textId="77777777" w:rsidR="00A50FD3" w:rsidRDefault="00303647">
            <w:pPr>
              <w:pBdr>
                <w:top w:val="nil"/>
                <w:left w:val="nil"/>
                <w:bottom w:val="nil"/>
                <w:right w:val="nil"/>
                <w:between w:val="nil"/>
              </w:pBdr>
              <w:tabs>
                <w:tab w:val="center" w:pos="4680"/>
                <w:tab w:val="right" w:pos="9360"/>
              </w:tabs>
              <w:spacing w:before="120" w:after="120"/>
              <w:rPr>
                <w:rFonts w:ascii="Aptos" w:eastAsia="Aptos" w:hAnsi="Aptos" w:cs="Aptos"/>
                <w:b/>
                <w:color w:val="000000"/>
                <w:szCs w:val="20"/>
              </w:rPr>
            </w:pPr>
            <w:r>
              <w:rPr>
                <w:rFonts w:ascii="Aptos" w:eastAsia="Aptos" w:hAnsi="Aptos" w:cs="Aptos"/>
                <w:b/>
                <w:color w:val="000000"/>
                <w:szCs w:val="20"/>
              </w:rPr>
              <w:t>Date:</w:t>
            </w:r>
          </w:p>
        </w:tc>
        <w:tc>
          <w:tcPr>
            <w:tcW w:w="5888" w:type="dxa"/>
          </w:tcPr>
          <w:p w14:paraId="0A36CD13" w14:textId="77777777" w:rsidR="00A50FD3" w:rsidRDefault="00A50FD3">
            <w:pPr>
              <w:pBdr>
                <w:top w:val="nil"/>
                <w:left w:val="nil"/>
                <w:bottom w:val="nil"/>
                <w:right w:val="nil"/>
                <w:between w:val="nil"/>
              </w:pBdr>
              <w:tabs>
                <w:tab w:val="center" w:pos="4680"/>
                <w:tab w:val="right" w:pos="9360"/>
              </w:tabs>
              <w:spacing w:before="120" w:after="120"/>
              <w:rPr>
                <w:rFonts w:ascii="Aptos" w:eastAsia="Aptos" w:hAnsi="Aptos" w:cs="Aptos"/>
                <w:color w:val="000000"/>
                <w:szCs w:val="20"/>
              </w:rPr>
            </w:pPr>
          </w:p>
        </w:tc>
      </w:tr>
    </w:tbl>
    <w:p w14:paraId="2E4A907F" w14:textId="77777777" w:rsidR="00A50FD3" w:rsidRDefault="00A50FD3">
      <w:pPr>
        <w:pBdr>
          <w:top w:val="nil"/>
          <w:left w:val="nil"/>
          <w:bottom w:val="nil"/>
          <w:right w:val="nil"/>
          <w:between w:val="nil"/>
        </w:pBdr>
        <w:spacing w:after="200" w:line="276" w:lineRule="auto"/>
        <w:ind w:left="432"/>
        <w:rPr>
          <w:rFonts w:ascii="Aptos" w:eastAsia="Aptos" w:hAnsi="Aptos" w:cs="Aptos"/>
          <w:color w:val="000000"/>
          <w:sz w:val="22"/>
          <w:szCs w:val="22"/>
        </w:rPr>
      </w:pP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9"/>
        <w:gridCol w:w="5888"/>
      </w:tblGrid>
      <w:tr w:rsidR="00A50FD3" w14:paraId="3127E80C" w14:textId="77777777" w:rsidTr="00E535EB">
        <w:tc>
          <w:tcPr>
            <w:tcW w:w="4269" w:type="dxa"/>
          </w:tcPr>
          <w:p w14:paraId="7D961400" w14:textId="77777777" w:rsidR="00A50FD3" w:rsidRDefault="00303647">
            <w:pPr>
              <w:pBdr>
                <w:top w:val="nil"/>
                <w:left w:val="nil"/>
                <w:bottom w:val="nil"/>
                <w:right w:val="nil"/>
                <w:between w:val="nil"/>
              </w:pBdr>
              <w:tabs>
                <w:tab w:val="center" w:pos="4680"/>
                <w:tab w:val="right" w:pos="9360"/>
              </w:tabs>
              <w:spacing w:before="120" w:after="120"/>
              <w:rPr>
                <w:rFonts w:ascii="Aptos" w:eastAsia="Aptos" w:hAnsi="Aptos" w:cs="Aptos"/>
                <w:b/>
                <w:color w:val="000000"/>
                <w:szCs w:val="20"/>
              </w:rPr>
            </w:pPr>
            <w:r>
              <w:rPr>
                <w:rFonts w:ascii="Aptos" w:eastAsia="Aptos" w:hAnsi="Aptos" w:cs="Aptos"/>
                <w:b/>
                <w:color w:val="000000"/>
                <w:szCs w:val="20"/>
              </w:rPr>
              <w:lastRenderedPageBreak/>
              <w:t>Typed Name of Commissioner of Elementary &amp; Secondary Education:</w:t>
            </w:r>
          </w:p>
        </w:tc>
        <w:tc>
          <w:tcPr>
            <w:tcW w:w="5888" w:type="dxa"/>
          </w:tcPr>
          <w:p w14:paraId="018A493A" w14:textId="77777777" w:rsidR="00A50FD3" w:rsidRDefault="00A50FD3">
            <w:pPr>
              <w:pBdr>
                <w:top w:val="nil"/>
                <w:left w:val="nil"/>
                <w:bottom w:val="nil"/>
                <w:right w:val="nil"/>
                <w:between w:val="nil"/>
              </w:pBdr>
              <w:tabs>
                <w:tab w:val="center" w:pos="4680"/>
                <w:tab w:val="right" w:pos="9360"/>
              </w:tabs>
              <w:spacing w:before="120" w:after="120"/>
              <w:rPr>
                <w:rFonts w:ascii="Aptos" w:eastAsia="Aptos" w:hAnsi="Aptos" w:cs="Aptos"/>
                <w:color w:val="000000"/>
                <w:szCs w:val="20"/>
              </w:rPr>
            </w:pPr>
          </w:p>
        </w:tc>
      </w:tr>
      <w:tr w:rsidR="00A50FD3" w14:paraId="48912377" w14:textId="77777777" w:rsidTr="00E535EB">
        <w:tc>
          <w:tcPr>
            <w:tcW w:w="4269" w:type="dxa"/>
          </w:tcPr>
          <w:p w14:paraId="62FDF41E" w14:textId="77777777" w:rsidR="00A50FD3" w:rsidRDefault="00303647">
            <w:pPr>
              <w:pBdr>
                <w:top w:val="nil"/>
                <w:left w:val="nil"/>
                <w:bottom w:val="nil"/>
                <w:right w:val="nil"/>
                <w:between w:val="nil"/>
              </w:pBdr>
              <w:tabs>
                <w:tab w:val="center" w:pos="4680"/>
                <w:tab w:val="right" w:pos="9360"/>
              </w:tabs>
              <w:spacing w:before="120" w:after="120"/>
              <w:rPr>
                <w:rFonts w:ascii="Aptos" w:eastAsia="Aptos" w:hAnsi="Aptos" w:cs="Aptos"/>
                <w:b/>
                <w:color w:val="000000"/>
                <w:szCs w:val="20"/>
              </w:rPr>
            </w:pPr>
            <w:r>
              <w:rPr>
                <w:rFonts w:ascii="Aptos" w:eastAsia="Aptos" w:hAnsi="Aptos" w:cs="Aptos"/>
                <w:b/>
                <w:color w:val="000000"/>
                <w:szCs w:val="20"/>
              </w:rPr>
              <w:t>Signature of Commissioner of Elementary &amp; Secondary Education:</w:t>
            </w:r>
          </w:p>
        </w:tc>
        <w:tc>
          <w:tcPr>
            <w:tcW w:w="5888" w:type="dxa"/>
          </w:tcPr>
          <w:p w14:paraId="438B0D7C" w14:textId="77777777" w:rsidR="00A50FD3" w:rsidRDefault="00A50FD3">
            <w:pPr>
              <w:pBdr>
                <w:top w:val="nil"/>
                <w:left w:val="nil"/>
                <w:bottom w:val="nil"/>
                <w:right w:val="nil"/>
                <w:between w:val="nil"/>
              </w:pBdr>
              <w:tabs>
                <w:tab w:val="center" w:pos="4680"/>
                <w:tab w:val="right" w:pos="9360"/>
              </w:tabs>
              <w:spacing w:before="120" w:after="120"/>
              <w:rPr>
                <w:rFonts w:ascii="Aptos" w:eastAsia="Aptos" w:hAnsi="Aptos" w:cs="Aptos"/>
                <w:color w:val="000000"/>
                <w:szCs w:val="20"/>
              </w:rPr>
            </w:pPr>
          </w:p>
        </w:tc>
      </w:tr>
      <w:tr w:rsidR="00A50FD3" w14:paraId="69AEDF12" w14:textId="77777777" w:rsidTr="00E535EB">
        <w:tc>
          <w:tcPr>
            <w:tcW w:w="4269" w:type="dxa"/>
          </w:tcPr>
          <w:p w14:paraId="030A68C5" w14:textId="77777777" w:rsidR="00A50FD3" w:rsidRDefault="00303647">
            <w:pPr>
              <w:pBdr>
                <w:top w:val="nil"/>
                <w:left w:val="nil"/>
                <w:bottom w:val="nil"/>
                <w:right w:val="nil"/>
                <w:between w:val="nil"/>
              </w:pBdr>
              <w:tabs>
                <w:tab w:val="center" w:pos="4680"/>
                <w:tab w:val="right" w:pos="9360"/>
              </w:tabs>
              <w:spacing w:before="120" w:after="120"/>
              <w:rPr>
                <w:rFonts w:ascii="Aptos" w:eastAsia="Aptos" w:hAnsi="Aptos" w:cs="Aptos"/>
                <w:b/>
                <w:color w:val="000000"/>
                <w:szCs w:val="20"/>
              </w:rPr>
            </w:pPr>
            <w:r>
              <w:rPr>
                <w:rFonts w:ascii="Aptos" w:eastAsia="Aptos" w:hAnsi="Aptos" w:cs="Aptos"/>
                <w:b/>
                <w:color w:val="000000"/>
                <w:szCs w:val="20"/>
              </w:rPr>
              <w:t>Date:</w:t>
            </w:r>
          </w:p>
        </w:tc>
        <w:tc>
          <w:tcPr>
            <w:tcW w:w="5888" w:type="dxa"/>
          </w:tcPr>
          <w:p w14:paraId="41620D8E" w14:textId="77777777" w:rsidR="00A50FD3" w:rsidRDefault="00A50FD3">
            <w:pPr>
              <w:pBdr>
                <w:top w:val="nil"/>
                <w:left w:val="nil"/>
                <w:bottom w:val="nil"/>
                <w:right w:val="nil"/>
                <w:between w:val="nil"/>
              </w:pBdr>
              <w:tabs>
                <w:tab w:val="center" w:pos="4680"/>
                <w:tab w:val="right" w:pos="9360"/>
              </w:tabs>
              <w:spacing w:before="120" w:after="120"/>
              <w:rPr>
                <w:rFonts w:ascii="Aptos" w:eastAsia="Aptos" w:hAnsi="Aptos" w:cs="Aptos"/>
                <w:color w:val="000000"/>
                <w:szCs w:val="20"/>
              </w:rPr>
            </w:pPr>
          </w:p>
        </w:tc>
      </w:tr>
    </w:tbl>
    <w:p w14:paraId="74B0A840" w14:textId="77777777" w:rsidR="00A50FD3" w:rsidRDefault="00A50FD3">
      <w:pPr>
        <w:pBdr>
          <w:top w:val="nil"/>
          <w:left w:val="nil"/>
          <w:bottom w:val="nil"/>
          <w:right w:val="nil"/>
          <w:between w:val="nil"/>
        </w:pBdr>
        <w:spacing w:line="276" w:lineRule="auto"/>
        <w:rPr>
          <w:rFonts w:ascii="Aptos" w:eastAsia="Aptos" w:hAnsi="Aptos" w:cs="Aptos"/>
          <w:color w:val="000000"/>
          <w:sz w:val="22"/>
          <w:szCs w:val="22"/>
        </w:rPr>
      </w:pPr>
    </w:p>
    <w:p w14:paraId="3833A2FA" w14:textId="77777777" w:rsidR="00A50FD3" w:rsidRDefault="00A50FD3">
      <w:pPr>
        <w:pBdr>
          <w:top w:val="nil"/>
          <w:left w:val="nil"/>
          <w:bottom w:val="nil"/>
          <w:right w:val="nil"/>
          <w:between w:val="nil"/>
        </w:pBdr>
        <w:spacing w:line="276" w:lineRule="auto"/>
        <w:rPr>
          <w:rFonts w:ascii="Aptos" w:eastAsia="Aptos" w:hAnsi="Aptos" w:cs="Aptos"/>
          <w:color w:val="000000"/>
          <w:sz w:val="22"/>
          <w:szCs w:val="22"/>
        </w:rPr>
      </w:pPr>
    </w:p>
    <w:p w14:paraId="300010E3"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0D94938F"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17ED862E"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0E415327"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7B1FBABC"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0B4BA7A6"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706B4DC3"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5F933676"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2D9D3A30"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03CE1DCE"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155A1D90"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3D2CD9DB"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7CAE7767"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4C27AA3F"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28BB083B"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2A379501"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315C0B79"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3330FF11"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79B60E68"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5853A6D0"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1C335D4B"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798ED704"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77DBAD4F"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4194AF74"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001BC372"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442598C6"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7162ABC9"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71652DA9"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51959F1C"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7405D29B"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1E6D718E"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67AA2821"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05D26823"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73F1BAA3"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1B91FAB3"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4A4B65B1"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498907C6"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28FC13EB" w14:textId="77777777" w:rsidR="00A50FD3" w:rsidRDefault="00A50FD3">
      <w:pPr>
        <w:pBdr>
          <w:top w:val="nil"/>
          <w:left w:val="nil"/>
          <w:bottom w:val="nil"/>
          <w:right w:val="nil"/>
          <w:between w:val="nil"/>
        </w:pBdr>
        <w:spacing w:line="276" w:lineRule="auto"/>
        <w:rPr>
          <w:rFonts w:ascii="Aptos" w:eastAsia="Aptos" w:hAnsi="Aptos" w:cs="Aptos"/>
          <w:sz w:val="22"/>
          <w:szCs w:val="22"/>
        </w:rPr>
      </w:pPr>
    </w:p>
    <w:p w14:paraId="5DD141F8" w14:textId="77777777" w:rsidR="00B66747" w:rsidRDefault="00B66747">
      <w:pPr>
        <w:pBdr>
          <w:top w:val="nil"/>
          <w:left w:val="nil"/>
          <w:bottom w:val="nil"/>
          <w:right w:val="nil"/>
          <w:between w:val="nil"/>
        </w:pBdr>
        <w:spacing w:line="276" w:lineRule="auto"/>
        <w:rPr>
          <w:rFonts w:ascii="Aptos" w:eastAsia="Aptos" w:hAnsi="Aptos" w:cs="Aptos"/>
          <w:color w:val="000000"/>
          <w:sz w:val="22"/>
          <w:szCs w:val="22"/>
        </w:rPr>
      </w:pPr>
    </w:p>
    <w:p w14:paraId="3FDCB756" w14:textId="77777777" w:rsidR="00A50FD3" w:rsidRDefault="00303647">
      <w:pPr>
        <w:pBdr>
          <w:top w:val="nil"/>
          <w:left w:val="nil"/>
          <w:bottom w:val="nil"/>
          <w:right w:val="nil"/>
          <w:between w:val="nil"/>
        </w:pBdr>
        <w:spacing w:line="276" w:lineRule="auto"/>
        <w:rPr>
          <w:rFonts w:ascii="Aptos" w:eastAsia="Aptos" w:hAnsi="Aptos" w:cs="Aptos"/>
          <w:b/>
          <w:color w:val="000000"/>
          <w:sz w:val="22"/>
          <w:szCs w:val="22"/>
        </w:rPr>
      </w:pPr>
      <w:r>
        <w:rPr>
          <w:rFonts w:ascii="Aptos" w:eastAsia="Aptos" w:hAnsi="Aptos" w:cs="Aptos"/>
          <w:b/>
          <w:color w:val="000000"/>
          <w:sz w:val="22"/>
          <w:szCs w:val="22"/>
        </w:rPr>
        <w:t>Appendix A: Leadership Professional Development Plan</w:t>
      </w:r>
    </w:p>
    <w:p w14:paraId="11723BD5" w14:textId="77777777" w:rsidR="00A50FD3" w:rsidRDefault="00303647">
      <w:pPr>
        <w:rPr>
          <w:rFonts w:ascii="Calibri" w:eastAsia="Calibri" w:hAnsi="Calibri" w:cs="Calibri"/>
          <w:b/>
          <w:sz w:val="24"/>
        </w:rPr>
      </w:pPr>
      <w:r>
        <w:rPr>
          <w:rFonts w:ascii="Calibri" w:eastAsia="Calibri" w:hAnsi="Calibri" w:cs="Calibri"/>
          <w:b/>
          <w:sz w:val="24"/>
        </w:rPr>
        <w:t>Professional Development (PD) and Mentoring Support Plan for School Leaders Seeking Licensure</w:t>
      </w:r>
    </w:p>
    <w:p w14:paraId="666E08D5" w14:textId="77777777" w:rsidR="00A50FD3" w:rsidRDefault="00303647">
      <w:pPr>
        <w:rPr>
          <w:rFonts w:ascii="Calibri" w:eastAsia="Calibri" w:hAnsi="Calibri" w:cs="Calibri"/>
          <w:b/>
          <w:sz w:val="24"/>
        </w:rPr>
      </w:pPr>
      <w:r>
        <w:rPr>
          <w:rFonts w:ascii="Calibri" w:eastAsia="Calibri" w:hAnsi="Calibri" w:cs="Calibri"/>
          <w:b/>
          <w:sz w:val="24"/>
        </w:rPr>
        <w:t>Objective:</w:t>
      </w:r>
    </w:p>
    <w:p w14:paraId="2655C4E6" w14:textId="77777777" w:rsidR="00A50FD3" w:rsidRDefault="00303647">
      <w:pPr>
        <w:spacing w:before="240" w:after="240"/>
        <w:rPr>
          <w:rFonts w:ascii="Calibri" w:eastAsia="Calibri" w:hAnsi="Calibri" w:cs="Calibri"/>
          <w:sz w:val="24"/>
        </w:rPr>
      </w:pPr>
      <w:r>
        <w:rPr>
          <w:rFonts w:ascii="Calibri" w:eastAsia="Calibri" w:hAnsi="Calibri" w:cs="Calibri"/>
          <w:sz w:val="24"/>
        </w:rPr>
        <w:t>To support school leaders in completing the requirements for a Provisional Principal/Assistant Principal license while fostering their professional growth and leadership success.</w:t>
      </w:r>
    </w:p>
    <w:p w14:paraId="436F6626" w14:textId="77777777" w:rsidR="00A50FD3" w:rsidRDefault="00906A4C">
      <w:pPr>
        <w:rPr>
          <w:rFonts w:ascii="Aptos" w:eastAsia="Aptos" w:hAnsi="Aptos" w:cs="Aptos"/>
          <w:sz w:val="22"/>
          <w:szCs w:val="22"/>
        </w:rPr>
      </w:pPr>
      <w:r>
        <w:pict w14:anchorId="7F2E9AE6">
          <v:rect id="_x0000_i1025" style="width:0;height:1.5pt" o:hralign="center" o:hrstd="t" o:hr="t" fillcolor="#a0a0a0" stroked="f"/>
        </w:pict>
      </w:r>
    </w:p>
    <w:p w14:paraId="23AE9B4B" w14:textId="77777777" w:rsidR="00A50FD3" w:rsidRDefault="00303647">
      <w:pPr>
        <w:rPr>
          <w:rFonts w:ascii="Calibri" w:eastAsia="Calibri" w:hAnsi="Calibri" w:cs="Calibri"/>
          <w:b/>
          <w:sz w:val="24"/>
        </w:rPr>
      </w:pPr>
      <w:r>
        <w:rPr>
          <w:rFonts w:ascii="Calibri" w:eastAsia="Calibri" w:hAnsi="Calibri" w:cs="Calibri"/>
          <w:b/>
          <w:sz w:val="24"/>
        </w:rPr>
        <w:t>Plan Overview</w:t>
      </w:r>
    </w:p>
    <w:p w14:paraId="7C885DC4" w14:textId="77777777" w:rsidR="00A50FD3" w:rsidRDefault="00303647">
      <w:pPr>
        <w:rPr>
          <w:rFonts w:ascii="Calibri" w:eastAsia="Calibri" w:hAnsi="Calibri" w:cs="Calibri"/>
          <w:b/>
          <w:sz w:val="24"/>
        </w:rPr>
      </w:pPr>
      <w:r>
        <w:rPr>
          <w:rFonts w:ascii="Calibri" w:eastAsia="Calibri" w:hAnsi="Calibri" w:cs="Calibri"/>
          <w:b/>
          <w:sz w:val="24"/>
        </w:rPr>
        <w:t>1. Proven Mentorship Framework</w:t>
      </w:r>
    </w:p>
    <w:p w14:paraId="16821A06" w14:textId="77777777" w:rsidR="00A50FD3" w:rsidRDefault="00303647">
      <w:pPr>
        <w:numPr>
          <w:ilvl w:val="0"/>
          <w:numId w:val="1"/>
        </w:numPr>
        <w:spacing w:before="240"/>
        <w:rPr>
          <w:rFonts w:ascii="Calibri" w:eastAsia="Calibri" w:hAnsi="Calibri" w:cs="Calibri"/>
          <w:sz w:val="24"/>
        </w:rPr>
      </w:pPr>
      <w:r>
        <w:rPr>
          <w:rFonts w:ascii="Calibri" w:eastAsia="Calibri" w:hAnsi="Calibri" w:cs="Calibri"/>
          <w:sz w:val="24"/>
        </w:rPr>
        <w:t>NBPS has a strong track record of using Darcie Aungst to mentor new leaders, enabling them to:</w:t>
      </w:r>
    </w:p>
    <w:p w14:paraId="182D085D" w14:textId="77777777" w:rsidR="00A50FD3" w:rsidRDefault="00303647">
      <w:pPr>
        <w:numPr>
          <w:ilvl w:val="1"/>
          <w:numId w:val="1"/>
        </w:numPr>
        <w:rPr>
          <w:rFonts w:ascii="Calibri" w:eastAsia="Calibri" w:hAnsi="Calibri" w:cs="Calibri"/>
          <w:sz w:val="24"/>
        </w:rPr>
      </w:pPr>
      <w:r>
        <w:rPr>
          <w:rFonts w:ascii="Calibri" w:eastAsia="Calibri" w:hAnsi="Calibri" w:cs="Calibri"/>
          <w:sz w:val="24"/>
        </w:rPr>
        <w:t xml:space="preserve">Complete the </w:t>
      </w:r>
      <w:r>
        <w:rPr>
          <w:rFonts w:ascii="Calibri" w:eastAsia="Calibri" w:hAnsi="Calibri" w:cs="Calibri"/>
          <w:b/>
          <w:sz w:val="24"/>
        </w:rPr>
        <w:t>500-hour practicum</w:t>
      </w:r>
      <w:r>
        <w:rPr>
          <w:rFonts w:ascii="Calibri" w:eastAsia="Calibri" w:hAnsi="Calibri" w:cs="Calibri"/>
          <w:sz w:val="24"/>
        </w:rPr>
        <w:t xml:space="preserve"> and required mentoring/induction programs.</w:t>
      </w:r>
    </w:p>
    <w:p w14:paraId="12A68366" w14:textId="77777777" w:rsidR="00A50FD3" w:rsidRDefault="00303647">
      <w:pPr>
        <w:numPr>
          <w:ilvl w:val="1"/>
          <w:numId w:val="1"/>
        </w:numPr>
        <w:rPr>
          <w:rFonts w:ascii="Calibri" w:eastAsia="Calibri" w:hAnsi="Calibri" w:cs="Calibri"/>
          <w:sz w:val="24"/>
        </w:rPr>
      </w:pPr>
      <w:r>
        <w:rPr>
          <w:rFonts w:ascii="Calibri" w:eastAsia="Calibri" w:hAnsi="Calibri" w:cs="Calibri"/>
          <w:sz w:val="24"/>
        </w:rPr>
        <w:t>Transition successfully into leadership roles, demonstrating significant impact and success.</w:t>
      </w:r>
    </w:p>
    <w:p w14:paraId="190B8898" w14:textId="77777777" w:rsidR="00A50FD3" w:rsidRDefault="00303647">
      <w:pPr>
        <w:numPr>
          <w:ilvl w:val="0"/>
          <w:numId w:val="1"/>
        </w:numPr>
        <w:spacing w:after="240"/>
        <w:rPr>
          <w:rFonts w:ascii="Calibri" w:eastAsia="Calibri" w:hAnsi="Calibri" w:cs="Calibri"/>
          <w:sz w:val="24"/>
        </w:rPr>
      </w:pPr>
      <w:r>
        <w:rPr>
          <w:rFonts w:ascii="Calibri" w:eastAsia="Calibri" w:hAnsi="Calibri" w:cs="Calibri"/>
          <w:sz w:val="24"/>
        </w:rPr>
        <w:t>Superintendent will approve/verify completion of hours and select mentor(s) to ensure alignment with district priorities and optimal support for current and future leaders.</w:t>
      </w:r>
    </w:p>
    <w:p w14:paraId="6A83ECF5" w14:textId="77777777" w:rsidR="00A50FD3" w:rsidRDefault="00906A4C">
      <w:pPr>
        <w:rPr>
          <w:rFonts w:ascii="Aptos" w:eastAsia="Aptos" w:hAnsi="Aptos" w:cs="Aptos"/>
          <w:sz w:val="22"/>
          <w:szCs w:val="22"/>
        </w:rPr>
      </w:pPr>
      <w:r>
        <w:pict w14:anchorId="39F95FCB">
          <v:rect id="_x0000_i1026" style="width:0;height:1.5pt" o:hralign="center" o:hrstd="t" o:hr="t" fillcolor="#a0a0a0" stroked="f"/>
        </w:pict>
      </w:r>
    </w:p>
    <w:p w14:paraId="6226669E" w14:textId="77777777" w:rsidR="00A50FD3" w:rsidRDefault="00303647">
      <w:pPr>
        <w:rPr>
          <w:rFonts w:ascii="Calibri" w:eastAsia="Calibri" w:hAnsi="Calibri" w:cs="Calibri"/>
          <w:b/>
          <w:sz w:val="24"/>
        </w:rPr>
      </w:pPr>
      <w:r>
        <w:rPr>
          <w:rFonts w:ascii="Calibri" w:eastAsia="Calibri" w:hAnsi="Calibri" w:cs="Calibri"/>
          <w:b/>
          <w:sz w:val="24"/>
        </w:rPr>
        <w:t>2. Mentorship Program</w:t>
      </w:r>
    </w:p>
    <w:p w14:paraId="763B9FA6" w14:textId="77777777" w:rsidR="00A50FD3" w:rsidRDefault="00303647">
      <w:pPr>
        <w:numPr>
          <w:ilvl w:val="0"/>
          <w:numId w:val="8"/>
        </w:numPr>
        <w:spacing w:before="240"/>
        <w:rPr>
          <w:rFonts w:ascii="Calibri" w:eastAsia="Calibri" w:hAnsi="Calibri" w:cs="Calibri"/>
          <w:sz w:val="24"/>
        </w:rPr>
      </w:pPr>
      <w:r>
        <w:rPr>
          <w:rFonts w:ascii="Calibri" w:eastAsia="Calibri" w:hAnsi="Calibri" w:cs="Calibri"/>
          <w:b/>
          <w:sz w:val="24"/>
        </w:rPr>
        <w:t>Mentor Assignment:</w:t>
      </w:r>
    </w:p>
    <w:p w14:paraId="6868A4DB" w14:textId="77777777" w:rsidR="00A50FD3" w:rsidRDefault="00303647">
      <w:pPr>
        <w:numPr>
          <w:ilvl w:val="1"/>
          <w:numId w:val="8"/>
        </w:numPr>
        <w:rPr>
          <w:rFonts w:ascii="Calibri" w:eastAsia="Calibri" w:hAnsi="Calibri" w:cs="Calibri"/>
          <w:sz w:val="24"/>
        </w:rPr>
      </w:pPr>
      <w:r>
        <w:rPr>
          <w:rFonts w:ascii="Calibri" w:eastAsia="Calibri" w:hAnsi="Calibri" w:cs="Calibri"/>
          <w:sz w:val="24"/>
        </w:rPr>
        <w:t>Darcie Aungst, an experienced and licensed mentor, will oversee the mentorship program.</w:t>
      </w:r>
    </w:p>
    <w:p w14:paraId="118941A6" w14:textId="77777777" w:rsidR="00A50FD3" w:rsidRDefault="00303647">
      <w:pPr>
        <w:numPr>
          <w:ilvl w:val="0"/>
          <w:numId w:val="8"/>
        </w:numPr>
        <w:rPr>
          <w:rFonts w:ascii="Calibri" w:eastAsia="Calibri" w:hAnsi="Calibri" w:cs="Calibri"/>
          <w:sz w:val="24"/>
        </w:rPr>
      </w:pPr>
      <w:r>
        <w:rPr>
          <w:rFonts w:ascii="Calibri" w:eastAsia="Calibri" w:hAnsi="Calibri" w:cs="Calibri"/>
          <w:b/>
          <w:sz w:val="24"/>
        </w:rPr>
        <w:t>Mentorship Schedule:</w:t>
      </w:r>
    </w:p>
    <w:p w14:paraId="59A839D8" w14:textId="77777777" w:rsidR="00A50FD3" w:rsidRDefault="00303647">
      <w:pPr>
        <w:numPr>
          <w:ilvl w:val="1"/>
          <w:numId w:val="8"/>
        </w:numPr>
        <w:rPr>
          <w:rFonts w:ascii="Calibri" w:eastAsia="Calibri" w:hAnsi="Calibri" w:cs="Calibri"/>
          <w:sz w:val="24"/>
        </w:rPr>
      </w:pPr>
      <w:r>
        <w:rPr>
          <w:rFonts w:ascii="Calibri" w:eastAsia="Calibri" w:hAnsi="Calibri" w:cs="Calibri"/>
          <w:sz w:val="24"/>
        </w:rPr>
        <w:t>Regular check-ins and structured activities aligned with DESE guidelines.</w:t>
      </w:r>
    </w:p>
    <w:p w14:paraId="25C00AAE" w14:textId="77777777" w:rsidR="00A50FD3" w:rsidRDefault="00303647">
      <w:pPr>
        <w:numPr>
          <w:ilvl w:val="1"/>
          <w:numId w:val="8"/>
        </w:numPr>
        <w:rPr>
          <w:rFonts w:ascii="Calibri" w:eastAsia="Calibri" w:hAnsi="Calibri" w:cs="Calibri"/>
          <w:sz w:val="24"/>
        </w:rPr>
      </w:pPr>
      <w:r>
        <w:rPr>
          <w:rFonts w:ascii="Calibri" w:eastAsia="Calibri" w:hAnsi="Calibri" w:cs="Calibri"/>
          <w:sz w:val="24"/>
        </w:rPr>
        <w:t>Focus on leadership competencies such as instructional oversight, staff evaluations, and operational management.</w:t>
      </w:r>
    </w:p>
    <w:p w14:paraId="53668EAD" w14:textId="77777777" w:rsidR="00A50FD3" w:rsidRDefault="00303647">
      <w:pPr>
        <w:numPr>
          <w:ilvl w:val="0"/>
          <w:numId w:val="8"/>
        </w:numPr>
        <w:rPr>
          <w:rFonts w:ascii="Calibri" w:eastAsia="Calibri" w:hAnsi="Calibri" w:cs="Calibri"/>
          <w:sz w:val="24"/>
        </w:rPr>
      </w:pPr>
      <w:r>
        <w:rPr>
          <w:rFonts w:ascii="Calibri" w:eastAsia="Calibri" w:hAnsi="Calibri" w:cs="Calibri"/>
          <w:b/>
          <w:sz w:val="24"/>
        </w:rPr>
        <w:t>Documentation:</w:t>
      </w:r>
    </w:p>
    <w:p w14:paraId="207C580B" w14:textId="77777777" w:rsidR="00A50FD3" w:rsidRDefault="00303647">
      <w:pPr>
        <w:numPr>
          <w:ilvl w:val="1"/>
          <w:numId w:val="8"/>
        </w:numPr>
        <w:spacing w:after="240"/>
        <w:rPr>
          <w:rFonts w:ascii="Calibri" w:eastAsia="Calibri" w:hAnsi="Calibri" w:cs="Calibri"/>
          <w:sz w:val="24"/>
        </w:rPr>
      </w:pPr>
      <w:r>
        <w:rPr>
          <w:rFonts w:ascii="Calibri" w:eastAsia="Calibri" w:hAnsi="Calibri" w:cs="Calibri"/>
          <w:sz w:val="24"/>
        </w:rPr>
        <w:t>Use of standardized tracking template to log internship hours and mentor feedback.</w:t>
      </w:r>
    </w:p>
    <w:p w14:paraId="5D4A65A0" w14:textId="77777777" w:rsidR="00A50FD3" w:rsidRDefault="00906A4C">
      <w:pPr>
        <w:rPr>
          <w:rFonts w:ascii="Aptos" w:eastAsia="Aptos" w:hAnsi="Aptos" w:cs="Aptos"/>
          <w:sz w:val="22"/>
          <w:szCs w:val="22"/>
        </w:rPr>
      </w:pPr>
      <w:r>
        <w:pict w14:anchorId="2EDCBA80">
          <v:rect id="_x0000_i1027" style="width:0;height:1.5pt" o:hralign="center" o:hrstd="t" o:hr="t" fillcolor="#a0a0a0" stroked="f"/>
        </w:pict>
      </w:r>
    </w:p>
    <w:p w14:paraId="0A299DD8" w14:textId="77777777" w:rsidR="00A50FD3" w:rsidRDefault="00303647">
      <w:pPr>
        <w:rPr>
          <w:rFonts w:ascii="Calibri" w:eastAsia="Calibri" w:hAnsi="Calibri" w:cs="Calibri"/>
          <w:b/>
          <w:sz w:val="24"/>
        </w:rPr>
      </w:pPr>
      <w:r>
        <w:rPr>
          <w:rFonts w:ascii="Calibri" w:eastAsia="Calibri" w:hAnsi="Calibri" w:cs="Calibri"/>
          <w:b/>
          <w:sz w:val="24"/>
        </w:rPr>
        <w:t>3. Professional Development Sessions</w:t>
      </w:r>
    </w:p>
    <w:p w14:paraId="79991E77" w14:textId="77777777" w:rsidR="00A50FD3" w:rsidRDefault="00303647">
      <w:pPr>
        <w:numPr>
          <w:ilvl w:val="0"/>
          <w:numId w:val="7"/>
        </w:numPr>
        <w:spacing w:before="240"/>
        <w:rPr>
          <w:rFonts w:ascii="Calibri" w:eastAsia="Calibri" w:hAnsi="Calibri" w:cs="Calibri"/>
          <w:sz w:val="24"/>
        </w:rPr>
      </w:pPr>
      <w:r>
        <w:rPr>
          <w:rFonts w:ascii="Calibri" w:eastAsia="Calibri" w:hAnsi="Calibri" w:cs="Calibri"/>
          <w:sz w:val="24"/>
        </w:rPr>
        <w:t>Monthly PD workshops addressing:</w:t>
      </w:r>
    </w:p>
    <w:p w14:paraId="0232A183" w14:textId="77777777" w:rsidR="00A50FD3" w:rsidRDefault="00303647">
      <w:pPr>
        <w:numPr>
          <w:ilvl w:val="1"/>
          <w:numId w:val="7"/>
        </w:numPr>
        <w:rPr>
          <w:rFonts w:ascii="Calibri" w:eastAsia="Calibri" w:hAnsi="Calibri" w:cs="Calibri"/>
          <w:sz w:val="24"/>
        </w:rPr>
      </w:pPr>
      <w:r>
        <w:rPr>
          <w:rFonts w:ascii="Calibri" w:eastAsia="Calibri" w:hAnsi="Calibri" w:cs="Calibri"/>
          <w:sz w:val="24"/>
        </w:rPr>
        <w:t>Instructional leadership and communication strategies.</w:t>
      </w:r>
    </w:p>
    <w:p w14:paraId="6B6ACFD1" w14:textId="77777777" w:rsidR="00A50FD3" w:rsidRDefault="00303647">
      <w:pPr>
        <w:numPr>
          <w:ilvl w:val="1"/>
          <w:numId w:val="7"/>
        </w:numPr>
        <w:rPr>
          <w:rFonts w:ascii="Calibri" w:eastAsia="Calibri" w:hAnsi="Calibri" w:cs="Calibri"/>
          <w:sz w:val="24"/>
        </w:rPr>
      </w:pPr>
      <w:r>
        <w:rPr>
          <w:rFonts w:ascii="Calibri" w:eastAsia="Calibri" w:hAnsi="Calibri" w:cs="Calibri"/>
          <w:sz w:val="24"/>
        </w:rPr>
        <w:t>Equity, inclusion, and culturally responsive practices.</w:t>
      </w:r>
    </w:p>
    <w:p w14:paraId="7BB36BBA" w14:textId="77777777" w:rsidR="00A50FD3" w:rsidRDefault="00303647">
      <w:pPr>
        <w:numPr>
          <w:ilvl w:val="1"/>
          <w:numId w:val="7"/>
        </w:numPr>
        <w:rPr>
          <w:rFonts w:ascii="Calibri" w:eastAsia="Calibri" w:hAnsi="Calibri" w:cs="Calibri"/>
          <w:sz w:val="24"/>
        </w:rPr>
      </w:pPr>
      <w:r>
        <w:rPr>
          <w:rFonts w:ascii="Calibri" w:eastAsia="Calibri" w:hAnsi="Calibri" w:cs="Calibri"/>
          <w:sz w:val="24"/>
        </w:rPr>
        <w:t>Strategic decision-making and operational management.</w:t>
      </w:r>
    </w:p>
    <w:p w14:paraId="2D38B795" w14:textId="77777777" w:rsidR="00A50FD3" w:rsidRDefault="00303647">
      <w:pPr>
        <w:numPr>
          <w:ilvl w:val="0"/>
          <w:numId w:val="7"/>
        </w:numPr>
        <w:spacing w:after="240"/>
        <w:rPr>
          <w:rFonts w:ascii="Calibri" w:eastAsia="Calibri" w:hAnsi="Calibri" w:cs="Calibri"/>
          <w:sz w:val="24"/>
        </w:rPr>
      </w:pPr>
      <w:r>
        <w:rPr>
          <w:rFonts w:ascii="Calibri" w:eastAsia="Calibri" w:hAnsi="Calibri" w:cs="Calibri"/>
          <w:sz w:val="24"/>
        </w:rPr>
        <w:t>Real-world case studies and scenarios to enhance practical learning.</w:t>
      </w:r>
    </w:p>
    <w:p w14:paraId="73E79017" w14:textId="77777777" w:rsidR="00A50FD3" w:rsidRDefault="00906A4C">
      <w:pPr>
        <w:rPr>
          <w:rFonts w:ascii="Aptos" w:eastAsia="Aptos" w:hAnsi="Aptos" w:cs="Aptos"/>
          <w:sz w:val="22"/>
          <w:szCs w:val="22"/>
        </w:rPr>
      </w:pPr>
      <w:r>
        <w:pict w14:anchorId="64EB8C7A">
          <v:rect id="_x0000_i1028" style="width:0;height:1.5pt" o:hralign="center" o:hrstd="t" o:hr="t" fillcolor="#a0a0a0" stroked="f"/>
        </w:pict>
      </w:r>
    </w:p>
    <w:p w14:paraId="158FAEB4" w14:textId="77777777" w:rsidR="00A50FD3" w:rsidRDefault="00303647">
      <w:pPr>
        <w:rPr>
          <w:rFonts w:ascii="Calibri" w:eastAsia="Calibri" w:hAnsi="Calibri" w:cs="Calibri"/>
          <w:b/>
          <w:sz w:val="24"/>
        </w:rPr>
      </w:pPr>
      <w:r>
        <w:rPr>
          <w:rFonts w:ascii="Calibri" w:eastAsia="Calibri" w:hAnsi="Calibri" w:cs="Calibri"/>
          <w:b/>
          <w:sz w:val="24"/>
        </w:rPr>
        <w:t>4. Administrative and Application Support</w:t>
      </w:r>
    </w:p>
    <w:p w14:paraId="442DFC0B" w14:textId="77777777" w:rsidR="00A50FD3" w:rsidRDefault="00303647">
      <w:pPr>
        <w:numPr>
          <w:ilvl w:val="0"/>
          <w:numId w:val="3"/>
        </w:numPr>
        <w:spacing w:before="240"/>
        <w:rPr>
          <w:rFonts w:ascii="Calibri" w:eastAsia="Calibri" w:hAnsi="Calibri" w:cs="Calibri"/>
          <w:sz w:val="24"/>
        </w:rPr>
      </w:pPr>
      <w:r>
        <w:rPr>
          <w:rFonts w:ascii="Calibri" w:eastAsia="Calibri" w:hAnsi="Calibri" w:cs="Calibri"/>
          <w:b/>
          <w:sz w:val="24"/>
        </w:rPr>
        <w:t>Verification and Resources:</w:t>
      </w:r>
    </w:p>
    <w:p w14:paraId="332B04DE" w14:textId="77777777" w:rsidR="00A50FD3" w:rsidRDefault="00303647">
      <w:pPr>
        <w:numPr>
          <w:ilvl w:val="1"/>
          <w:numId w:val="3"/>
        </w:numPr>
        <w:rPr>
          <w:rFonts w:ascii="Calibri" w:eastAsia="Calibri" w:hAnsi="Calibri" w:cs="Calibri"/>
          <w:sz w:val="24"/>
        </w:rPr>
      </w:pPr>
      <w:r>
        <w:rPr>
          <w:rFonts w:ascii="Calibri" w:eastAsia="Calibri" w:hAnsi="Calibri" w:cs="Calibri"/>
          <w:sz w:val="24"/>
        </w:rPr>
        <w:t>Assist candidates in verifying employment history and SEI endorsements.</w:t>
      </w:r>
    </w:p>
    <w:p w14:paraId="14668E72" w14:textId="77777777" w:rsidR="00A50FD3" w:rsidRDefault="00303647">
      <w:pPr>
        <w:numPr>
          <w:ilvl w:val="1"/>
          <w:numId w:val="3"/>
        </w:numPr>
        <w:spacing w:after="240"/>
        <w:rPr>
          <w:rFonts w:ascii="Calibri" w:eastAsia="Calibri" w:hAnsi="Calibri" w:cs="Calibri"/>
          <w:sz w:val="24"/>
        </w:rPr>
      </w:pPr>
      <w:r>
        <w:rPr>
          <w:rFonts w:ascii="Calibri" w:eastAsia="Calibri" w:hAnsi="Calibri" w:cs="Calibri"/>
          <w:sz w:val="24"/>
        </w:rPr>
        <w:t>Provide resources for MTEL preparation if needed.</w:t>
      </w:r>
    </w:p>
    <w:p w14:paraId="3D735E11" w14:textId="77777777" w:rsidR="00A50FD3" w:rsidRDefault="00906A4C">
      <w:pPr>
        <w:rPr>
          <w:rFonts w:ascii="Aptos" w:eastAsia="Aptos" w:hAnsi="Aptos" w:cs="Aptos"/>
          <w:sz w:val="22"/>
          <w:szCs w:val="22"/>
        </w:rPr>
      </w:pPr>
      <w:r>
        <w:pict w14:anchorId="3B790534">
          <v:rect id="_x0000_i1029" style="width:0;height:1.5pt" o:hralign="center" o:hrstd="t" o:hr="t" fillcolor="#a0a0a0" stroked="f"/>
        </w:pict>
      </w:r>
    </w:p>
    <w:p w14:paraId="0DEC83ED" w14:textId="77777777" w:rsidR="00A50FD3" w:rsidRDefault="00303647">
      <w:pPr>
        <w:rPr>
          <w:rFonts w:ascii="Calibri" w:eastAsia="Calibri" w:hAnsi="Calibri" w:cs="Calibri"/>
          <w:b/>
          <w:sz w:val="24"/>
        </w:rPr>
      </w:pPr>
      <w:r>
        <w:rPr>
          <w:rFonts w:ascii="Calibri" w:eastAsia="Calibri" w:hAnsi="Calibri" w:cs="Calibri"/>
          <w:b/>
          <w:sz w:val="24"/>
        </w:rPr>
        <w:t>5. Progress Monitoring</w:t>
      </w:r>
    </w:p>
    <w:p w14:paraId="458DD518" w14:textId="77777777" w:rsidR="00A50FD3" w:rsidRDefault="00303647">
      <w:pPr>
        <w:numPr>
          <w:ilvl w:val="0"/>
          <w:numId w:val="2"/>
        </w:numPr>
        <w:spacing w:before="240"/>
        <w:rPr>
          <w:rFonts w:ascii="Calibri" w:eastAsia="Calibri" w:hAnsi="Calibri" w:cs="Calibri"/>
          <w:sz w:val="24"/>
        </w:rPr>
      </w:pPr>
      <w:r>
        <w:rPr>
          <w:rFonts w:ascii="Calibri" w:eastAsia="Calibri" w:hAnsi="Calibri" w:cs="Calibri"/>
          <w:sz w:val="24"/>
        </w:rPr>
        <w:lastRenderedPageBreak/>
        <w:t>Regular progress reviews with mentees to assess:</w:t>
      </w:r>
    </w:p>
    <w:p w14:paraId="6D34C3D2" w14:textId="77777777" w:rsidR="00A50FD3" w:rsidRDefault="00303647">
      <w:pPr>
        <w:numPr>
          <w:ilvl w:val="1"/>
          <w:numId w:val="2"/>
        </w:numPr>
        <w:rPr>
          <w:rFonts w:ascii="Calibri" w:eastAsia="Calibri" w:hAnsi="Calibri" w:cs="Calibri"/>
          <w:sz w:val="24"/>
        </w:rPr>
      </w:pPr>
      <w:r>
        <w:rPr>
          <w:rFonts w:ascii="Calibri" w:eastAsia="Calibri" w:hAnsi="Calibri" w:cs="Calibri"/>
          <w:sz w:val="24"/>
        </w:rPr>
        <w:t>Completion of practicum hours.</w:t>
      </w:r>
    </w:p>
    <w:p w14:paraId="1C4941C8" w14:textId="77777777" w:rsidR="00A50FD3" w:rsidRDefault="00303647">
      <w:pPr>
        <w:numPr>
          <w:ilvl w:val="1"/>
          <w:numId w:val="2"/>
        </w:numPr>
        <w:rPr>
          <w:rFonts w:ascii="Calibri" w:eastAsia="Calibri" w:hAnsi="Calibri" w:cs="Calibri"/>
          <w:sz w:val="24"/>
        </w:rPr>
      </w:pPr>
      <w:r>
        <w:rPr>
          <w:rFonts w:ascii="Calibri" w:eastAsia="Calibri" w:hAnsi="Calibri" w:cs="Calibri"/>
          <w:sz w:val="24"/>
        </w:rPr>
        <w:t>Growth in leadership competencies.</w:t>
      </w:r>
    </w:p>
    <w:p w14:paraId="416D5E1D" w14:textId="77777777" w:rsidR="00A50FD3" w:rsidRDefault="00303647">
      <w:pPr>
        <w:numPr>
          <w:ilvl w:val="0"/>
          <w:numId w:val="2"/>
        </w:numPr>
        <w:spacing w:after="240"/>
        <w:rPr>
          <w:rFonts w:ascii="Calibri" w:eastAsia="Calibri" w:hAnsi="Calibri" w:cs="Calibri"/>
          <w:sz w:val="24"/>
        </w:rPr>
      </w:pPr>
      <w:r>
        <w:rPr>
          <w:rFonts w:ascii="Calibri" w:eastAsia="Calibri" w:hAnsi="Calibri" w:cs="Calibri"/>
          <w:sz w:val="24"/>
        </w:rPr>
        <w:t>Mentor evaluations and feedback to address areas for improvement.</w:t>
      </w:r>
    </w:p>
    <w:p w14:paraId="1BC04AD1" w14:textId="77777777" w:rsidR="00A50FD3" w:rsidRDefault="00906A4C">
      <w:pPr>
        <w:rPr>
          <w:rFonts w:ascii="Aptos" w:eastAsia="Aptos" w:hAnsi="Aptos" w:cs="Aptos"/>
          <w:sz w:val="22"/>
          <w:szCs w:val="22"/>
        </w:rPr>
      </w:pPr>
      <w:r>
        <w:pict w14:anchorId="2CC97069">
          <v:rect id="_x0000_i1030" style="width:0;height:1.5pt" o:hralign="center" o:hrstd="t" o:hr="t" fillcolor="#a0a0a0" stroked="f"/>
        </w:pict>
      </w:r>
    </w:p>
    <w:p w14:paraId="3B02E3F5" w14:textId="77777777" w:rsidR="00A50FD3" w:rsidRDefault="00303647">
      <w:pPr>
        <w:rPr>
          <w:rFonts w:ascii="Calibri" w:eastAsia="Calibri" w:hAnsi="Calibri" w:cs="Calibri"/>
          <w:b/>
          <w:sz w:val="24"/>
        </w:rPr>
      </w:pPr>
      <w:r>
        <w:rPr>
          <w:rFonts w:ascii="Calibri" w:eastAsia="Calibri" w:hAnsi="Calibri" w:cs="Calibri"/>
          <w:b/>
          <w:sz w:val="24"/>
        </w:rPr>
        <w:t>Timeline for Implementation</w:t>
      </w:r>
    </w:p>
    <w:tbl>
      <w:tblPr>
        <w:tblStyle w:val="af"/>
        <w:tblW w:w="9225" w:type="dxa"/>
        <w:tblLayout w:type="fixed"/>
        <w:tblLook w:val="0620" w:firstRow="1" w:lastRow="0" w:firstColumn="0" w:lastColumn="0" w:noHBand="1" w:noVBand="1"/>
      </w:tblPr>
      <w:tblGrid>
        <w:gridCol w:w="3740"/>
        <w:gridCol w:w="2165"/>
        <w:gridCol w:w="3320"/>
      </w:tblGrid>
      <w:tr w:rsidR="00A50FD3" w14:paraId="1049D7B0" w14:textId="77777777" w:rsidTr="00064D7B">
        <w:trPr>
          <w:trHeight w:val="560"/>
        </w:trPr>
        <w:tc>
          <w:tcPr>
            <w:tcW w:w="3740" w:type="dxa"/>
            <w:tcMar>
              <w:top w:w="100" w:type="dxa"/>
              <w:left w:w="100" w:type="dxa"/>
              <w:bottom w:w="100" w:type="dxa"/>
              <w:right w:w="100" w:type="dxa"/>
            </w:tcMar>
          </w:tcPr>
          <w:p w14:paraId="78EFF209" w14:textId="77777777" w:rsidR="00A50FD3" w:rsidRDefault="00303647">
            <w:pPr>
              <w:jc w:val="center"/>
              <w:rPr>
                <w:rFonts w:ascii="Aptos" w:eastAsia="Aptos" w:hAnsi="Aptos" w:cs="Aptos"/>
                <w:sz w:val="22"/>
                <w:szCs w:val="22"/>
              </w:rPr>
            </w:pPr>
            <w:r>
              <w:rPr>
                <w:rFonts w:ascii="Calibri" w:eastAsia="Calibri" w:hAnsi="Calibri" w:cs="Calibri"/>
                <w:b/>
                <w:sz w:val="24"/>
              </w:rPr>
              <w:t>Milestone</w:t>
            </w:r>
          </w:p>
        </w:tc>
        <w:tc>
          <w:tcPr>
            <w:tcW w:w="2165" w:type="dxa"/>
            <w:tcMar>
              <w:top w:w="100" w:type="dxa"/>
              <w:left w:w="100" w:type="dxa"/>
              <w:bottom w:w="100" w:type="dxa"/>
              <w:right w:w="100" w:type="dxa"/>
            </w:tcMar>
          </w:tcPr>
          <w:p w14:paraId="282540C7" w14:textId="77777777" w:rsidR="00A50FD3" w:rsidRDefault="00303647">
            <w:pPr>
              <w:jc w:val="center"/>
              <w:rPr>
                <w:rFonts w:ascii="Aptos" w:eastAsia="Aptos" w:hAnsi="Aptos" w:cs="Aptos"/>
                <w:sz w:val="22"/>
                <w:szCs w:val="22"/>
              </w:rPr>
            </w:pPr>
            <w:r>
              <w:rPr>
                <w:rFonts w:ascii="Calibri" w:eastAsia="Calibri" w:hAnsi="Calibri" w:cs="Calibri"/>
                <w:b/>
                <w:sz w:val="24"/>
              </w:rPr>
              <w:t>Deadline</w:t>
            </w:r>
          </w:p>
        </w:tc>
        <w:tc>
          <w:tcPr>
            <w:tcW w:w="3320" w:type="dxa"/>
            <w:tcMar>
              <w:top w:w="100" w:type="dxa"/>
              <w:left w:w="100" w:type="dxa"/>
              <w:bottom w:w="100" w:type="dxa"/>
              <w:right w:w="100" w:type="dxa"/>
            </w:tcMar>
          </w:tcPr>
          <w:p w14:paraId="3832CF5C" w14:textId="77777777" w:rsidR="00A50FD3" w:rsidRDefault="00303647">
            <w:pPr>
              <w:jc w:val="center"/>
              <w:rPr>
                <w:rFonts w:ascii="Aptos" w:eastAsia="Aptos" w:hAnsi="Aptos" w:cs="Aptos"/>
                <w:sz w:val="22"/>
                <w:szCs w:val="22"/>
              </w:rPr>
            </w:pPr>
            <w:r>
              <w:rPr>
                <w:rFonts w:ascii="Calibri" w:eastAsia="Calibri" w:hAnsi="Calibri" w:cs="Calibri"/>
                <w:b/>
                <w:sz w:val="24"/>
              </w:rPr>
              <w:t>Responsible Party</w:t>
            </w:r>
          </w:p>
        </w:tc>
      </w:tr>
      <w:tr w:rsidR="00A50FD3" w14:paraId="51A12C7B" w14:textId="77777777" w:rsidTr="00064D7B">
        <w:trPr>
          <w:trHeight w:val="560"/>
        </w:trPr>
        <w:tc>
          <w:tcPr>
            <w:tcW w:w="3740" w:type="dxa"/>
            <w:tcMar>
              <w:top w:w="100" w:type="dxa"/>
              <w:left w:w="100" w:type="dxa"/>
              <w:bottom w:w="100" w:type="dxa"/>
              <w:right w:w="100" w:type="dxa"/>
            </w:tcMar>
          </w:tcPr>
          <w:p w14:paraId="7BE4378D" w14:textId="77777777" w:rsidR="00A50FD3" w:rsidRDefault="00303647">
            <w:pPr>
              <w:rPr>
                <w:rFonts w:ascii="Aptos" w:eastAsia="Aptos" w:hAnsi="Aptos" w:cs="Aptos"/>
                <w:sz w:val="22"/>
                <w:szCs w:val="22"/>
              </w:rPr>
            </w:pPr>
            <w:r>
              <w:rPr>
                <w:rFonts w:ascii="Calibri" w:eastAsia="Calibri" w:hAnsi="Calibri" w:cs="Calibri"/>
                <w:sz w:val="24"/>
              </w:rPr>
              <w:t>Orientation session for mentees</w:t>
            </w:r>
          </w:p>
        </w:tc>
        <w:tc>
          <w:tcPr>
            <w:tcW w:w="2165" w:type="dxa"/>
            <w:tcMar>
              <w:top w:w="100" w:type="dxa"/>
              <w:left w:w="100" w:type="dxa"/>
              <w:bottom w:w="100" w:type="dxa"/>
              <w:right w:w="100" w:type="dxa"/>
            </w:tcMar>
          </w:tcPr>
          <w:p w14:paraId="7D341A66" w14:textId="77777777" w:rsidR="00A50FD3" w:rsidRDefault="00303647">
            <w:pPr>
              <w:rPr>
                <w:rFonts w:ascii="Calibri" w:eastAsia="Calibri" w:hAnsi="Calibri" w:cs="Calibri"/>
                <w:sz w:val="24"/>
              </w:rPr>
            </w:pPr>
            <w:r>
              <w:rPr>
                <w:rFonts w:ascii="Calibri" w:eastAsia="Calibri" w:hAnsi="Calibri" w:cs="Calibri"/>
                <w:sz w:val="24"/>
              </w:rPr>
              <w:t>December 2024</w:t>
            </w:r>
          </w:p>
        </w:tc>
        <w:tc>
          <w:tcPr>
            <w:tcW w:w="3320" w:type="dxa"/>
            <w:tcMar>
              <w:top w:w="100" w:type="dxa"/>
              <w:left w:w="100" w:type="dxa"/>
              <w:bottom w:w="100" w:type="dxa"/>
              <w:right w:w="100" w:type="dxa"/>
            </w:tcMar>
          </w:tcPr>
          <w:p w14:paraId="52E5B6C3" w14:textId="77777777" w:rsidR="00A50FD3" w:rsidRDefault="00303647">
            <w:pPr>
              <w:rPr>
                <w:rFonts w:ascii="Aptos" w:eastAsia="Aptos" w:hAnsi="Aptos" w:cs="Aptos"/>
                <w:sz w:val="22"/>
                <w:szCs w:val="22"/>
              </w:rPr>
            </w:pPr>
            <w:r>
              <w:rPr>
                <w:rFonts w:ascii="Calibri" w:eastAsia="Calibri" w:hAnsi="Calibri" w:cs="Calibri"/>
                <w:sz w:val="24"/>
              </w:rPr>
              <w:t>District Liaison</w:t>
            </w:r>
          </w:p>
        </w:tc>
      </w:tr>
      <w:tr w:rsidR="00A50FD3" w14:paraId="6913F216" w14:textId="77777777" w:rsidTr="00064D7B">
        <w:trPr>
          <w:trHeight w:val="560"/>
        </w:trPr>
        <w:tc>
          <w:tcPr>
            <w:tcW w:w="3740" w:type="dxa"/>
            <w:tcMar>
              <w:top w:w="100" w:type="dxa"/>
              <w:left w:w="100" w:type="dxa"/>
              <w:bottom w:w="100" w:type="dxa"/>
              <w:right w:w="100" w:type="dxa"/>
            </w:tcMar>
          </w:tcPr>
          <w:p w14:paraId="2F345C20" w14:textId="77777777" w:rsidR="00A50FD3" w:rsidRDefault="00303647">
            <w:pPr>
              <w:rPr>
                <w:rFonts w:ascii="Aptos" w:eastAsia="Aptos" w:hAnsi="Aptos" w:cs="Aptos"/>
                <w:sz w:val="22"/>
                <w:szCs w:val="22"/>
              </w:rPr>
            </w:pPr>
            <w:r>
              <w:rPr>
                <w:rFonts w:ascii="Calibri" w:eastAsia="Calibri" w:hAnsi="Calibri" w:cs="Calibri"/>
                <w:sz w:val="24"/>
              </w:rPr>
              <w:t>Biweekly mentorship check-ins</w:t>
            </w:r>
          </w:p>
        </w:tc>
        <w:tc>
          <w:tcPr>
            <w:tcW w:w="2165" w:type="dxa"/>
            <w:tcMar>
              <w:top w:w="100" w:type="dxa"/>
              <w:left w:w="100" w:type="dxa"/>
              <w:bottom w:w="100" w:type="dxa"/>
              <w:right w:w="100" w:type="dxa"/>
            </w:tcMar>
          </w:tcPr>
          <w:p w14:paraId="06BF119E" w14:textId="77777777" w:rsidR="00A50FD3" w:rsidRDefault="00303647">
            <w:pPr>
              <w:rPr>
                <w:rFonts w:ascii="Calibri" w:eastAsia="Calibri" w:hAnsi="Calibri" w:cs="Calibri"/>
                <w:sz w:val="24"/>
              </w:rPr>
            </w:pPr>
            <w:r>
              <w:rPr>
                <w:rFonts w:ascii="Calibri" w:eastAsia="Calibri" w:hAnsi="Calibri" w:cs="Calibri"/>
                <w:sz w:val="24"/>
              </w:rPr>
              <w:t>January-June 2025</w:t>
            </w:r>
          </w:p>
        </w:tc>
        <w:tc>
          <w:tcPr>
            <w:tcW w:w="3320" w:type="dxa"/>
            <w:tcMar>
              <w:top w:w="100" w:type="dxa"/>
              <w:left w:w="100" w:type="dxa"/>
              <w:bottom w:w="100" w:type="dxa"/>
              <w:right w:w="100" w:type="dxa"/>
            </w:tcMar>
          </w:tcPr>
          <w:p w14:paraId="6B1393A4" w14:textId="77777777" w:rsidR="00A50FD3" w:rsidRDefault="00303647">
            <w:pPr>
              <w:rPr>
                <w:rFonts w:ascii="Aptos" w:eastAsia="Aptos" w:hAnsi="Aptos" w:cs="Aptos"/>
                <w:sz w:val="22"/>
                <w:szCs w:val="22"/>
              </w:rPr>
            </w:pPr>
            <w:r>
              <w:rPr>
                <w:rFonts w:ascii="Calibri" w:eastAsia="Calibri" w:hAnsi="Calibri" w:cs="Calibri"/>
                <w:sz w:val="24"/>
              </w:rPr>
              <w:t>Assigned Mentors</w:t>
            </w:r>
          </w:p>
        </w:tc>
      </w:tr>
      <w:tr w:rsidR="00A50FD3" w14:paraId="72F53D60" w14:textId="77777777" w:rsidTr="00064D7B">
        <w:trPr>
          <w:trHeight w:val="560"/>
        </w:trPr>
        <w:tc>
          <w:tcPr>
            <w:tcW w:w="3740" w:type="dxa"/>
            <w:tcMar>
              <w:top w:w="100" w:type="dxa"/>
              <w:left w:w="100" w:type="dxa"/>
              <w:bottom w:w="100" w:type="dxa"/>
              <w:right w:w="100" w:type="dxa"/>
            </w:tcMar>
          </w:tcPr>
          <w:p w14:paraId="3D3B2B68" w14:textId="77777777" w:rsidR="00A50FD3" w:rsidRDefault="00303647">
            <w:pPr>
              <w:rPr>
                <w:rFonts w:ascii="Aptos" w:eastAsia="Aptos" w:hAnsi="Aptos" w:cs="Aptos"/>
                <w:sz w:val="22"/>
                <w:szCs w:val="22"/>
              </w:rPr>
            </w:pPr>
            <w:r>
              <w:rPr>
                <w:rFonts w:ascii="Calibri" w:eastAsia="Calibri" w:hAnsi="Calibri" w:cs="Calibri"/>
                <w:sz w:val="24"/>
              </w:rPr>
              <w:t>Monthly PD workshops</w:t>
            </w:r>
          </w:p>
        </w:tc>
        <w:tc>
          <w:tcPr>
            <w:tcW w:w="2165" w:type="dxa"/>
            <w:tcMar>
              <w:top w:w="100" w:type="dxa"/>
              <w:left w:w="100" w:type="dxa"/>
              <w:bottom w:w="100" w:type="dxa"/>
              <w:right w:w="100" w:type="dxa"/>
            </w:tcMar>
          </w:tcPr>
          <w:p w14:paraId="21FD0076" w14:textId="77777777" w:rsidR="00A50FD3" w:rsidRDefault="00303647">
            <w:pPr>
              <w:rPr>
                <w:rFonts w:ascii="Calibri" w:eastAsia="Calibri" w:hAnsi="Calibri" w:cs="Calibri"/>
                <w:sz w:val="24"/>
              </w:rPr>
            </w:pPr>
            <w:r>
              <w:rPr>
                <w:rFonts w:ascii="Calibri" w:eastAsia="Calibri" w:hAnsi="Calibri" w:cs="Calibri"/>
                <w:sz w:val="24"/>
              </w:rPr>
              <w:t>January-June 2025</w:t>
            </w:r>
          </w:p>
        </w:tc>
        <w:tc>
          <w:tcPr>
            <w:tcW w:w="3320" w:type="dxa"/>
            <w:tcMar>
              <w:top w:w="100" w:type="dxa"/>
              <w:left w:w="100" w:type="dxa"/>
              <w:bottom w:w="100" w:type="dxa"/>
              <w:right w:w="100" w:type="dxa"/>
            </w:tcMar>
          </w:tcPr>
          <w:p w14:paraId="020773E1" w14:textId="77777777" w:rsidR="00A50FD3" w:rsidRDefault="00303647">
            <w:pPr>
              <w:rPr>
                <w:rFonts w:ascii="Aptos" w:eastAsia="Aptos" w:hAnsi="Aptos" w:cs="Aptos"/>
                <w:sz w:val="22"/>
                <w:szCs w:val="22"/>
              </w:rPr>
            </w:pPr>
            <w:r>
              <w:rPr>
                <w:rFonts w:ascii="Calibri" w:eastAsia="Calibri" w:hAnsi="Calibri" w:cs="Calibri"/>
                <w:sz w:val="24"/>
              </w:rPr>
              <w:t>PD Coordinator</w:t>
            </w:r>
          </w:p>
        </w:tc>
      </w:tr>
      <w:tr w:rsidR="00A50FD3" w14:paraId="4624C504" w14:textId="77777777" w:rsidTr="00064D7B">
        <w:trPr>
          <w:trHeight w:val="560"/>
        </w:trPr>
        <w:tc>
          <w:tcPr>
            <w:tcW w:w="3740" w:type="dxa"/>
            <w:tcMar>
              <w:top w:w="100" w:type="dxa"/>
              <w:left w:w="100" w:type="dxa"/>
              <w:bottom w:w="100" w:type="dxa"/>
              <w:right w:w="100" w:type="dxa"/>
            </w:tcMar>
          </w:tcPr>
          <w:p w14:paraId="45408663" w14:textId="77777777" w:rsidR="00A50FD3" w:rsidRDefault="00303647">
            <w:pPr>
              <w:rPr>
                <w:rFonts w:ascii="Aptos" w:eastAsia="Aptos" w:hAnsi="Aptos" w:cs="Aptos"/>
                <w:sz w:val="22"/>
                <w:szCs w:val="22"/>
              </w:rPr>
            </w:pPr>
            <w:r>
              <w:rPr>
                <w:rFonts w:ascii="Calibri" w:eastAsia="Calibri" w:hAnsi="Calibri" w:cs="Calibri"/>
                <w:sz w:val="24"/>
              </w:rPr>
              <w:t>Internship hours completed</w:t>
            </w:r>
          </w:p>
        </w:tc>
        <w:tc>
          <w:tcPr>
            <w:tcW w:w="2165" w:type="dxa"/>
            <w:tcMar>
              <w:top w:w="100" w:type="dxa"/>
              <w:left w:w="100" w:type="dxa"/>
              <w:bottom w:w="100" w:type="dxa"/>
              <w:right w:w="100" w:type="dxa"/>
            </w:tcMar>
          </w:tcPr>
          <w:p w14:paraId="57704DC5" w14:textId="77777777" w:rsidR="00A50FD3" w:rsidRDefault="00303647">
            <w:pPr>
              <w:rPr>
                <w:rFonts w:ascii="Calibri" w:eastAsia="Calibri" w:hAnsi="Calibri" w:cs="Calibri"/>
                <w:sz w:val="24"/>
              </w:rPr>
            </w:pPr>
            <w:r>
              <w:rPr>
                <w:rFonts w:ascii="Calibri" w:eastAsia="Calibri" w:hAnsi="Calibri" w:cs="Calibri"/>
                <w:sz w:val="24"/>
              </w:rPr>
              <w:t>May 2025</w:t>
            </w:r>
          </w:p>
        </w:tc>
        <w:tc>
          <w:tcPr>
            <w:tcW w:w="3320" w:type="dxa"/>
            <w:tcMar>
              <w:top w:w="100" w:type="dxa"/>
              <w:left w:w="100" w:type="dxa"/>
              <w:bottom w:w="100" w:type="dxa"/>
              <w:right w:w="100" w:type="dxa"/>
            </w:tcMar>
          </w:tcPr>
          <w:p w14:paraId="0A645530" w14:textId="77777777" w:rsidR="00A50FD3" w:rsidRDefault="00303647">
            <w:pPr>
              <w:rPr>
                <w:rFonts w:ascii="Aptos" w:eastAsia="Aptos" w:hAnsi="Aptos" w:cs="Aptos"/>
                <w:sz w:val="22"/>
                <w:szCs w:val="22"/>
              </w:rPr>
            </w:pPr>
            <w:r>
              <w:rPr>
                <w:rFonts w:ascii="Calibri" w:eastAsia="Calibri" w:hAnsi="Calibri" w:cs="Calibri"/>
                <w:sz w:val="24"/>
              </w:rPr>
              <w:t>Mentees, Mentors</w:t>
            </w:r>
          </w:p>
        </w:tc>
      </w:tr>
      <w:tr w:rsidR="00A50FD3" w14:paraId="02B0F050" w14:textId="77777777" w:rsidTr="00064D7B">
        <w:trPr>
          <w:trHeight w:val="560"/>
        </w:trPr>
        <w:tc>
          <w:tcPr>
            <w:tcW w:w="3740" w:type="dxa"/>
            <w:tcMar>
              <w:top w:w="100" w:type="dxa"/>
              <w:left w:w="100" w:type="dxa"/>
              <w:bottom w:w="100" w:type="dxa"/>
              <w:right w:w="100" w:type="dxa"/>
            </w:tcMar>
          </w:tcPr>
          <w:p w14:paraId="0BA6F53C" w14:textId="77777777" w:rsidR="00A50FD3" w:rsidRDefault="00303647">
            <w:pPr>
              <w:rPr>
                <w:rFonts w:ascii="Aptos" w:eastAsia="Aptos" w:hAnsi="Aptos" w:cs="Aptos"/>
                <w:sz w:val="22"/>
                <w:szCs w:val="22"/>
              </w:rPr>
            </w:pPr>
            <w:r>
              <w:rPr>
                <w:rFonts w:ascii="Calibri" w:eastAsia="Calibri" w:hAnsi="Calibri" w:cs="Calibri"/>
                <w:sz w:val="24"/>
              </w:rPr>
              <w:t>Licensure application submission</w:t>
            </w:r>
          </w:p>
        </w:tc>
        <w:tc>
          <w:tcPr>
            <w:tcW w:w="2165" w:type="dxa"/>
            <w:tcMar>
              <w:top w:w="100" w:type="dxa"/>
              <w:left w:w="100" w:type="dxa"/>
              <w:bottom w:w="100" w:type="dxa"/>
              <w:right w:w="100" w:type="dxa"/>
            </w:tcMar>
          </w:tcPr>
          <w:p w14:paraId="1F1ABCEA" w14:textId="77777777" w:rsidR="00A50FD3" w:rsidRDefault="00303647">
            <w:pPr>
              <w:rPr>
                <w:rFonts w:ascii="Calibri" w:eastAsia="Calibri" w:hAnsi="Calibri" w:cs="Calibri"/>
                <w:sz w:val="24"/>
              </w:rPr>
            </w:pPr>
            <w:r>
              <w:rPr>
                <w:rFonts w:ascii="Calibri" w:eastAsia="Calibri" w:hAnsi="Calibri" w:cs="Calibri"/>
                <w:sz w:val="24"/>
              </w:rPr>
              <w:t>May 2025</w:t>
            </w:r>
          </w:p>
        </w:tc>
        <w:tc>
          <w:tcPr>
            <w:tcW w:w="3320" w:type="dxa"/>
            <w:tcMar>
              <w:top w:w="100" w:type="dxa"/>
              <w:left w:w="100" w:type="dxa"/>
              <w:bottom w:w="100" w:type="dxa"/>
              <w:right w:w="100" w:type="dxa"/>
            </w:tcMar>
          </w:tcPr>
          <w:p w14:paraId="5FCE26BC" w14:textId="77777777" w:rsidR="00A50FD3" w:rsidRDefault="00303647">
            <w:pPr>
              <w:rPr>
                <w:rFonts w:ascii="Aptos" w:eastAsia="Aptos" w:hAnsi="Aptos" w:cs="Aptos"/>
                <w:sz w:val="22"/>
                <w:szCs w:val="22"/>
              </w:rPr>
            </w:pPr>
            <w:r>
              <w:rPr>
                <w:rFonts w:ascii="Calibri" w:eastAsia="Calibri" w:hAnsi="Calibri" w:cs="Calibri"/>
                <w:sz w:val="24"/>
              </w:rPr>
              <w:t>Mentees with District Support</w:t>
            </w:r>
          </w:p>
        </w:tc>
      </w:tr>
    </w:tbl>
    <w:p w14:paraId="58FFE3C2" w14:textId="77777777" w:rsidR="00A50FD3" w:rsidRDefault="00A50FD3">
      <w:pPr>
        <w:rPr>
          <w:rFonts w:ascii="Aptos" w:eastAsia="Aptos" w:hAnsi="Aptos" w:cs="Aptos"/>
          <w:sz w:val="22"/>
          <w:szCs w:val="22"/>
        </w:rPr>
      </w:pPr>
    </w:p>
    <w:p w14:paraId="6BD17A3E" w14:textId="77777777" w:rsidR="00A50FD3" w:rsidRDefault="00A50FD3">
      <w:pPr>
        <w:rPr>
          <w:rFonts w:ascii="Aptos" w:eastAsia="Aptos" w:hAnsi="Aptos" w:cs="Aptos"/>
          <w:sz w:val="22"/>
          <w:szCs w:val="22"/>
        </w:rPr>
      </w:pPr>
    </w:p>
    <w:p w14:paraId="5E4B9B86" w14:textId="77777777" w:rsidR="00A50FD3" w:rsidRDefault="00A50FD3">
      <w:pPr>
        <w:pBdr>
          <w:top w:val="nil"/>
          <w:left w:val="nil"/>
          <w:bottom w:val="nil"/>
          <w:right w:val="nil"/>
          <w:between w:val="nil"/>
        </w:pBdr>
        <w:spacing w:line="276" w:lineRule="auto"/>
        <w:rPr>
          <w:rFonts w:ascii="Aptos" w:eastAsia="Aptos" w:hAnsi="Aptos" w:cs="Aptos"/>
          <w:b/>
          <w:color w:val="000000"/>
          <w:sz w:val="22"/>
          <w:szCs w:val="22"/>
        </w:rPr>
      </w:pPr>
    </w:p>
    <w:p w14:paraId="2F055CF2" w14:textId="77777777" w:rsidR="008E2C2A" w:rsidRDefault="008E2C2A">
      <w:pPr>
        <w:pBdr>
          <w:top w:val="nil"/>
          <w:left w:val="nil"/>
          <w:bottom w:val="nil"/>
          <w:right w:val="nil"/>
          <w:between w:val="nil"/>
        </w:pBdr>
        <w:spacing w:line="276" w:lineRule="auto"/>
        <w:rPr>
          <w:rFonts w:ascii="Aptos" w:eastAsia="Aptos" w:hAnsi="Aptos" w:cs="Aptos"/>
          <w:b/>
          <w:color w:val="000000"/>
          <w:sz w:val="22"/>
          <w:szCs w:val="22"/>
        </w:rPr>
      </w:pPr>
    </w:p>
    <w:p w14:paraId="49B2CB52" w14:textId="77777777" w:rsidR="008E2C2A" w:rsidRDefault="008E2C2A">
      <w:pPr>
        <w:pBdr>
          <w:top w:val="nil"/>
          <w:left w:val="nil"/>
          <w:bottom w:val="nil"/>
          <w:right w:val="nil"/>
          <w:between w:val="nil"/>
        </w:pBdr>
        <w:spacing w:line="276" w:lineRule="auto"/>
        <w:rPr>
          <w:rFonts w:ascii="Aptos" w:eastAsia="Aptos" w:hAnsi="Aptos" w:cs="Aptos"/>
          <w:b/>
          <w:color w:val="000000"/>
          <w:sz w:val="22"/>
          <w:szCs w:val="22"/>
        </w:rPr>
      </w:pPr>
    </w:p>
    <w:p w14:paraId="012C06FE" w14:textId="77777777" w:rsidR="008E2C2A" w:rsidRDefault="008E2C2A">
      <w:pPr>
        <w:pBdr>
          <w:top w:val="nil"/>
          <w:left w:val="nil"/>
          <w:bottom w:val="nil"/>
          <w:right w:val="nil"/>
          <w:between w:val="nil"/>
        </w:pBdr>
        <w:spacing w:line="276" w:lineRule="auto"/>
        <w:rPr>
          <w:rFonts w:ascii="Aptos" w:eastAsia="Aptos" w:hAnsi="Aptos" w:cs="Aptos"/>
          <w:b/>
          <w:color w:val="000000"/>
          <w:sz w:val="22"/>
          <w:szCs w:val="22"/>
        </w:rPr>
      </w:pPr>
    </w:p>
    <w:p w14:paraId="69CAB898" w14:textId="77777777" w:rsidR="008E2C2A" w:rsidRDefault="008E2C2A">
      <w:pPr>
        <w:pBdr>
          <w:top w:val="nil"/>
          <w:left w:val="nil"/>
          <w:bottom w:val="nil"/>
          <w:right w:val="nil"/>
          <w:between w:val="nil"/>
        </w:pBdr>
        <w:spacing w:line="276" w:lineRule="auto"/>
        <w:rPr>
          <w:rFonts w:ascii="Aptos" w:eastAsia="Aptos" w:hAnsi="Aptos" w:cs="Aptos"/>
          <w:b/>
          <w:color w:val="000000"/>
          <w:sz w:val="22"/>
          <w:szCs w:val="22"/>
        </w:rPr>
      </w:pPr>
    </w:p>
    <w:p w14:paraId="48EC50E8" w14:textId="77777777" w:rsidR="008E2C2A" w:rsidRDefault="008E2C2A">
      <w:pPr>
        <w:pBdr>
          <w:top w:val="nil"/>
          <w:left w:val="nil"/>
          <w:bottom w:val="nil"/>
          <w:right w:val="nil"/>
          <w:between w:val="nil"/>
        </w:pBdr>
        <w:spacing w:line="276" w:lineRule="auto"/>
        <w:rPr>
          <w:rFonts w:ascii="Aptos" w:eastAsia="Aptos" w:hAnsi="Aptos" w:cs="Aptos"/>
          <w:b/>
          <w:color w:val="000000"/>
          <w:sz w:val="22"/>
          <w:szCs w:val="22"/>
        </w:rPr>
      </w:pPr>
    </w:p>
    <w:p w14:paraId="72DD4A6B" w14:textId="77777777" w:rsidR="008E2C2A" w:rsidRDefault="008E2C2A">
      <w:pPr>
        <w:pBdr>
          <w:top w:val="nil"/>
          <w:left w:val="nil"/>
          <w:bottom w:val="nil"/>
          <w:right w:val="nil"/>
          <w:between w:val="nil"/>
        </w:pBdr>
        <w:spacing w:line="276" w:lineRule="auto"/>
        <w:rPr>
          <w:rFonts w:ascii="Aptos" w:eastAsia="Aptos" w:hAnsi="Aptos" w:cs="Aptos"/>
          <w:b/>
          <w:color w:val="000000"/>
          <w:sz w:val="22"/>
          <w:szCs w:val="22"/>
        </w:rPr>
      </w:pPr>
    </w:p>
    <w:p w14:paraId="06566C0E" w14:textId="77777777" w:rsidR="008E2C2A" w:rsidRDefault="008E2C2A">
      <w:pPr>
        <w:pBdr>
          <w:top w:val="nil"/>
          <w:left w:val="nil"/>
          <w:bottom w:val="nil"/>
          <w:right w:val="nil"/>
          <w:between w:val="nil"/>
        </w:pBdr>
        <w:spacing w:line="276" w:lineRule="auto"/>
        <w:rPr>
          <w:rFonts w:ascii="Aptos" w:eastAsia="Aptos" w:hAnsi="Aptos" w:cs="Aptos"/>
          <w:b/>
          <w:color w:val="000000"/>
          <w:sz w:val="22"/>
          <w:szCs w:val="22"/>
        </w:rPr>
      </w:pPr>
    </w:p>
    <w:p w14:paraId="7BE8BEEC" w14:textId="77777777" w:rsidR="008E2C2A" w:rsidRDefault="008E2C2A">
      <w:pPr>
        <w:pBdr>
          <w:top w:val="nil"/>
          <w:left w:val="nil"/>
          <w:bottom w:val="nil"/>
          <w:right w:val="nil"/>
          <w:between w:val="nil"/>
        </w:pBdr>
        <w:spacing w:line="276" w:lineRule="auto"/>
        <w:rPr>
          <w:rFonts w:ascii="Aptos" w:eastAsia="Aptos" w:hAnsi="Aptos" w:cs="Aptos"/>
          <w:b/>
          <w:color w:val="000000"/>
          <w:sz w:val="22"/>
          <w:szCs w:val="22"/>
        </w:rPr>
      </w:pPr>
    </w:p>
    <w:p w14:paraId="09ECDC01" w14:textId="77777777" w:rsidR="008E2C2A" w:rsidRDefault="008E2C2A">
      <w:pPr>
        <w:pBdr>
          <w:top w:val="nil"/>
          <w:left w:val="nil"/>
          <w:bottom w:val="nil"/>
          <w:right w:val="nil"/>
          <w:between w:val="nil"/>
        </w:pBdr>
        <w:spacing w:line="276" w:lineRule="auto"/>
        <w:rPr>
          <w:rFonts w:ascii="Aptos" w:eastAsia="Aptos" w:hAnsi="Aptos" w:cs="Aptos"/>
          <w:b/>
          <w:color w:val="000000"/>
          <w:sz w:val="22"/>
          <w:szCs w:val="22"/>
        </w:rPr>
      </w:pPr>
    </w:p>
    <w:p w14:paraId="2492395B" w14:textId="77777777" w:rsidR="008E2C2A" w:rsidRDefault="008E2C2A">
      <w:pPr>
        <w:pBdr>
          <w:top w:val="nil"/>
          <w:left w:val="nil"/>
          <w:bottom w:val="nil"/>
          <w:right w:val="nil"/>
          <w:between w:val="nil"/>
        </w:pBdr>
        <w:spacing w:line="276" w:lineRule="auto"/>
        <w:rPr>
          <w:rFonts w:ascii="Aptos" w:eastAsia="Aptos" w:hAnsi="Aptos" w:cs="Aptos"/>
          <w:b/>
          <w:color w:val="000000"/>
          <w:sz w:val="22"/>
          <w:szCs w:val="22"/>
        </w:rPr>
      </w:pPr>
    </w:p>
    <w:p w14:paraId="12FD8308" w14:textId="77777777" w:rsidR="008E2C2A" w:rsidRDefault="008E2C2A">
      <w:pPr>
        <w:pBdr>
          <w:top w:val="nil"/>
          <w:left w:val="nil"/>
          <w:bottom w:val="nil"/>
          <w:right w:val="nil"/>
          <w:between w:val="nil"/>
        </w:pBdr>
        <w:spacing w:line="276" w:lineRule="auto"/>
        <w:rPr>
          <w:rFonts w:ascii="Aptos" w:eastAsia="Aptos" w:hAnsi="Aptos" w:cs="Aptos"/>
          <w:b/>
          <w:color w:val="000000"/>
          <w:sz w:val="22"/>
          <w:szCs w:val="22"/>
        </w:rPr>
      </w:pPr>
    </w:p>
    <w:p w14:paraId="52A3E105" w14:textId="77777777" w:rsidR="008E2C2A" w:rsidRDefault="008E2C2A">
      <w:pPr>
        <w:pBdr>
          <w:top w:val="nil"/>
          <w:left w:val="nil"/>
          <w:bottom w:val="nil"/>
          <w:right w:val="nil"/>
          <w:between w:val="nil"/>
        </w:pBdr>
        <w:spacing w:line="276" w:lineRule="auto"/>
        <w:rPr>
          <w:rFonts w:ascii="Aptos" w:eastAsia="Aptos" w:hAnsi="Aptos" w:cs="Aptos"/>
          <w:b/>
          <w:color w:val="000000"/>
          <w:sz w:val="22"/>
          <w:szCs w:val="22"/>
        </w:rPr>
      </w:pPr>
    </w:p>
    <w:p w14:paraId="30FA2F33" w14:textId="77777777" w:rsidR="008E2C2A" w:rsidRDefault="008E2C2A">
      <w:pPr>
        <w:pBdr>
          <w:top w:val="nil"/>
          <w:left w:val="nil"/>
          <w:bottom w:val="nil"/>
          <w:right w:val="nil"/>
          <w:between w:val="nil"/>
        </w:pBdr>
        <w:spacing w:line="276" w:lineRule="auto"/>
        <w:rPr>
          <w:rFonts w:ascii="Aptos" w:eastAsia="Aptos" w:hAnsi="Aptos" w:cs="Aptos"/>
          <w:b/>
          <w:color w:val="000000"/>
          <w:sz w:val="22"/>
          <w:szCs w:val="22"/>
        </w:rPr>
      </w:pPr>
    </w:p>
    <w:p w14:paraId="32A83FC2" w14:textId="77777777" w:rsidR="008E2C2A" w:rsidRDefault="008E2C2A">
      <w:pPr>
        <w:pBdr>
          <w:top w:val="nil"/>
          <w:left w:val="nil"/>
          <w:bottom w:val="nil"/>
          <w:right w:val="nil"/>
          <w:between w:val="nil"/>
        </w:pBdr>
        <w:spacing w:line="276" w:lineRule="auto"/>
        <w:rPr>
          <w:rFonts w:ascii="Aptos" w:eastAsia="Aptos" w:hAnsi="Aptos" w:cs="Aptos"/>
          <w:b/>
          <w:color w:val="000000"/>
          <w:sz w:val="22"/>
          <w:szCs w:val="22"/>
        </w:rPr>
      </w:pPr>
    </w:p>
    <w:p w14:paraId="2DF87F1E" w14:textId="77777777" w:rsidR="008E2C2A" w:rsidRDefault="008E2C2A">
      <w:pPr>
        <w:pBdr>
          <w:top w:val="nil"/>
          <w:left w:val="nil"/>
          <w:bottom w:val="nil"/>
          <w:right w:val="nil"/>
          <w:between w:val="nil"/>
        </w:pBdr>
        <w:spacing w:line="276" w:lineRule="auto"/>
        <w:rPr>
          <w:rFonts w:ascii="Aptos" w:eastAsia="Aptos" w:hAnsi="Aptos" w:cs="Aptos"/>
          <w:b/>
          <w:color w:val="000000"/>
          <w:sz w:val="22"/>
          <w:szCs w:val="22"/>
        </w:rPr>
      </w:pPr>
    </w:p>
    <w:p w14:paraId="5305CC17" w14:textId="77777777" w:rsidR="008E2C2A" w:rsidRDefault="008E2C2A">
      <w:pPr>
        <w:pBdr>
          <w:top w:val="nil"/>
          <w:left w:val="nil"/>
          <w:bottom w:val="nil"/>
          <w:right w:val="nil"/>
          <w:between w:val="nil"/>
        </w:pBdr>
        <w:spacing w:line="276" w:lineRule="auto"/>
        <w:rPr>
          <w:rFonts w:ascii="Aptos" w:eastAsia="Aptos" w:hAnsi="Aptos" w:cs="Aptos"/>
          <w:b/>
          <w:color w:val="000000"/>
          <w:sz w:val="22"/>
          <w:szCs w:val="22"/>
        </w:rPr>
      </w:pPr>
    </w:p>
    <w:p w14:paraId="0648D9A6" w14:textId="77777777" w:rsidR="008E2C2A" w:rsidRDefault="008E2C2A">
      <w:pPr>
        <w:pBdr>
          <w:top w:val="nil"/>
          <w:left w:val="nil"/>
          <w:bottom w:val="nil"/>
          <w:right w:val="nil"/>
          <w:between w:val="nil"/>
        </w:pBdr>
        <w:spacing w:line="276" w:lineRule="auto"/>
        <w:rPr>
          <w:rFonts w:ascii="Aptos" w:eastAsia="Aptos" w:hAnsi="Aptos" w:cs="Aptos"/>
          <w:b/>
          <w:color w:val="000000"/>
          <w:sz w:val="22"/>
          <w:szCs w:val="22"/>
        </w:rPr>
      </w:pPr>
    </w:p>
    <w:p w14:paraId="285C73C7" w14:textId="77777777" w:rsidR="003F7E05" w:rsidRDefault="003F7E05">
      <w:pPr>
        <w:pBdr>
          <w:top w:val="nil"/>
          <w:left w:val="nil"/>
          <w:bottom w:val="nil"/>
          <w:right w:val="nil"/>
          <w:between w:val="nil"/>
        </w:pBdr>
        <w:spacing w:line="276" w:lineRule="auto"/>
        <w:rPr>
          <w:rFonts w:ascii="Aptos" w:eastAsia="Aptos" w:hAnsi="Aptos" w:cs="Aptos"/>
          <w:b/>
          <w:color w:val="000000"/>
          <w:sz w:val="22"/>
          <w:szCs w:val="22"/>
        </w:rPr>
      </w:pPr>
    </w:p>
    <w:p w14:paraId="0C1F21F8" w14:textId="77777777" w:rsidR="003F7E05" w:rsidRDefault="003F7E05">
      <w:pPr>
        <w:pBdr>
          <w:top w:val="nil"/>
          <w:left w:val="nil"/>
          <w:bottom w:val="nil"/>
          <w:right w:val="nil"/>
          <w:between w:val="nil"/>
        </w:pBdr>
        <w:spacing w:line="276" w:lineRule="auto"/>
        <w:rPr>
          <w:rFonts w:ascii="Aptos" w:eastAsia="Aptos" w:hAnsi="Aptos" w:cs="Aptos"/>
          <w:b/>
          <w:color w:val="000000"/>
          <w:sz w:val="22"/>
          <w:szCs w:val="22"/>
        </w:rPr>
      </w:pPr>
    </w:p>
    <w:p w14:paraId="0237E094" w14:textId="77777777" w:rsidR="003F7E05" w:rsidRDefault="003F7E05">
      <w:pPr>
        <w:pBdr>
          <w:top w:val="nil"/>
          <w:left w:val="nil"/>
          <w:bottom w:val="nil"/>
          <w:right w:val="nil"/>
          <w:between w:val="nil"/>
        </w:pBdr>
        <w:spacing w:line="276" w:lineRule="auto"/>
        <w:rPr>
          <w:rFonts w:ascii="Aptos" w:eastAsia="Aptos" w:hAnsi="Aptos" w:cs="Aptos"/>
          <w:b/>
          <w:color w:val="000000"/>
          <w:sz w:val="22"/>
          <w:szCs w:val="22"/>
        </w:rPr>
      </w:pPr>
    </w:p>
    <w:p w14:paraId="3FD196F1" w14:textId="77777777" w:rsidR="003F7E05" w:rsidRDefault="003F7E05">
      <w:pPr>
        <w:pBdr>
          <w:top w:val="nil"/>
          <w:left w:val="nil"/>
          <w:bottom w:val="nil"/>
          <w:right w:val="nil"/>
          <w:between w:val="nil"/>
        </w:pBdr>
        <w:spacing w:line="276" w:lineRule="auto"/>
        <w:rPr>
          <w:rFonts w:ascii="Aptos" w:eastAsia="Aptos" w:hAnsi="Aptos" w:cs="Aptos"/>
          <w:b/>
          <w:color w:val="000000"/>
          <w:sz w:val="22"/>
          <w:szCs w:val="22"/>
        </w:rPr>
      </w:pPr>
    </w:p>
    <w:p w14:paraId="159A5F64" w14:textId="77777777" w:rsidR="00A50FD3" w:rsidRDefault="00303647">
      <w:pPr>
        <w:pBdr>
          <w:top w:val="nil"/>
          <w:left w:val="nil"/>
          <w:bottom w:val="nil"/>
          <w:right w:val="nil"/>
          <w:between w:val="nil"/>
        </w:pBdr>
        <w:spacing w:after="200" w:line="276" w:lineRule="auto"/>
        <w:rPr>
          <w:rFonts w:ascii="Aptos" w:eastAsia="Aptos" w:hAnsi="Aptos" w:cs="Aptos"/>
          <w:b/>
          <w:color w:val="000000"/>
          <w:sz w:val="22"/>
          <w:szCs w:val="22"/>
        </w:rPr>
      </w:pPr>
      <w:r>
        <w:rPr>
          <w:rFonts w:ascii="Aptos" w:eastAsia="Aptos" w:hAnsi="Aptos" w:cs="Aptos"/>
          <w:b/>
          <w:color w:val="000000"/>
          <w:sz w:val="22"/>
          <w:szCs w:val="22"/>
        </w:rPr>
        <w:lastRenderedPageBreak/>
        <w:t>Appendix B: Scope of Work for Denise Ward January-June 2025</w:t>
      </w:r>
    </w:p>
    <w:p w14:paraId="5E4A2E88" w14:textId="628E5A15" w:rsidR="00A50FD3" w:rsidRDefault="00303647">
      <w:pPr>
        <w:pBdr>
          <w:top w:val="nil"/>
          <w:left w:val="nil"/>
          <w:bottom w:val="nil"/>
          <w:right w:val="nil"/>
          <w:between w:val="nil"/>
        </w:pBdr>
        <w:spacing w:after="200" w:line="276" w:lineRule="auto"/>
      </w:pPr>
      <w:r>
        <w:rPr>
          <w:rFonts w:ascii="Aptos" w:eastAsia="Aptos" w:hAnsi="Aptos" w:cs="Aptos"/>
          <w:color w:val="000000"/>
          <w:sz w:val="22"/>
          <w:szCs w:val="22"/>
        </w:rPr>
        <w:t>Denise Ward will continue to</w:t>
      </w:r>
      <w:r w:rsidR="008E2C2A">
        <w:rPr>
          <w:rFonts w:ascii="Aptos" w:eastAsia="Aptos" w:hAnsi="Aptos" w:cs="Aptos"/>
          <w:color w:val="000000"/>
          <w:sz w:val="22"/>
          <w:szCs w:val="22"/>
        </w:rPr>
        <w:t xml:space="preserve"> be on-site two days per week to </w:t>
      </w:r>
      <w:r>
        <w:rPr>
          <w:rFonts w:ascii="Aptos" w:eastAsia="Aptos" w:hAnsi="Aptos" w:cs="Aptos"/>
          <w:color w:val="000000"/>
          <w:sz w:val="22"/>
          <w:szCs w:val="22"/>
        </w:rPr>
        <w:t>support</w:t>
      </w:r>
      <w:r w:rsidR="008E2C2A">
        <w:rPr>
          <w:rFonts w:ascii="Aptos" w:eastAsia="Aptos" w:hAnsi="Aptos" w:cs="Aptos"/>
          <w:color w:val="000000"/>
          <w:sz w:val="22"/>
          <w:szCs w:val="22"/>
        </w:rPr>
        <w:t xml:space="preserve"> the</w:t>
      </w:r>
      <w:r>
        <w:rPr>
          <w:rFonts w:ascii="Aptos" w:eastAsia="Aptos" w:hAnsi="Aptos" w:cs="Aptos"/>
          <w:color w:val="000000"/>
          <w:sz w:val="22"/>
          <w:szCs w:val="22"/>
        </w:rPr>
        <w:t xml:space="preserve"> Parker</w:t>
      </w:r>
      <w:r w:rsidR="008E2C2A">
        <w:rPr>
          <w:rFonts w:ascii="Aptos" w:eastAsia="Aptos" w:hAnsi="Aptos" w:cs="Aptos"/>
          <w:color w:val="000000"/>
          <w:sz w:val="22"/>
          <w:szCs w:val="22"/>
        </w:rPr>
        <w:t xml:space="preserve"> leadership team</w:t>
      </w:r>
      <w:r>
        <w:rPr>
          <w:rFonts w:ascii="Aptos" w:eastAsia="Aptos" w:hAnsi="Aptos" w:cs="Aptos"/>
          <w:color w:val="000000"/>
          <w:sz w:val="22"/>
          <w:szCs w:val="22"/>
        </w:rPr>
        <w:t xml:space="preserve"> with the following:</w:t>
      </w:r>
    </w:p>
    <w:p w14:paraId="5EE801E1" w14:textId="77777777" w:rsidR="00A50FD3" w:rsidRDefault="00303647">
      <w:pPr>
        <w:numPr>
          <w:ilvl w:val="0"/>
          <w:numId w:val="6"/>
        </w:numPr>
        <w:pBdr>
          <w:top w:val="nil"/>
          <w:left w:val="nil"/>
          <w:bottom w:val="nil"/>
          <w:right w:val="nil"/>
          <w:between w:val="nil"/>
        </w:pBdr>
        <w:spacing w:after="200" w:line="276" w:lineRule="auto"/>
        <w:ind w:left="0" w:firstLine="0"/>
      </w:pPr>
      <w:r>
        <w:rPr>
          <w:rFonts w:ascii="Aptos" w:eastAsia="Aptos" w:hAnsi="Aptos" w:cs="Aptos"/>
          <w:color w:val="000000"/>
          <w:sz w:val="22"/>
          <w:szCs w:val="22"/>
        </w:rPr>
        <w:t>Acting as a mentor to the leadership team providing insight based on her experience.</w:t>
      </w:r>
    </w:p>
    <w:p w14:paraId="059CF2DA" w14:textId="77777777" w:rsidR="00A50FD3" w:rsidRDefault="00303647">
      <w:pPr>
        <w:numPr>
          <w:ilvl w:val="0"/>
          <w:numId w:val="6"/>
        </w:numPr>
        <w:pBdr>
          <w:top w:val="nil"/>
          <w:left w:val="nil"/>
          <w:bottom w:val="nil"/>
          <w:right w:val="nil"/>
          <w:between w:val="nil"/>
        </w:pBdr>
        <w:spacing w:after="200" w:line="276" w:lineRule="auto"/>
        <w:ind w:left="0" w:firstLine="0"/>
      </w:pPr>
      <w:r>
        <w:rPr>
          <w:rFonts w:ascii="Aptos" w:eastAsia="Aptos" w:hAnsi="Aptos" w:cs="Aptos"/>
          <w:color w:val="000000"/>
          <w:sz w:val="22"/>
          <w:szCs w:val="22"/>
        </w:rPr>
        <w:t>Advising on administrative processes such as budgeting, staffing, scheduling, and resource allocation.</w:t>
      </w:r>
    </w:p>
    <w:p w14:paraId="711D4E10" w14:textId="77777777" w:rsidR="00A50FD3" w:rsidRDefault="00303647">
      <w:pPr>
        <w:numPr>
          <w:ilvl w:val="0"/>
          <w:numId w:val="6"/>
        </w:numPr>
        <w:pBdr>
          <w:top w:val="nil"/>
          <w:left w:val="nil"/>
          <w:bottom w:val="nil"/>
          <w:right w:val="nil"/>
          <w:between w:val="nil"/>
        </w:pBdr>
        <w:spacing w:after="200" w:line="276" w:lineRule="auto"/>
        <w:ind w:left="0" w:firstLine="0"/>
      </w:pPr>
      <w:r>
        <w:rPr>
          <w:rFonts w:ascii="Aptos" w:eastAsia="Aptos" w:hAnsi="Aptos" w:cs="Aptos"/>
          <w:color w:val="000000"/>
          <w:sz w:val="22"/>
          <w:szCs w:val="22"/>
        </w:rPr>
        <w:t>Providing support of the development of policies and procedures to ensure efficiency in the building.</w:t>
      </w:r>
    </w:p>
    <w:p w14:paraId="0C48B6D9" w14:textId="77777777" w:rsidR="00A50FD3" w:rsidRDefault="00303647">
      <w:pPr>
        <w:numPr>
          <w:ilvl w:val="0"/>
          <w:numId w:val="6"/>
        </w:numPr>
        <w:pBdr>
          <w:top w:val="nil"/>
          <w:left w:val="nil"/>
          <w:bottom w:val="nil"/>
          <w:right w:val="nil"/>
          <w:between w:val="nil"/>
        </w:pBdr>
        <w:spacing w:after="200" w:line="276" w:lineRule="auto"/>
        <w:ind w:left="0" w:firstLine="0"/>
      </w:pPr>
      <w:r>
        <w:rPr>
          <w:rFonts w:ascii="Aptos" w:eastAsia="Aptos" w:hAnsi="Aptos" w:cs="Aptos"/>
          <w:color w:val="000000"/>
          <w:sz w:val="22"/>
          <w:szCs w:val="22"/>
        </w:rPr>
        <w:t>Guide decision-making processes and provide support in managing school culture, staff relationships, and community engagement.</w:t>
      </w:r>
    </w:p>
    <w:p w14:paraId="5C9B6032" w14:textId="77777777" w:rsidR="00A50FD3" w:rsidRDefault="00303647">
      <w:pPr>
        <w:numPr>
          <w:ilvl w:val="0"/>
          <w:numId w:val="6"/>
        </w:numPr>
        <w:pBdr>
          <w:top w:val="nil"/>
          <w:left w:val="nil"/>
          <w:bottom w:val="nil"/>
          <w:right w:val="nil"/>
          <w:between w:val="nil"/>
        </w:pBdr>
        <w:spacing w:after="200" w:line="276" w:lineRule="auto"/>
        <w:ind w:left="0" w:firstLine="0"/>
      </w:pPr>
      <w:r>
        <w:rPr>
          <w:rFonts w:ascii="Aptos" w:eastAsia="Aptos" w:hAnsi="Aptos" w:cs="Aptos"/>
          <w:color w:val="000000"/>
          <w:sz w:val="22"/>
          <w:szCs w:val="22"/>
        </w:rPr>
        <w:t>Supporting the leadership team in evaluating staff performance, including classroom observations, teacher evaluations, and professional development planning.</w:t>
      </w:r>
    </w:p>
    <w:p w14:paraId="4FC6554D" w14:textId="77777777" w:rsidR="00A50FD3" w:rsidRDefault="00303647">
      <w:pPr>
        <w:numPr>
          <w:ilvl w:val="0"/>
          <w:numId w:val="6"/>
        </w:numPr>
        <w:pBdr>
          <w:top w:val="nil"/>
          <w:left w:val="nil"/>
          <w:bottom w:val="nil"/>
          <w:right w:val="nil"/>
          <w:between w:val="nil"/>
        </w:pBdr>
        <w:spacing w:after="200" w:line="276" w:lineRule="auto"/>
        <w:ind w:left="0" w:firstLine="0"/>
      </w:pPr>
      <w:r>
        <w:rPr>
          <w:rFonts w:ascii="Aptos" w:eastAsia="Aptos" w:hAnsi="Aptos" w:cs="Aptos"/>
          <w:color w:val="000000"/>
          <w:sz w:val="22"/>
          <w:szCs w:val="22"/>
        </w:rPr>
        <w:t>Offering techniques for navigating conflict resolution and maintaining positive relationships among staff, students and parents.</w:t>
      </w:r>
    </w:p>
    <w:p w14:paraId="06C33D79" w14:textId="77777777" w:rsidR="00A50FD3" w:rsidRDefault="00303647">
      <w:pPr>
        <w:numPr>
          <w:ilvl w:val="0"/>
          <w:numId w:val="6"/>
        </w:numPr>
        <w:pBdr>
          <w:top w:val="nil"/>
          <w:left w:val="nil"/>
          <w:bottom w:val="nil"/>
          <w:right w:val="nil"/>
          <w:between w:val="nil"/>
        </w:pBdr>
        <w:spacing w:after="200" w:line="276" w:lineRule="auto"/>
        <w:ind w:left="0" w:firstLine="0"/>
      </w:pPr>
      <w:r>
        <w:rPr>
          <w:rFonts w:ascii="Aptos" w:eastAsia="Aptos" w:hAnsi="Aptos" w:cs="Aptos"/>
          <w:color w:val="000000"/>
          <w:sz w:val="22"/>
          <w:szCs w:val="22"/>
        </w:rPr>
        <w:t>Supporting the leadership team in monitoring progress on school improvement goals and initiatives.</w:t>
      </w:r>
    </w:p>
    <w:p w14:paraId="0B19FDE9" w14:textId="77777777" w:rsidR="00A50FD3" w:rsidRDefault="00303647">
      <w:pPr>
        <w:numPr>
          <w:ilvl w:val="0"/>
          <w:numId w:val="6"/>
        </w:numPr>
        <w:pBdr>
          <w:top w:val="nil"/>
          <w:left w:val="nil"/>
          <w:bottom w:val="nil"/>
          <w:right w:val="nil"/>
          <w:between w:val="nil"/>
        </w:pBdr>
        <w:spacing w:after="200" w:line="276" w:lineRule="auto"/>
        <w:ind w:left="0" w:firstLine="0"/>
      </w:pPr>
      <w:r>
        <w:rPr>
          <w:rFonts w:ascii="Aptos" w:eastAsia="Aptos" w:hAnsi="Aptos" w:cs="Aptos"/>
          <w:color w:val="000000"/>
          <w:sz w:val="22"/>
          <w:szCs w:val="22"/>
        </w:rPr>
        <w:t>Providing support as needed to maintain efficient school operations during staff shortages</w:t>
      </w:r>
    </w:p>
    <w:sectPr w:rsidR="00A50FD3">
      <w:footerReference w:type="default" r:id="rId8"/>
      <w:headerReference w:type="first" r:id="rId9"/>
      <w:pgSz w:w="12240" w:h="15840"/>
      <w:pgMar w:top="720" w:right="864" w:bottom="720" w:left="86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08DA0" w14:textId="77777777" w:rsidR="00B83EA0" w:rsidRDefault="00B83EA0">
      <w:r>
        <w:separator/>
      </w:r>
    </w:p>
  </w:endnote>
  <w:endnote w:type="continuationSeparator" w:id="0">
    <w:p w14:paraId="6F631569" w14:textId="77777777" w:rsidR="00B83EA0" w:rsidRDefault="00B8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F661A" w14:textId="77777777" w:rsidR="00A50FD3" w:rsidRDefault="00303647">
    <w:pPr>
      <w:pBdr>
        <w:top w:val="single" w:sz="24" w:space="1" w:color="622423"/>
        <w:left w:val="nil"/>
        <w:bottom w:val="nil"/>
        <w:right w:val="nil"/>
        <w:between w:val="nil"/>
      </w:pBdr>
      <w:tabs>
        <w:tab w:val="center" w:pos="4680"/>
        <w:tab w:val="right" w:pos="9360"/>
        <w:tab w:val="right" w:pos="10440"/>
      </w:tabs>
      <w:rPr>
        <w:rFonts w:ascii="Cambria" w:eastAsia="Cambria" w:hAnsi="Cambria" w:cs="Cambria"/>
        <w:color w:val="000000"/>
        <w:szCs w:val="20"/>
      </w:rPr>
    </w:pPr>
    <w:r>
      <w:rPr>
        <w:rFonts w:ascii="Calibri" w:eastAsia="Calibri" w:hAnsi="Calibri" w:cs="Calibri"/>
        <w:i/>
        <w:color w:val="000000"/>
        <w:szCs w:val="20"/>
      </w:rPr>
      <w:t>Chronically Underperforming Schools Exit Assurances and Strategies for Sustainability</w:t>
    </w:r>
    <w:r>
      <w:rPr>
        <w:rFonts w:ascii="Calibri" w:eastAsia="Calibri" w:hAnsi="Calibri" w:cs="Calibri"/>
        <w:i/>
        <w:color w:val="000000"/>
        <w:szCs w:val="20"/>
      </w:rPr>
      <w:tab/>
      <w:t xml:space="preserve">     Page</w:t>
    </w:r>
    <w:r>
      <w:rPr>
        <w:rFonts w:ascii="Cambria" w:eastAsia="Cambria" w:hAnsi="Cambria" w:cs="Cambria"/>
        <w:color w:val="000000"/>
        <w:szCs w:val="20"/>
      </w:rPr>
      <w:t xml:space="preserve"> </w:t>
    </w:r>
    <w:r>
      <w:rPr>
        <w:color w:val="2B579A"/>
        <w:szCs w:val="20"/>
        <w:shd w:val="clear" w:color="auto" w:fill="E6E6E6"/>
      </w:rPr>
      <w:fldChar w:fldCharType="begin"/>
    </w:r>
    <w:r>
      <w:rPr>
        <w:color w:val="2B579A"/>
        <w:szCs w:val="20"/>
        <w:shd w:val="clear" w:color="auto" w:fill="E6E6E6"/>
      </w:rPr>
      <w:instrText>PAGE</w:instrText>
    </w:r>
    <w:r>
      <w:rPr>
        <w:color w:val="2B579A"/>
        <w:szCs w:val="20"/>
        <w:shd w:val="clear" w:color="auto" w:fill="E6E6E6"/>
      </w:rPr>
      <w:fldChar w:fldCharType="separate"/>
    </w:r>
    <w:r w:rsidR="00B66747">
      <w:rPr>
        <w:noProof/>
        <w:color w:val="2B579A"/>
        <w:szCs w:val="20"/>
        <w:shd w:val="clear" w:color="auto" w:fill="E6E6E6"/>
      </w:rPr>
      <w:t>2</w:t>
    </w:r>
    <w:r>
      <w:rPr>
        <w:color w:val="2B579A"/>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607C9" w14:textId="77777777" w:rsidR="00B83EA0" w:rsidRDefault="00B83EA0">
      <w:r>
        <w:separator/>
      </w:r>
    </w:p>
  </w:footnote>
  <w:footnote w:type="continuationSeparator" w:id="0">
    <w:p w14:paraId="5785E005" w14:textId="77777777" w:rsidR="00B83EA0" w:rsidRDefault="00B83EA0">
      <w:r>
        <w:continuationSeparator/>
      </w:r>
    </w:p>
  </w:footnote>
  <w:footnote w:id="1">
    <w:p w14:paraId="365AD562" w14:textId="77777777" w:rsidR="00A50FD3" w:rsidRDefault="00303647">
      <w:pPr>
        <w:pBdr>
          <w:top w:val="nil"/>
          <w:left w:val="nil"/>
          <w:bottom w:val="nil"/>
          <w:right w:val="nil"/>
          <w:between w:val="nil"/>
        </w:pBdr>
        <w:rPr>
          <w:color w:val="000000"/>
          <w:szCs w:val="20"/>
        </w:rPr>
      </w:pPr>
      <w:r>
        <w:rPr>
          <w:rStyle w:val="FootnoteReference"/>
        </w:rPr>
        <w:footnoteRef/>
      </w:r>
      <w:r>
        <w:rPr>
          <w:color w:val="000000"/>
          <w:szCs w:val="20"/>
        </w:rPr>
        <w:t xml:space="preserve"> These exit assurances may be revisited at the end of the 2024-2025 school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91B02" w14:textId="77777777" w:rsidR="00A50FD3" w:rsidRDefault="00303647">
    <w:pPr>
      <w:pBdr>
        <w:top w:val="nil"/>
        <w:left w:val="nil"/>
        <w:bottom w:val="nil"/>
        <w:right w:val="nil"/>
        <w:between w:val="nil"/>
      </w:pBdr>
      <w:tabs>
        <w:tab w:val="center" w:pos="4680"/>
        <w:tab w:val="right" w:pos="9360"/>
      </w:tabs>
      <w:rPr>
        <w:color w:val="000000"/>
        <w:szCs w:val="20"/>
      </w:rPr>
    </w:pPr>
    <w:r>
      <w:rPr>
        <w:noProof/>
        <w:color w:val="2B579A"/>
        <w:szCs w:val="20"/>
        <w:shd w:val="clear" w:color="auto" w:fill="E6E6E6"/>
      </w:rPr>
      <w:drawing>
        <wp:inline distT="0" distB="0" distL="0" distR="0" wp14:anchorId="41F15186" wp14:editId="438E2499">
          <wp:extent cx="1630297" cy="345306"/>
          <wp:effectExtent l="0" t="0" r="0" b="0"/>
          <wp:docPr id="1200072592" name="image1.png" descr="dese logo"/>
          <wp:cNvGraphicFramePr/>
          <a:graphic xmlns:a="http://schemas.openxmlformats.org/drawingml/2006/main">
            <a:graphicData uri="http://schemas.openxmlformats.org/drawingml/2006/picture">
              <pic:pic xmlns:pic="http://schemas.openxmlformats.org/drawingml/2006/picture">
                <pic:nvPicPr>
                  <pic:cNvPr id="1200072592" name="image1.png" descr="dese logo"/>
                  <pic:cNvPicPr preferRelativeResize="0"/>
                </pic:nvPicPr>
                <pic:blipFill>
                  <a:blip r:embed="rId1"/>
                  <a:srcRect/>
                  <a:stretch>
                    <a:fillRect/>
                  </a:stretch>
                </pic:blipFill>
                <pic:spPr>
                  <a:xfrm>
                    <a:off x="0" y="0"/>
                    <a:ext cx="1630297" cy="34530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7EFE"/>
    <w:multiLevelType w:val="multilevel"/>
    <w:tmpl w:val="3AE02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58250F"/>
    <w:multiLevelType w:val="multilevel"/>
    <w:tmpl w:val="E8162FF8"/>
    <w:lvl w:ilvl="0">
      <w:start w:val="1"/>
      <w:numFmt w:val="decimal"/>
      <w:lvlText w:val="(%1)"/>
      <w:lvlJc w:val="left"/>
      <w:pPr>
        <w:ind w:left="432" w:hanging="360"/>
      </w:pPr>
      <w:rPr>
        <w:rFonts w:ascii="Aptos" w:eastAsia="Aptos" w:hAnsi="Aptos" w:cs="Aptos"/>
        <w:i w:val="0"/>
        <w:sz w:val="22"/>
        <w:szCs w:val="22"/>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2" w15:restartNumberingAfterBreak="0">
    <w:nsid w:val="1A2D72C1"/>
    <w:multiLevelType w:val="multilevel"/>
    <w:tmpl w:val="70E8D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782115"/>
    <w:multiLevelType w:val="multilevel"/>
    <w:tmpl w:val="B9CC7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41136D"/>
    <w:multiLevelType w:val="multilevel"/>
    <w:tmpl w:val="F5927324"/>
    <w:lvl w:ilvl="0">
      <w:start w:val="6"/>
      <w:numFmt w:val="bullet"/>
      <w:lvlText w:val="-"/>
      <w:lvlJc w:val="left"/>
      <w:pPr>
        <w:ind w:left="540" w:hanging="360"/>
      </w:pPr>
      <w:rPr>
        <w:rFonts w:ascii="Aptos" w:eastAsia="Aptos" w:hAnsi="Aptos" w:cs="Apto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5" w15:restartNumberingAfterBreak="0">
    <w:nsid w:val="56FB185C"/>
    <w:multiLevelType w:val="multilevel"/>
    <w:tmpl w:val="5964BE1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8464B1"/>
    <w:multiLevelType w:val="multilevel"/>
    <w:tmpl w:val="4B94D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6924E8"/>
    <w:multiLevelType w:val="multilevel"/>
    <w:tmpl w:val="18D40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2135973">
    <w:abstractNumId w:val="2"/>
  </w:num>
  <w:num w:numId="2" w16cid:durableId="1037699868">
    <w:abstractNumId w:val="0"/>
  </w:num>
  <w:num w:numId="3" w16cid:durableId="1081872118">
    <w:abstractNumId w:val="3"/>
  </w:num>
  <w:num w:numId="4" w16cid:durableId="569270256">
    <w:abstractNumId w:val="1"/>
  </w:num>
  <w:num w:numId="5" w16cid:durableId="96869189">
    <w:abstractNumId w:val="4"/>
  </w:num>
  <w:num w:numId="6" w16cid:durableId="69813770">
    <w:abstractNumId w:val="5"/>
  </w:num>
  <w:num w:numId="7" w16cid:durableId="1539975650">
    <w:abstractNumId w:val="6"/>
  </w:num>
  <w:num w:numId="8" w16cid:durableId="11463133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D3"/>
    <w:rsid w:val="00064D7B"/>
    <w:rsid w:val="001B3910"/>
    <w:rsid w:val="00303647"/>
    <w:rsid w:val="00371760"/>
    <w:rsid w:val="003F7E05"/>
    <w:rsid w:val="007A7503"/>
    <w:rsid w:val="008E2C2A"/>
    <w:rsid w:val="00906A4C"/>
    <w:rsid w:val="009336BA"/>
    <w:rsid w:val="00A50FD3"/>
    <w:rsid w:val="00B66747"/>
    <w:rsid w:val="00B83EA0"/>
    <w:rsid w:val="00C3640F"/>
    <w:rsid w:val="00D6163A"/>
    <w:rsid w:val="00E535E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29A9E"/>
  <w15:docId w15:val="{0D3E3B87-84E8-4A9A-8C45-FF8B90F6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5F7"/>
    <w:rPr>
      <w:szCs w:val="24"/>
    </w:rPr>
  </w:style>
  <w:style w:type="paragraph" w:styleId="Heading1">
    <w:name w:val="heading 1"/>
    <w:basedOn w:val="Normal"/>
    <w:next w:val="Normal"/>
    <w:uiPriority w:val="9"/>
    <w:qFormat/>
    <w:rsid w:val="00541C8E"/>
    <w:pPr>
      <w:keepNext/>
      <w:jc w:val="center"/>
      <w:outlineLvl w:val="0"/>
    </w:pPr>
    <w:rPr>
      <w:b/>
      <w:szCs w:val="20"/>
    </w:rPr>
  </w:style>
  <w:style w:type="paragraph" w:styleId="Heading2">
    <w:name w:val="heading 2"/>
    <w:basedOn w:val="Normal"/>
    <w:next w:val="Normal"/>
    <w:link w:val="Heading2Char"/>
    <w:uiPriority w:val="9"/>
    <w:unhideWhenUsed/>
    <w:qFormat/>
    <w:rsid w:val="0069008D"/>
    <w:pPr>
      <w:keepNext/>
      <w:spacing w:before="240" w:after="60"/>
      <w:outlineLvl w:val="1"/>
    </w:pPr>
    <w:rPr>
      <w:rFonts w:ascii="Cambria" w:hAnsi="Cambria"/>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03FD1"/>
    <w:pPr>
      <w:jc w:val="center"/>
    </w:pPr>
    <w:rPr>
      <w:rFonts w:ascii="Times New Roman" w:hAnsi="Times New Roman"/>
      <w:b/>
      <w:bCs/>
      <w:sz w:val="28"/>
    </w:rPr>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uiPriority w:val="59"/>
    <w:rsid w:val="006E1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2DE"/>
    <w:pPr>
      <w:ind w:left="720"/>
    </w:pPr>
  </w:style>
  <w:style w:type="paragraph" w:styleId="Header">
    <w:name w:val="header"/>
    <w:basedOn w:val="Normal"/>
    <w:link w:val="HeaderChar"/>
    <w:rsid w:val="00480832"/>
    <w:pPr>
      <w:tabs>
        <w:tab w:val="center" w:pos="4680"/>
        <w:tab w:val="right" w:pos="9360"/>
      </w:tabs>
    </w:pPr>
  </w:style>
  <w:style w:type="character" w:customStyle="1" w:styleId="HeaderChar">
    <w:name w:val="Header Char"/>
    <w:basedOn w:val="DefaultParagraphFont"/>
    <w:link w:val="Header"/>
    <w:rsid w:val="00480832"/>
    <w:rPr>
      <w:rFonts w:ascii="Arial" w:hAnsi="Arial"/>
      <w:szCs w:val="24"/>
    </w:rPr>
  </w:style>
  <w:style w:type="paragraph" w:styleId="Footer">
    <w:name w:val="footer"/>
    <w:basedOn w:val="Normal"/>
    <w:link w:val="FooterChar"/>
    <w:uiPriority w:val="99"/>
    <w:rsid w:val="00480832"/>
    <w:pPr>
      <w:tabs>
        <w:tab w:val="center" w:pos="4680"/>
        <w:tab w:val="right" w:pos="9360"/>
      </w:tabs>
    </w:pPr>
  </w:style>
  <w:style w:type="character" w:customStyle="1" w:styleId="FooterChar">
    <w:name w:val="Footer Char"/>
    <w:basedOn w:val="DefaultParagraphFont"/>
    <w:link w:val="Footer"/>
    <w:uiPriority w:val="99"/>
    <w:rsid w:val="00480832"/>
    <w:rPr>
      <w:rFonts w:ascii="Arial" w:hAnsi="Arial"/>
      <w:szCs w:val="24"/>
    </w:rPr>
  </w:style>
  <w:style w:type="paragraph" w:customStyle="1" w:styleId="ColorfulList-Accent11">
    <w:name w:val="Colorful List - Accent 11"/>
    <w:basedOn w:val="Normal"/>
    <w:qFormat/>
    <w:rsid w:val="00755994"/>
    <w:pPr>
      <w:ind w:left="720"/>
      <w:contextualSpacing/>
    </w:pPr>
    <w:rPr>
      <w:rFonts w:ascii="Times New Roman" w:eastAsia="MS Mincho" w:hAnsi="Times New Roman"/>
      <w:sz w:val="24"/>
      <w:szCs w:val="20"/>
    </w:rPr>
  </w:style>
  <w:style w:type="character" w:customStyle="1" w:styleId="Heading2Char">
    <w:name w:val="Heading 2 Char"/>
    <w:basedOn w:val="DefaultParagraphFont"/>
    <w:link w:val="Heading2"/>
    <w:semiHidden/>
    <w:rsid w:val="0069008D"/>
    <w:rPr>
      <w:rFonts w:ascii="Cambria" w:eastAsia="Times New Roman" w:hAnsi="Cambria" w:cs="Times New Roman"/>
      <w:b/>
      <w:bCs/>
      <w:i/>
      <w:iCs/>
      <w:sz w:val="28"/>
      <w:szCs w:val="28"/>
    </w:rPr>
  </w:style>
  <w:style w:type="character" w:customStyle="1" w:styleId="TitleChar">
    <w:name w:val="Title Char"/>
    <w:basedOn w:val="DefaultParagraphFont"/>
    <w:link w:val="Title"/>
    <w:rsid w:val="00903FD1"/>
    <w:rPr>
      <w:b/>
      <w:bCs/>
      <w:sz w:val="28"/>
      <w:szCs w:val="24"/>
    </w:rPr>
  </w:style>
  <w:style w:type="character" w:styleId="CommentReference">
    <w:name w:val="annotation reference"/>
    <w:basedOn w:val="DefaultParagraphFont"/>
    <w:rsid w:val="00C83FE1"/>
    <w:rPr>
      <w:sz w:val="16"/>
      <w:szCs w:val="16"/>
    </w:rPr>
  </w:style>
  <w:style w:type="paragraph" w:styleId="CommentText">
    <w:name w:val="annotation text"/>
    <w:basedOn w:val="Normal"/>
    <w:link w:val="CommentTextChar"/>
    <w:rsid w:val="00C83FE1"/>
    <w:rPr>
      <w:szCs w:val="20"/>
    </w:rPr>
  </w:style>
  <w:style w:type="character" w:customStyle="1" w:styleId="CommentTextChar">
    <w:name w:val="Comment Text Char"/>
    <w:basedOn w:val="DefaultParagraphFont"/>
    <w:link w:val="CommentText"/>
    <w:rsid w:val="00C83FE1"/>
    <w:rPr>
      <w:rFonts w:ascii="Arial" w:hAnsi="Arial"/>
    </w:rPr>
  </w:style>
  <w:style w:type="paragraph" w:styleId="CommentSubject">
    <w:name w:val="annotation subject"/>
    <w:basedOn w:val="CommentText"/>
    <w:next w:val="CommentText"/>
    <w:link w:val="CommentSubjectChar"/>
    <w:rsid w:val="00C83FE1"/>
    <w:rPr>
      <w:b/>
      <w:bCs/>
    </w:rPr>
  </w:style>
  <w:style w:type="character" w:customStyle="1" w:styleId="CommentSubjectChar">
    <w:name w:val="Comment Subject Char"/>
    <w:basedOn w:val="CommentTextChar"/>
    <w:link w:val="CommentSubject"/>
    <w:rsid w:val="00C83FE1"/>
    <w:rPr>
      <w:rFonts w:ascii="Arial" w:hAnsi="Arial"/>
      <w:b/>
      <w:bCs/>
    </w:rPr>
  </w:style>
  <w:style w:type="character" w:styleId="Hyperlink">
    <w:name w:val="Hyperlink"/>
    <w:basedOn w:val="DefaultParagraphFont"/>
    <w:rsid w:val="005B79D2"/>
    <w:rPr>
      <w:color w:val="0000FF" w:themeColor="hyperlink"/>
      <w:u w:val="single"/>
    </w:rPr>
  </w:style>
  <w:style w:type="paragraph" w:styleId="FootnoteText">
    <w:name w:val="footnote text"/>
    <w:basedOn w:val="Normal"/>
    <w:link w:val="FootnoteTextChar"/>
    <w:semiHidden/>
    <w:unhideWhenUsed/>
    <w:rsid w:val="002C0ECF"/>
    <w:rPr>
      <w:szCs w:val="20"/>
    </w:rPr>
  </w:style>
  <w:style w:type="character" w:customStyle="1" w:styleId="FootnoteTextChar">
    <w:name w:val="Footnote Text Char"/>
    <w:basedOn w:val="DefaultParagraphFont"/>
    <w:link w:val="FootnoteText"/>
    <w:semiHidden/>
    <w:rsid w:val="002C0ECF"/>
    <w:rPr>
      <w:rFonts w:ascii="Arial" w:hAnsi="Arial"/>
    </w:rPr>
  </w:style>
  <w:style w:type="character" w:styleId="FootnoteReference">
    <w:name w:val="footnote reference"/>
    <w:basedOn w:val="DefaultParagraphFont"/>
    <w:semiHidden/>
    <w:unhideWhenUsed/>
    <w:rsid w:val="002C0ECF"/>
    <w:rPr>
      <w:vertAlign w:val="superscript"/>
    </w:rPr>
  </w:style>
  <w:style w:type="character" w:styleId="UnresolvedMention">
    <w:name w:val="Unresolved Mention"/>
    <w:basedOn w:val="DefaultParagraphFont"/>
    <w:uiPriority w:val="99"/>
    <w:semiHidden/>
    <w:unhideWhenUsed/>
    <w:rsid w:val="00EE01B5"/>
    <w:rPr>
      <w:color w:val="605E5C"/>
      <w:shd w:val="clear" w:color="auto" w:fill="E1DFDD"/>
    </w:rPr>
  </w:style>
  <w:style w:type="paragraph" w:styleId="NormalWeb">
    <w:name w:val="Normal (Web)"/>
    <w:basedOn w:val="Normal"/>
    <w:semiHidden/>
    <w:unhideWhenUsed/>
    <w:rsid w:val="007A54BC"/>
    <w:rPr>
      <w:rFonts w:ascii="Times New Roman" w:hAnsi="Times New Roman"/>
      <w:sz w:val="24"/>
    </w:rPr>
  </w:style>
  <w:style w:type="paragraph" w:styleId="Revision">
    <w:name w:val="Revision"/>
    <w:hidden/>
    <w:uiPriority w:val="99"/>
    <w:semiHidden/>
    <w:rsid w:val="00D76F28"/>
    <w:rPr>
      <w:szCs w:val="24"/>
    </w:rPr>
  </w:style>
  <w:style w:type="character" w:styleId="Mention">
    <w:name w:val="Mention"/>
    <w:basedOn w:val="DefaultParagraphFont"/>
    <w:uiPriority w:val="99"/>
    <w:unhideWhenUsed/>
    <w:rsid w:val="00EB6E07"/>
    <w:rPr>
      <w:color w:val="2B579A"/>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IJO6ZyYihGVtDGzW5f1hU/19Pw==">CgMxLjA4AHIhMVd4RTAtSUE0Ukp0UFlXbUdKUVQ0VlQyYVB6RjBvNGp0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1901</Words>
  <Characters>11660</Characters>
  <Application>Microsoft Office Word</Application>
  <DocSecurity>0</DocSecurity>
  <Lines>306</Lines>
  <Paragraphs>152</Paragraphs>
  <ScaleCrop>false</ScaleCrop>
  <HeadingPairs>
    <vt:vector size="2" baseType="variant">
      <vt:variant>
        <vt:lpstr>Title</vt:lpstr>
      </vt:variant>
      <vt:variant>
        <vt:i4>1</vt:i4>
      </vt:variant>
    </vt:vector>
  </HeadingPairs>
  <TitlesOfParts>
    <vt:vector size="1" baseType="lpstr">
      <vt:lpstr>Parker Exit Assurances - 12/2/2024</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Parker Exit Assurances - 12/2/2024</dc:title>
  <dc:subject/>
  <dc:creator>DESE</dc:creator>
  <cp:keywords/>
  <cp:lastModifiedBy>Zou, Dong (EOE)</cp:lastModifiedBy>
  <cp:revision>6</cp:revision>
  <dcterms:created xsi:type="dcterms:W3CDTF">2024-12-17T15:38:00Z</dcterms:created>
  <dcterms:modified xsi:type="dcterms:W3CDTF">2024-12-19T22:32:00Z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19 2024 12:00AM</vt:lpwstr>
  </property>
</Properties>
</file>