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0C889" w14:textId="36856D16" w:rsidR="401CF2D2" w:rsidRDefault="401CF2D2" w:rsidP="28FA05E8">
      <w:pPr>
        <w:spacing w:after="0" w:line="240" w:lineRule="auto"/>
        <w:jc w:val="center"/>
        <w:rPr>
          <w:rFonts w:ascii="Avenir Book" w:eastAsia="Avenir Book" w:hAnsi="Avenir Book" w:cs="Avenir Book"/>
          <w:b/>
          <w:bCs/>
          <w:sz w:val="36"/>
          <w:szCs w:val="36"/>
        </w:rPr>
      </w:pPr>
      <w:r w:rsidRPr="28FA05E8">
        <w:rPr>
          <w:rFonts w:ascii="Avenir Book" w:eastAsia="Avenir Book" w:hAnsi="Avenir Book" w:cs="Avenir Book"/>
          <w:b/>
          <w:bCs/>
          <w:sz w:val="36"/>
          <w:szCs w:val="36"/>
        </w:rPr>
        <w:t xml:space="preserve">Joint Questions and Answers Document: </w:t>
      </w:r>
    </w:p>
    <w:p w14:paraId="0DBEBBB6" w14:textId="725E950A" w:rsidR="401CF2D2" w:rsidRDefault="401CF2D2" w:rsidP="28FA05E8">
      <w:pPr>
        <w:spacing w:after="0" w:line="240" w:lineRule="auto"/>
        <w:jc w:val="center"/>
        <w:rPr>
          <w:rFonts w:ascii="Avenir Book" w:eastAsia="Avenir Book" w:hAnsi="Avenir Book" w:cs="Avenir Book"/>
          <w:b/>
          <w:bCs/>
          <w:sz w:val="36"/>
          <w:szCs w:val="36"/>
        </w:rPr>
      </w:pPr>
      <w:r w:rsidRPr="28FA05E8">
        <w:rPr>
          <w:rFonts w:ascii="Avenir Book" w:eastAsia="Avenir Book" w:hAnsi="Avenir Book" w:cs="Avenir Book"/>
          <w:b/>
          <w:bCs/>
          <w:sz w:val="36"/>
          <w:szCs w:val="36"/>
        </w:rPr>
        <w:t>FY26 FC589 Civics Teaching and Learning Grant and FC215 Genocide Education Grant (see below)</w:t>
      </w:r>
    </w:p>
    <w:p w14:paraId="4438A591" w14:textId="3EF48322" w:rsidR="28FA05E8" w:rsidRDefault="28FA05E8" w:rsidP="28FA05E8">
      <w:pPr>
        <w:spacing w:after="0"/>
        <w:jc w:val="center"/>
        <w:rPr>
          <w:rFonts w:eastAsiaTheme="minorEastAsia"/>
          <w:b/>
          <w:bCs/>
        </w:rPr>
      </w:pPr>
    </w:p>
    <w:p w14:paraId="40DB68B1" w14:textId="77974B59" w:rsidR="401CF2D2" w:rsidRDefault="401CF2D2" w:rsidP="28FA05E8">
      <w:pPr>
        <w:spacing w:after="0"/>
        <w:jc w:val="center"/>
        <w:rPr>
          <w:rFonts w:eastAsiaTheme="minorEastAsia"/>
          <w:b/>
          <w:bCs/>
          <w:sz w:val="28"/>
          <w:szCs w:val="28"/>
        </w:rPr>
      </w:pPr>
      <w:r w:rsidRPr="28FA05E8">
        <w:rPr>
          <w:rFonts w:eastAsiaTheme="minorEastAsia"/>
          <w:b/>
          <w:bCs/>
          <w:sz w:val="28"/>
          <w:szCs w:val="28"/>
        </w:rPr>
        <w:t>Applicable to Both Grants</w:t>
      </w:r>
      <w:r w:rsidR="126A51A6" w:rsidRPr="28FA05E8">
        <w:rPr>
          <w:rFonts w:eastAsiaTheme="minorEastAsia"/>
          <w:b/>
          <w:bCs/>
          <w:sz w:val="28"/>
          <w:szCs w:val="28"/>
        </w:rPr>
        <w:t>: Questions About Curriculum Data Reporting</w:t>
      </w:r>
    </w:p>
    <w:p w14:paraId="7ABBB199" w14:textId="5F2CF062" w:rsidR="28FA05E8" w:rsidRDefault="28FA05E8" w:rsidP="28FA05E8">
      <w:pPr>
        <w:spacing w:after="0"/>
        <w:jc w:val="center"/>
        <w:rPr>
          <w:rFonts w:eastAsiaTheme="minorEastAsia"/>
          <w:b/>
          <w:bCs/>
          <w:sz w:val="28"/>
          <w:szCs w:val="28"/>
        </w:rPr>
      </w:pPr>
    </w:p>
    <w:p w14:paraId="4E3E5151" w14:textId="13A6291A" w:rsidR="126A51A6" w:rsidRDefault="126A51A6" w:rsidP="28FA05E8">
      <w:pPr>
        <w:pStyle w:val="ListParagraph"/>
        <w:numPr>
          <w:ilvl w:val="0"/>
          <w:numId w:val="3"/>
        </w:numPr>
        <w:spacing w:after="0"/>
        <w:rPr>
          <w:rFonts w:eastAsiaTheme="minorEastAsia"/>
          <w:color w:val="000000" w:themeColor="text1"/>
        </w:rPr>
      </w:pPr>
      <w:r w:rsidRPr="28FA05E8">
        <w:rPr>
          <w:rFonts w:eastAsiaTheme="minorEastAsia"/>
          <w:b/>
          <w:bCs/>
          <w:color w:val="000000" w:themeColor="text1"/>
        </w:rPr>
        <w:t>Is curriculum data reporting a requirement for the Genocide Education Grant and/or the Civics Teaching and Learning Grant?</w:t>
      </w:r>
    </w:p>
    <w:p w14:paraId="33DA9EF8" w14:textId="7CEFDD08" w:rsidR="28FA05E8" w:rsidRDefault="28FA05E8" w:rsidP="28FA05E8">
      <w:pPr>
        <w:rPr>
          <w:rFonts w:eastAsiaTheme="minorEastAsia"/>
          <w:color w:val="000000" w:themeColor="text1"/>
        </w:rPr>
      </w:pPr>
    </w:p>
    <w:p w14:paraId="52C760C6" w14:textId="79AC513F" w:rsidR="126A51A6" w:rsidRDefault="126A51A6" w:rsidP="28FA05E8">
      <w:pPr>
        <w:rPr>
          <w:rFonts w:eastAsiaTheme="minorEastAsia"/>
          <w:color w:val="000000" w:themeColor="text1"/>
        </w:rPr>
      </w:pPr>
      <w:r w:rsidRPr="28FA05E8">
        <w:rPr>
          <w:rFonts w:eastAsiaTheme="minorEastAsia"/>
          <w:color w:val="000000" w:themeColor="text1"/>
        </w:rPr>
        <w:t xml:space="preserve">Yes. </w:t>
      </w:r>
      <w:proofErr w:type="gramStart"/>
      <w:r w:rsidRPr="28FA05E8">
        <w:rPr>
          <w:rFonts w:eastAsiaTheme="minorEastAsia"/>
          <w:color w:val="000000" w:themeColor="text1"/>
        </w:rPr>
        <w:t>In order to</w:t>
      </w:r>
      <w:proofErr w:type="gramEnd"/>
      <w:r w:rsidRPr="28FA05E8">
        <w:rPr>
          <w:rFonts w:eastAsiaTheme="minorEastAsia"/>
          <w:color w:val="000000" w:themeColor="text1"/>
        </w:rPr>
        <w:t xml:space="preserve"> be eligible for these grants, LEAs must have completed their Curriculum Data reporting. As of Fall 2024, this includes reporting curriculum data for History/Social Science for Grades 3-8 and high school US History I.  </w:t>
      </w:r>
    </w:p>
    <w:p w14:paraId="5D1EB59C" w14:textId="1E13179A" w:rsidR="28FA05E8" w:rsidRDefault="28FA05E8" w:rsidP="28FA05E8">
      <w:pPr>
        <w:pStyle w:val="ListParagraph"/>
        <w:spacing w:after="0"/>
        <w:rPr>
          <w:rFonts w:eastAsiaTheme="minorEastAsia"/>
          <w:b/>
          <w:bCs/>
        </w:rPr>
      </w:pPr>
    </w:p>
    <w:p w14:paraId="3653440C" w14:textId="5D01E602" w:rsidR="126A51A6" w:rsidRDefault="126A51A6" w:rsidP="28FA05E8">
      <w:pPr>
        <w:pStyle w:val="ListParagraph"/>
        <w:numPr>
          <w:ilvl w:val="0"/>
          <w:numId w:val="3"/>
        </w:numPr>
        <w:spacing w:after="0"/>
        <w:rPr>
          <w:rFonts w:eastAsiaTheme="minorEastAsia"/>
          <w:b/>
          <w:bCs/>
        </w:rPr>
      </w:pPr>
      <w:r w:rsidRPr="28FA05E8">
        <w:rPr>
          <w:rFonts w:eastAsiaTheme="minorEastAsia"/>
          <w:b/>
          <w:bCs/>
        </w:rPr>
        <w:t>My district updated our history/social science curriculum data. When will this information be available on the DESE website?</w:t>
      </w:r>
    </w:p>
    <w:p w14:paraId="44A93EED" w14:textId="07194AB1" w:rsidR="28FA05E8" w:rsidRDefault="28FA05E8" w:rsidP="28FA05E8">
      <w:pPr>
        <w:spacing w:after="0"/>
        <w:rPr>
          <w:rFonts w:eastAsiaTheme="minorEastAsia"/>
        </w:rPr>
      </w:pPr>
    </w:p>
    <w:p w14:paraId="085EE82C" w14:textId="09CB82B2" w:rsidR="126A51A6" w:rsidRDefault="126A51A6" w:rsidP="28FA05E8">
      <w:pPr>
        <w:spacing w:after="0"/>
        <w:rPr>
          <w:rFonts w:eastAsiaTheme="minorEastAsia"/>
        </w:rPr>
      </w:pPr>
      <w:r w:rsidRPr="28FA05E8">
        <w:rPr>
          <w:rFonts w:eastAsiaTheme="minorEastAsia"/>
        </w:rPr>
        <w:t xml:space="preserve">Due to a small unforeseen delay in updating the curriculum data portal, the history/social science data is not currently publicly visible on the DESE website. By January 24, we will post a list of LEAs that have reported their history/social science curriculum data on our </w:t>
      </w:r>
      <w:hyperlink r:id="rId10">
        <w:r w:rsidRPr="28FA05E8">
          <w:rPr>
            <w:rStyle w:val="Hyperlink"/>
            <w:rFonts w:eastAsiaTheme="minorEastAsia"/>
          </w:rPr>
          <w:t>History, Social Science, and Civics</w:t>
        </w:r>
      </w:hyperlink>
      <w:r w:rsidRPr="28FA05E8">
        <w:rPr>
          <w:rFonts w:eastAsiaTheme="minorEastAsia"/>
        </w:rPr>
        <w:t xml:space="preserve"> website. If you would like to check that your data was reported correctly prior to this date, please email Craig Waterman at </w:t>
      </w:r>
      <w:hyperlink r:id="rId11">
        <w:r w:rsidRPr="28FA05E8">
          <w:rPr>
            <w:rStyle w:val="Hyperlink"/>
            <w:rFonts w:eastAsiaTheme="minorEastAsia"/>
          </w:rPr>
          <w:t>cr</w:t>
        </w:r>
        <w:r w:rsidR="609C426E" w:rsidRPr="28FA05E8">
          <w:rPr>
            <w:rStyle w:val="Hyperlink"/>
            <w:rFonts w:eastAsiaTheme="minorEastAsia"/>
          </w:rPr>
          <w:t>aig.a.waterman@mass.gov</w:t>
        </w:r>
      </w:hyperlink>
      <w:r w:rsidR="609C426E" w:rsidRPr="28FA05E8">
        <w:rPr>
          <w:rFonts w:eastAsiaTheme="minorEastAsia"/>
        </w:rPr>
        <w:t xml:space="preserve">. </w:t>
      </w:r>
      <w:r w:rsidRPr="28FA05E8">
        <w:rPr>
          <w:rFonts w:eastAsiaTheme="minorEastAsia"/>
        </w:rPr>
        <w:t>Regardless, the delay will not impact the grant application process for any LEA.</w:t>
      </w:r>
    </w:p>
    <w:p w14:paraId="7CCBC94F" w14:textId="66ED4545" w:rsidR="28FA05E8" w:rsidRDefault="28FA05E8" w:rsidP="28FA05E8">
      <w:pPr>
        <w:spacing w:after="0"/>
        <w:rPr>
          <w:rFonts w:eastAsiaTheme="minorEastAsia"/>
        </w:rPr>
      </w:pPr>
    </w:p>
    <w:p w14:paraId="246B84C9" w14:textId="3A161C6D" w:rsidR="6900C809" w:rsidRDefault="6900C809" w:rsidP="28FA05E8">
      <w:pPr>
        <w:pStyle w:val="ListParagraph"/>
        <w:numPr>
          <w:ilvl w:val="0"/>
          <w:numId w:val="3"/>
        </w:numPr>
        <w:spacing w:after="0"/>
        <w:rPr>
          <w:rFonts w:eastAsiaTheme="minorEastAsia"/>
        </w:rPr>
      </w:pPr>
      <w:r w:rsidRPr="28FA05E8">
        <w:rPr>
          <w:rFonts w:eastAsiaTheme="minorEastAsia"/>
          <w:b/>
          <w:bCs/>
        </w:rPr>
        <w:t xml:space="preserve">By when does my district need to report curriculum data </w:t>
      </w:r>
      <w:proofErr w:type="gramStart"/>
      <w:r w:rsidRPr="28FA05E8">
        <w:rPr>
          <w:rFonts w:eastAsiaTheme="minorEastAsia"/>
          <w:b/>
          <w:bCs/>
        </w:rPr>
        <w:t>in order to</w:t>
      </w:r>
      <w:proofErr w:type="gramEnd"/>
      <w:r w:rsidRPr="28FA05E8">
        <w:rPr>
          <w:rFonts w:eastAsiaTheme="minorEastAsia"/>
          <w:b/>
          <w:bCs/>
        </w:rPr>
        <w:t xml:space="preserve"> be eligible for these grants?</w:t>
      </w:r>
    </w:p>
    <w:p w14:paraId="7B83B7B7" w14:textId="1F3ED311" w:rsidR="28FA05E8" w:rsidRDefault="28FA05E8" w:rsidP="28FA05E8">
      <w:pPr>
        <w:spacing w:after="0"/>
        <w:rPr>
          <w:rFonts w:eastAsiaTheme="minorEastAsia"/>
        </w:rPr>
      </w:pPr>
    </w:p>
    <w:p w14:paraId="2BAFB32C" w14:textId="1388C637" w:rsidR="6900C809" w:rsidRDefault="6900C809" w:rsidP="28FA05E8">
      <w:pPr>
        <w:spacing w:after="0"/>
        <w:rPr>
          <w:rFonts w:eastAsiaTheme="minorEastAsia"/>
        </w:rPr>
      </w:pPr>
      <w:r w:rsidRPr="28FA05E8">
        <w:rPr>
          <w:rFonts w:eastAsiaTheme="minorEastAsia"/>
        </w:rPr>
        <w:t>Curriculum data must be reported by the grant deadline (February 28).</w:t>
      </w:r>
    </w:p>
    <w:p w14:paraId="7F63F599" w14:textId="124DFEAE" w:rsidR="28FA05E8" w:rsidRDefault="28FA05E8" w:rsidP="28FA05E8">
      <w:pPr>
        <w:spacing w:after="0"/>
        <w:jc w:val="center"/>
        <w:rPr>
          <w:rFonts w:eastAsiaTheme="minorEastAsia"/>
          <w:b/>
          <w:bCs/>
        </w:rPr>
      </w:pPr>
    </w:p>
    <w:p w14:paraId="2E34D3EA" w14:textId="6CE7FDC0" w:rsidR="28FA05E8" w:rsidRDefault="28FA05E8" w:rsidP="28FA05E8">
      <w:pPr>
        <w:spacing w:after="0"/>
        <w:jc w:val="center"/>
        <w:rPr>
          <w:rFonts w:eastAsiaTheme="minorEastAsia"/>
          <w:b/>
          <w:bCs/>
        </w:rPr>
      </w:pPr>
    </w:p>
    <w:p w14:paraId="7F8F6364" w14:textId="5B818EB4" w:rsidR="003C32B7" w:rsidRDefault="1BF967CA" w:rsidP="28FA05E8">
      <w:pPr>
        <w:spacing w:after="0"/>
        <w:jc w:val="center"/>
        <w:rPr>
          <w:rFonts w:eastAsiaTheme="minorEastAsia"/>
          <w:b/>
          <w:bCs/>
          <w:sz w:val="28"/>
          <w:szCs w:val="28"/>
        </w:rPr>
      </w:pPr>
      <w:r w:rsidRPr="28FA05E8">
        <w:rPr>
          <w:rFonts w:eastAsiaTheme="minorEastAsia"/>
          <w:b/>
          <w:bCs/>
          <w:sz w:val="28"/>
          <w:szCs w:val="28"/>
        </w:rPr>
        <w:t>FY</w:t>
      </w:r>
      <w:r w:rsidR="1A69CE03" w:rsidRPr="28FA05E8">
        <w:rPr>
          <w:rFonts w:eastAsiaTheme="minorEastAsia"/>
          <w:b/>
          <w:bCs/>
          <w:sz w:val="28"/>
          <w:szCs w:val="28"/>
        </w:rPr>
        <w:t>26 Civics Teaching and Learning Grant</w:t>
      </w:r>
      <w:r w:rsidRPr="28FA05E8">
        <w:rPr>
          <w:rFonts w:eastAsiaTheme="minorEastAsia"/>
          <w:b/>
          <w:bCs/>
          <w:sz w:val="28"/>
          <w:szCs w:val="28"/>
        </w:rPr>
        <w:t xml:space="preserve"> </w:t>
      </w:r>
      <w:r w:rsidR="417F8963" w:rsidRPr="28FA05E8">
        <w:rPr>
          <w:rFonts w:eastAsiaTheme="minorEastAsia"/>
          <w:b/>
          <w:bCs/>
          <w:sz w:val="28"/>
          <w:szCs w:val="28"/>
        </w:rPr>
        <w:t>(FC589):</w:t>
      </w:r>
    </w:p>
    <w:p w14:paraId="1D4569CB" w14:textId="59FAA4C1" w:rsidR="15A34EA3" w:rsidRPr="003C32B7" w:rsidRDefault="1BF967CA" w:rsidP="28FA05E8">
      <w:pPr>
        <w:jc w:val="center"/>
        <w:rPr>
          <w:rFonts w:eastAsiaTheme="minorEastAsia"/>
          <w:b/>
          <w:bCs/>
          <w:sz w:val="28"/>
          <w:szCs w:val="28"/>
        </w:rPr>
      </w:pPr>
      <w:r w:rsidRPr="28FA05E8">
        <w:rPr>
          <w:rFonts w:eastAsiaTheme="minorEastAsia"/>
          <w:b/>
          <w:bCs/>
          <w:sz w:val="28"/>
          <w:szCs w:val="28"/>
        </w:rPr>
        <w:t>Questions and Answers</w:t>
      </w:r>
    </w:p>
    <w:p w14:paraId="75945A52" w14:textId="0E74CFD8" w:rsidR="5CF08DEC" w:rsidRDefault="5CF08DEC" w:rsidP="28FA05E8">
      <w:pPr>
        <w:jc w:val="center"/>
        <w:rPr>
          <w:rFonts w:eastAsiaTheme="minorEastAsia"/>
          <w:b/>
          <w:bCs/>
          <w:sz w:val="28"/>
          <w:szCs w:val="28"/>
        </w:rPr>
      </w:pPr>
      <w:hyperlink r:id="rId12">
        <w:r w:rsidRPr="28FA05E8">
          <w:rPr>
            <w:rStyle w:val="Hyperlink"/>
            <w:rFonts w:eastAsiaTheme="minorEastAsia"/>
            <w:b/>
            <w:bCs/>
            <w:sz w:val="28"/>
            <w:szCs w:val="28"/>
          </w:rPr>
          <w:t>Link to RFP</w:t>
        </w:r>
      </w:hyperlink>
    </w:p>
    <w:p w14:paraId="69284FCC" w14:textId="0A2ADA5F" w:rsidR="4F46BB9B" w:rsidRDefault="00636756" w:rsidP="28FA05E8">
      <w:pPr>
        <w:pStyle w:val="ListParagraph"/>
        <w:numPr>
          <w:ilvl w:val="0"/>
          <w:numId w:val="1"/>
        </w:numPr>
        <w:rPr>
          <w:rFonts w:eastAsiaTheme="minorEastAsia"/>
          <w:b/>
          <w:bCs/>
          <w:color w:val="212121"/>
        </w:rPr>
      </w:pPr>
      <w:r w:rsidRPr="28FA05E8">
        <w:rPr>
          <w:rFonts w:eastAsiaTheme="minorEastAsia"/>
          <w:b/>
          <w:bCs/>
          <w:color w:val="212121"/>
        </w:rPr>
        <w:t>Is</w:t>
      </w:r>
      <w:r w:rsidR="549A413C" w:rsidRPr="28FA05E8">
        <w:rPr>
          <w:rFonts w:eastAsiaTheme="minorEastAsia"/>
          <w:b/>
          <w:bCs/>
          <w:color w:val="212121"/>
        </w:rPr>
        <w:t xml:space="preserve"> this a multi-year grant?</w:t>
      </w:r>
    </w:p>
    <w:p w14:paraId="62DBE1B2" w14:textId="7EB3A452" w:rsidR="549A413C" w:rsidRDefault="549A413C" w:rsidP="28FA05E8">
      <w:pPr>
        <w:rPr>
          <w:rFonts w:eastAsiaTheme="minorEastAsia"/>
          <w:color w:val="212121"/>
        </w:rPr>
      </w:pPr>
      <w:r w:rsidRPr="28FA05E8">
        <w:rPr>
          <w:rFonts w:eastAsiaTheme="minorEastAsia"/>
          <w:color w:val="212121"/>
        </w:rPr>
        <w:t>While historically the Civics Teaching and Learning Grant has been multi-year (i.e. able to be extended into the following fiscal year), this year’s grant is a one-year grant only. LEAs must expend their funds by June 30, 2026.</w:t>
      </w:r>
    </w:p>
    <w:p w14:paraId="6D13217C" w14:textId="58308ACB" w:rsidR="46F5BA5F" w:rsidRDefault="54F39D0B" w:rsidP="28FA05E8">
      <w:pPr>
        <w:pStyle w:val="ListParagraph"/>
        <w:numPr>
          <w:ilvl w:val="0"/>
          <w:numId w:val="1"/>
        </w:numPr>
        <w:rPr>
          <w:rFonts w:eastAsiaTheme="minorEastAsia"/>
          <w:b/>
          <w:bCs/>
          <w:color w:val="212121"/>
        </w:rPr>
      </w:pPr>
      <w:r w:rsidRPr="28FA05E8">
        <w:rPr>
          <w:rFonts w:eastAsiaTheme="minorEastAsia"/>
          <w:b/>
          <w:bCs/>
          <w:color w:val="212121"/>
        </w:rPr>
        <w:t>What are the relative weights of the various competitive priorities for this grant?</w:t>
      </w:r>
    </w:p>
    <w:p w14:paraId="0F7C9839" w14:textId="40963F1B" w:rsidR="00EA6C18" w:rsidRPr="00EA6C18" w:rsidRDefault="54F39D0B" w:rsidP="28FA05E8">
      <w:pPr>
        <w:rPr>
          <w:rFonts w:eastAsiaTheme="minorEastAsia"/>
          <w:color w:val="212121"/>
        </w:rPr>
      </w:pPr>
      <w:r w:rsidRPr="28FA05E8">
        <w:rPr>
          <w:rFonts w:eastAsiaTheme="minorEastAsia"/>
          <w:color w:val="212121"/>
        </w:rPr>
        <w:lastRenderedPageBreak/>
        <w:t xml:space="preserve">Each competitive priority is given the same weight within the scorecard. As such, a district that </w:t>
      </w:r>
      <w:r w:rsidR="380C931C" w:rsidRPr="28FA05E8">
        <w:rPr>
          <w:rFonts w:eastAsiaTheme="minorEastAsia"/>
          <w:color w:val="212121"/>
        </w:rPr>
        <w:t xml:space="preserve">is </w:t>
      </w:r>
      <w:r w:rsidR="3DE2078E" w:rsidRPr="28FA05E8">
        <w:rPr>
          <w:rFonts w:eastAsiaTheme="minorEastAsia"/>
          <w:color w:val="212121"/>
        </w:rPr>
        <w:t xml:space="preserve">eligible for </w:t>
      </w:r>
      <w:r w:rsidR="71DF242A" w:rsidRPr="28FA05E8">
        <w:rPr>
          <w:rFonts w:eastAsiaTheme="minorEastAsia"/>
          <w:color w:val="212121"/>
        </w:rPr>
        <w:t xml:space="preserve">one </w:t>
      </w:r>
      <w:r w:rsidRPr="28FA05E8">
        <w:rPr>
          <w:rFonts w:eastAsiaTheme="minorEastAsia"/>
          <w:color w:val="212121"/>
        </w:rPr>
        <w:t xml:space="preserve">competitive priority will receive the same </w:t>
      </w:r>
      <w:r w:rsidR="01D112CE" w:rsidRPr="28FA05E8">
        <w:rPr>
          <w:rFonts w:eastAsiaTheme="minorEastAsia"/>
          <w:color w:val="212121"/>
        </w:rPr>
        <w:t xml:space="preserve">additional points as a district that </w:t>
      </w:r>
      <w:r w:rsidR="317BC87A" w:rsidRPr="28FA05E8">
        <w:rPr>
          <w:rFonts w:eastAsiaTheme="minorEastAsia"/>
          <w:color w:val="212121"/>
        </w:rPr>
        <w:t xml:space="preserve">is eligible for </w:t>
      </w:r>
      <w:r w:rsidR="16B4F3D4" w:rsidRPr="28FA05E8">
        <w:rPr>
          <w:rFonts w:eastAsiaTheme="minorEastAsia"/>
          <w:color w:val="212121"/>
        </w:rPr>
        <w:t>another. If districts are eligible for more than one competitive priority, they will receive cumulative additional points.</w:t>
      </w:r>
    </w:p>
    <w:p w14:paraId="3A76ECB5" w14:textId="7AAA2FC0" w:rsidR="00EA6C18" w:rsidRPr="00EA6C18" w:rsidRDefault="6AB69471" w:rsidP="28FA05E8">
      <w:pPr>
        <w:pStyle w:val="ListParagraph"/>
        <w:numPr>
          <w:ilvl w:val="0"/>
          <w:numId w:val="1"/>
        </w:numPr>
        <w:rPr>
          <w:rFonts w:eastAsiaTheme="minorEastAsia"/>
          <w:b/>
          <w:bCs/>
          <w:color w:val="212121"/>
        </w:rPr>
      </w:pPr>
      <w:r w:rsidRPr="28FA05E8">
        <w:rPr>
          <w:rFonts w:eastAsiaTheme="minorEastAsia"/>
          <w:b/>
          <w:bCs/>
          <w:color w:val="212121"/>
        </w:rPr>
        <w:t xml:space="preserve">In the grant criteria that says, “If funds are being used to support curriculum implementation in grades K-8, curricular materials must either be </w:t>
      </w:r>
      <w:hyperlink r:id="rId13">
        <w:r w:rsidRPr="28FA05E8">
          <w:rPr>
            <w:rStyle w:val="Hyperlink"/>
            <w:rFonts w:eastAsiaTheme="minorEastAsia"/>
            <w:b/>
            <w:bCs/>
            <w:color w:val="96607D"/>
          </w:rPr>
          <w:t>Investigating History</w:t>
        </w:r>
      </w:hyperlink>
      <w:r w:rsidRPr="28FA05E8">
        <w:rPr>
          <w:rFonts w:eastAsiaTheme="minorEastAsia"/>
          <w:b/>
          <w:bCs/>
          <w:color w:val="212121"/>
        </w:rPr>
        <w:t xml:space="preserve"> or be among those listed as highlighted materials in DESE's </w:t>
      </w:r>
      <w:hyperlink r:id="rId14" w:anchor="/">
        <w:r w:rsidRPr="28FA05E8">
          <w:rPr>
            <w:rStyle w:val="Hyperlink"/>
            <w:rFonts w:eastAsiaTheme="minorEastAsia"/>
            <w:b/>
            <w:bCs/>
            <w:i/>
            <w:iCs/>
            <w:color w:val="96607D"/>
          </w:rPr>
          <w:t>K-12 History/Social Science Curricular Materials Guide</w:t>
        </w:r>
      </w:hyperlink>
      <w:r w:rsidRPr="28FA05E8">
        <w:rPr>
          <w:rFonts w:eastAsiaTheme="minorEastAsia"/>
          <w:b/>
          <w:bCs/>
          <w:color w:val="212121"/>
        </w:rPr>
        <w:t xml:space="preserve">.”    </w:t>
      </w:r>
    </w:p>
    <w:p w14:paraId="2D180170" w14:textId="7129AC22" w:rsidR="00EA6C18" w:rsidRPr="00EA6C18" w:rsidRDefault="00EA6C18" w:rsidP="28FA05E8">
      <w:pPr>
        <w:pStyle w:val="ListParagraph"/>
        <w:spacing w:after="0"/>
        <w:rPr>
          <w:rFonts w:eastAsiaTheme="minorEastAsia"/>
          <w:b/>
          <w:bCs/>
          <w:color w:val="212121"/>
        </w:rPr>
      </w:pPr>
    </w:p>
    <w:p w14:paraId="143EECE1" w14:textId="0D373A35" w:rsidR="00EA6C18" w:rsidRPr="00EA6C18" w:rsidRDefault="6AB69471" w:rsidP="28FA05E8">
      <w:pPr>
        <w:pStyle w:val="ListParagraph"/>
        <w:spacing w:after="0"/>
        <w:rPr>
          <w:rFonts w:eastAsiaTheme="minorEastAsia"/>
          <w:b/>
          <w:bCs/>
          <w:color w:val="212121"/>
        </w:rPr>
      </w:pPr>
      <w:r w:rsidRPr="28FA05E8">
        <w:rPr>
          <w:rFonts w:eastAsiaTheme="minorEastAsia"/>
          <w:b/>
          <w:bCs/>
          <w:color w:val="212121"/>
        </w:rPr>
        <w:t xml:space="preserve">However, it also says, “This grant may fund projects within one or more of the following categories: Purchase and/or </w:t>
      </w:r>
      <w:r w:rsidRPr="28FA05E8">
        <w:rPr>
          <w:rFonts w:eastAsiaTheme="minorEastAsia"/>
          <w:b/>
          <w:bCs/>
          <w:color w:val="212121"/>
          <w:u w:val="single"/>
        </w:rPr>
        <w:t>development</w:t>
      </w:r>
      <w:r w:rsidRPr="28FA05E8">
        <w:rPr>
          <w:rFonts w:eastAsiaTheme="minorEastAsia"/>
          <w:b/>
          <w:bCs/>
          <w:color w:val="212121"/>
        </w:rPr>
        <w:t xml:space="preserve"> of curricular materials intended to further students' civic knowledge, skills, and dispositions </w:t>
      </w:r>
      <w:r w:rsidRPr="28FA05E8">
        <w:rPr>
          <w:rFonts w:eastAsiaTheme="minorEastAsia"/>
          <w:b/>
          <w:bCs/>
          <w:i/>
          <w:iCs/>
          <w:color w:val="212121"/>
        </w:rPr>
        <w:t>at any grade level</w:t>
      </w:r>
      <w:r w:rsidRPr="28FA05E8">
        <w:rPr>
          <w:rFonts w:eastAsiaTheme="minorEastAsia"/>
          <w:b/>
          <w:bCs/>
          <w:color w:val="212121"/>
        </w:rPr>
        <w:t xml:space="preserve">.” </w:t>
      </w:r>
    </w:p>
    <w:p w14:paraId="72DCC481" w14:textId="465D3D26" w:rsidR="00EA6C18" w:rsidRPr="00EA6C18" w:rsidRDefault="00EA6C18" w:rsidP="28FA05E8">
      <w:pPr>
        <w:pStyle w:val="ListParagraph"/>
        <w:spacing w:after="0"/>
        <w:rPr>
          <w:rFonts w:eastAsiaTheme="minorEastAsia"/>
          <w:b/>
          <w:bCs/>
          <w:color w:val="212121"/>
        </w:rPr>
      </w:pPr>
    </w:p>
    <w:p w14:paraId="15A9DA92" w14:textId="7EA580D7" w:rsidR="00EA6C18" w:rsidRPr="00EA6C18" w:rsidRDefault="6AB69471" w:rsidP="28FA05E8">
      <w:pPr>
        <w:pStyle w:val="ListParagraph"/>
        <w:spacing w:after="0"/>
        <w:rPr>
          <w:rFonts w:eastAsiaTheme="minorEastAsia"/>
          <w:b/>
          <w:bCs/>
          <w:color w:val="212121"/>
        </w:rPr>
      </w:pPr>
      <w:r w:rsidRPr="28FA05E8">
        <w:rPr>
          <w:rFonts w:eastAsiaTheme="minorEastAsia"/>
          <w:b/>
          <w:bCs/>
          <w:color w:val="212121"/>
        </w:rPr>
        <w:t>Since the word “development” was included as an option, could you confirm for me that a “developed” product would be one that is created and not required to be selected from the preapproved list…that a district could qualify to use the grant to partner with a company to create a standards-aligned custom resource, tailored to their community</w:t>
      </w:r>
      <w:r w:rsidR="0B8541D9" w:rsidRPr="28FA05E8">
        <w:rPr>
          <w:rFonts w:eastAsiaTheme="minorEastAsia"/>
          <w:b/>
          <w:bCs/>
          <w:color w:val="212121"/>
        </w:rPr>
        <w:t>?</w:t>
      </w:r>
    </w:p>
    <w:p w14:paraId="2FB50723" w14:textId="053FB438" w:rsidR="00EA6C18" w:rsidRPr="00EA6C18" w:rsidRDefault="00EA6C18" w:rsidP="28FA05E8">
      <w:pPr>
        <w:pStyle w:val="ListParagraph"/>
        <w:spacing w:after="0"/>
        <w:rPr>
          <w:rFonts w:eastAsiaTheme="minorEastAsia"/>
          <w:color w:val="212121"/>
        </w:rPr>
      </w:pPr>
    </w:p>
    <w:p w14:paraId="44C906D6" w14:textId="52D074A1" w:rsidR="00EA6C18" w:rsidRPr="00EA6C18" w:rsidRDefault="0B8541D9" w:rsidP="28FA05E8">
      <w:pPr>
        <w:spacing w:after="0"/>
        <w:rPr>
          <w:rFonts w:eastAsiaTheme="minorEastAsia"/>
        </w:rPr>
      </w:pPr>
      <w:r w:rsidRPr="28FA05E8">
        <w:rPr>
          <w:rFonts w:eastAsiaTheme="minorEastAsia"/>
          <w:color w:val="212121"/>
        </w:rPr>
        <w:t xml:space="preserve">Curricular materials funded by the grant for grades K-8 must either be </w:t>
      </w:r>
      <w:hyperlink r:id="rId15">
        <w:r w:rsidRPr="28FA05E8">
          <w:rPr>
            <w:rStyle w:val="Hyperlink"/>
            <w:rFonts w:eastAsiaTheme="minorEastAsia"/>
          </w:rPr>
          <w:t>Investigating History</w:t>
        </w:r>
      </w:hyperlink>
      <w:r w:rsidRPr="28FA05E8">
        <w:rPr>
          <w:rFonts w:eastAsiaTheme="minorEastAsia"/>
          <w:color w:val="212121"/>
        </w:rPr>
        <w:t xml:space="preserve"> or among those listed in the </w:t>
      </w:r>
      <w:hyperlink r:id="rId16" w:anchor="/">
        <w:r w:rsidR="709AC2FC" w:rsidRPr="28FA05E8">
          <w:rPr>
            <w:rStyle w:val="Hyperlink"/>
            <w:rFonts w:eastAsiaTheme="minorEastAsia"/>
            <w:color w:val="96607D"/>
          </w:rPr>
          <w:t>K-12 History/Social Science Curricular Materials Guide</w:t>
        </w:r>
      </w:hyperlink>
      <w:r w:rsidRPr="28FA05E8">
        <w:rPr>
          <w:rFonts w:eastAsiaTheme="minorEastAsia"/>
          <w:color w:val="212121"/>
        </w:rPr>
        <w:t xml:space="preserve">, as listed </w:t>
      </w:r>
      <w:r w:rsidR="12F75881" w:rsidRPr="28FA05E8">
        <w:rPr>
          <w:rFonts w:eastAsiaTheme="minorEastAsia"/>
          <w:color w:val="212121"/>
        </w:rPr>
        <w:t>above. However, curricular materials for high school may be</w:t>
      </w:r>
      <w:r w:rsidR="4A037875" w:rsidRPr="28FA05E8">
        <w:rPr>
          <w:rFonts w:eastAsiaTheme="minorEastAsia"/>
          <w:color w:val="212121"/>
        </w:rPr>
        <w:t xml:space="preserve"> selected or developed from resources beyond this guide</w:t>
      </w:r>
      <w:r w:rsidR="3B1DC2F7" w:rsidRPr="28FA05E8">
        <w:rPr>
          <w:rFonts w:eastAsiaTheme="minorEastAsia"/>
          <w:color w:val="212121"/>
        </w:rPr>
        <w:t xml:space="preserve">. </w:t>
      </w:r>
      <w:r w:rsidR="6ABD48F1" w:rsidRPr="28FA05E8">
        <w:rPr>
          <w:rFonts w:eastAsiaTheme="minorEastAsia"/>
          <w:color w:val="212121"/>
        </w:rPr>
        <w:t>LEAs should utilize the</w:t>
      </w:r>
      <w:r w:rsidR="12F75881" w:rsidRPr="28FA05E8">
        <w:rPr>
          <w:rFonts w:eastAsiaTheme="minorEastAsia"/>
          <w:color w:val="212121"/>
        </w:rPr>
        <w:t xml:space="preserve"> </w:t>
      </w:r>
      <w:hyperlink r:id="rId17">
        <w:r w:rsidR="711914D9" w:rsidRPr="28FA05E8">
          <w:rPr>
            <w:rStyle w:val="Hyperlink"/>
            <w:rFonts w:eastAsiaTheme="minorEastAsia"/>
          </w:rPr>
          <w:t>Social Studies Curricular Materials Rubric</w:t>
        </w:r>
      </w:hyperlink>
      <w:r w:rsidR="711914D9" w:rsidRPr="28FA05E8">
        <w:rPr>
          <w:rFonts w:eastAsiaTheme="minorEastAsia"/>
        </w:rPr>
        <w:t xml:space="preserve"> </w:t>
      </w:r>
      <w:r w:rsidR="5B112961" w:rsidRPr="28FA05E8">
        <w:rPr>
          <w:rFonts w:eastAsiaTheme="minorEastAsia"/>
        </w:rPr>
        <w:t>to</w:t>
      </w:r>
      <w:r w:rsidR="7DA32513" w:rsidRPr="28FA05E8">
        <w:rPr>
          <w:rFonts w:eastAsiaTheme="minorEastAsia"/>
        </w:rPr>
        <w:t xml:space="preserve"> guide the</w:t>
      </w:r>
      <w:r w:rsidR="5B112961" w:rsidRPr="28FA05E8">
        <w:rPr>
          <w:rFonts w:eastAsiaTheme="minorEastAsia"/>
        </w:rPr>
        <w:t xml:space="preserve"> e</w:t>
      </w:r>
      <w:r w:rsidR="46C31CA5" w:rsidRPr="28FA05E8">
        <w:rPr>
          <w:rFonts w:eastAsiaTheme="minorEastAsia"/>
        </w:rPr>
        <w:t>valuat</w:t>
      </w:r>
      <w:r w:rsidR="7ECE4444" w:rsidRPr="28FA05E8">
        <w:rPr>
          <w:rFonts w:eastAsiaTheme="minorEastAsia"/>
        </w:rPr>
        <w:t xml:space="preserve">ion of </w:t>
      </w:r>
      <w:r w:rsidR="46C31CA5" w:rsidRPr="28FA05E8">
        <w:rPr>
          <w:rFonts w:eastAsiaTheme="minorEastAsia"/>
        </w:rPr>
        <w:t>their materials.</w:t>
      </w:r>
    </w:p>
    <w:p w14:paraId="372FFB6C" w14:textId="0AB4B208" w:rsidR="2B65AAC7" w:rsidRDefault="2B65AAC7" w:rsidP="28FA05E8">
      <w:pPr>
        <w:spacing w:after="0"/>
        <w:rPr>
          <w:rFonts w:eastAsiaTheme="minorEastAsia"/>
        </w:rPr>
      </w:pPr>
    </w:p>
    <w:p w14:paraId="173751BA" w14:textId="17896FC9" w:rsidR="68C43716" w:rsidRDefault="68C43716" w:rsidP="28FA05E8">
      <w:pPr>
        <w:pStyle w:val="ListParagraph"/>
        <w:numPr>
          <w:ilvl w:val="0"/>
          <w:numId w:val="3"/>
        </w:numPr>
        <w:spacing w:after="0"/>
        <w:rPr>
          <w:rFonts w:eastAsiaTheme="minorEastAsia"/>
          <w:b/>
          <w:bCs/>
        </w:rPr>
      </w:pPr>
      <w:r w:rsidRPr="28FA05E8">
        <w:rPr>
          <w:rFonts w:eastAsiaTheme="minorEastAsia"/>
          <w:b/>
          <w:bCs/>
        </w:rPr>
        <w:t>Can multiple LEAs apply for the Civics Teaching and Learning Grant together with one LEA acting as the fiscal agent?</w:t>
      </w:r>
    </w:p>
    <w:p w14:paraId="36909215" w14:textId="5AB469F6" w:rsidR="2B65AAC7" w:rsidRDefault="2B65AAC7" w:rsidP="28FA05E8">
      <w:pPr>
        <w:spacing w:after="0"/>
        <w:rPr>
          <w:rFonts w:eastAsiaTheme="minorEastAsia"/>
          <w:b/>
          <w:bCs/>
        </w:rPr>
      </w:pPr>
    </w:p>
    <w:p w14:paraId="37C706DA" w14:textId="26F3D41A" w:rsidR="68C43716" w:rsidRDefault="68C43716" w:rsidP="28FA05E8">
      <w:pPr>
        <w:spacing w:after="0"/>
        <w:rPr>
          <w:rFonts w:eastAsiaTheme="minorEastAsia"/>
        </w:rPr>
      </w:pPr>
      <w:r w:rsidRPr="28FA05E8">
        <w:rPr>
          <w:rFonts w:eastAsiaTheme="minorEastAsia"/>
        </w:rPr>
        <w:t>Yes. LEAs may apply for a grant together and should select the size tier that aligns to their total student count. In such a case, LEAs should indicate in the project description that they plan to work across LEAs and should detail the nature of this partnership.</w:t>
      </w:r>
    </w:p>
    <w:p w14:paraId="5742F158" w14:textId="37ABF79A" w:rsidR="28FA05E8" w:rsidRDefault="28FA05E8" w:rsidP="28FA05E8">
      <w:pPr>
        <w:spacing w:after="0"/>
        <w:rPr>
          <w:rFonts w:eastAsiaTheme="minorEastAsia"/>
        </w:rPr>
      </w:pPr>
    </w:p>
    <w:p w14:paraId="43534D20" w14:textId="6B22629E" w:rsidR="6B930F9B" w:rsidRDefault="6B930F9B" w:rsidP="28FA05E8">
      <w:pPr>
        <w:pStyle w:val="ListParagraph"/>
        <w:numPr>
          <w:ilvl w:val="0"/>
          <w:numId w:val="3"/>
        </w:numPr>
        <w:spacing w:after="0"/>
        <w:rPr>
          <w:rFonts w:eastAsiaTheme="minorEastAsia"/>
          <w:b/>
          <w:bCs/>
        </w:rPr>
      </w:pPr>
      <w:r w:rsidRPr="28FA05E8">
        <w:rPr>
          <w:rFonts w:eastAsiaTheme="minorEastAsia"/>
          <w:b/>
          <w:bCs/>
        </w:rPr>
        <w:t>If my district applies for the One8 Foundation Investigating History Grant, will it impact the scoring process for the Civics Teaching and Learning Grant?</w:t>
      </w:r>
    </w:p>
    <w:p w14:paraId="4C46E73C" w14:textId="6ABC410F" w:rsidR="28FA05E8" w:rsidRDefault="28FA05E8" w:rsidP="28FA05E8">
      <w:pPr>
        <w:spacing w:after="0"/>
        <w:rPr>
          <w:rFonts w:eastAsiaTheme="minorEastAsia"/>
          <w:b/>
          <w:bCs/>
        </w:rPr>
      </w:pPr>
    </w:p>
    <w:p w14:paraId="0824ECFA" w14:textId="7805A7A8" w:rsidR="6B930F9B" w:rsidRDefault="6B930F9B" w:rsidP="28FA05E8">
      <w:pPr>
        <w:spacing w:after="0"/>
        <w:rPr>
          <w:rFonts w:eastAsiaTheme="minorEastAsia"/>
        </w:rPr>
      </w:pPr>
      <w:r w:rsidRPr="28FA05E8">
        <w:rPr>
          <w:rFonts w:eastAsiaTheme="minorEastAsia"/>
        </w:rPr>
        <w:t>No. LEAs will not be scored differently if they apply for the One8 Foundation</w:t>
      </w:r>
      <w:r w:rsidR="348C6534" w:rsidRPr="28FA05E8">
        <w:rPr>
          <w:rFonts w:eastAsiaTheme="minorEastAsia"/>
        </w:rPr>
        <w:t xml:space="preserve"> </w:t>
      </w:r>
      <w:r w:rsidRPr="28FA05E8">
        <w:rPr>
          <w:rFonts w:eastAsiaTheme="minorEastAsia"/>
        </w:rPr>
        <w:t>Grant</w:t>
      </w:r>
      <w:r w:rsidR="5D3A3F9C" w:rsidRPr="28FA05E8">
        <w:rPr>
          <w:rFonts w:eastAsiaTheme="minorEastAsia"/>
        </w:rPr>
        <w:t>.</w:t>
      </w:r>
      <w:r w:rsidRPr="28FA05E8">
        <w:rPr>
          <w:rFonts w:eastAsiaTheme="minorEastAsia"/>
        </w:rPr>
        <w:t xml:space="preserve">  However, the DESE team will communicate with One8 prior to making awards to ensure that we are not funding the same grant </w:t>
      </w:r>
      <w:r w:rsidR="26239CEA" w:rsidRPr="28FA05E8">
        <w:rPr>
          <w:rFonts w:eastAsiaTheme="minorEastAsia"/>
        </w:rPr>
        <w:t xml:space="preserve">activities. </w:t>
      </w:r>
    </w:p>
    <w:p w14:paraId="199C1F6B" w14:textId="5101370F" w:rsidR="28FA05E8" w:rsidRDefault="28FA05E8" w:rsidP="28FA05E8">
      <w:pPr>
        <w:spacing w:after="0"/>
        <w:rPr>
          <w:rFonts w:eastAsiaTheme="minorEastAsia"/>
        </w:rPr>
      </w:pPr>
    </w:p>
    <w:p w14:paraId="63910E3B" w14:textId="72C75E13" w:rsidR="26239CEA" w:rsidRDefault="26239CEA" w:rsidP="28FA05E8">
      <w:pPr>
        <w:spacing w:after="0"/>
        <w:rPr>
          <w:rFonts w:eastAsiaTheme="minorEastAsia"/>
        </w:rPr>
      </w:pPr>
      <w:r w:rsidRPr="28FA05E8">
        <w:rPr>
          <w:rFonts w:eastAsiaTheme="minorEastAsia"/>
        </w:rPr>
        <w:t xml:space="preserve">Example: An LEA applies for the One8 Foundation Grant and the DESE Civics Teaching and Learning Grant. Both grant applications include funds for Investigating History professional </w:t>
      </w:r>
      <w:r w:rsidR="78CA04FC" w:rsidRPr="28FA05E8">
        <w:rPr>
          <w:rFonts w:eastAsiaTheme="minorEastAsia"/>
        </w:rPr>
        <w:t>learning</w:t>
      </w:r>
      <w:r w:rsidR="43C3FE1D" w:rsidRPr="28FA05E8">
        <w:rPr>
          <w:rFonts w:eastAsiaTheme="minorEastAsia"/>
        </w:rPr>
        <w:t>. However, the DESE grant application also includes funds to support civics project implementation. DESE communicates with the One8 Foundation and learns that the LEA has been awarded the One8 grant.</w:t>
      </w:r>
      <w:r w:rsidR="1035D7F4" w:rsidRPr="28FA05E8">
        <w:rPr>
          <w:rFonts w:eastAsiaTheme="minorEastAsia"/>
        </w:rPr>
        <w:t xml:space="preserve"> As such, the LEA becomes ineligible for </w:t>
      </w:r>
      <w:r w:rsidR="4FABCE91" w:rsidRPr="28FA05E8">
        <w:rPr>
          <w:rFonts w:eastAsiaTheme="minorEastAsia"/>
        </w:rPr>
        <w:t xml:space="preserve">DESE </w:t>
      </w:r>
      <w:r w:rsidR="1035D7F4" w:rsidRPr="28FA05E8">
        <w:rPr>
          <w:rFonts w:eastAsiaTheme="minorEastAsia"/>
        </w:rPr>
        <w:t xml:space="preserve">funding for the Investigating History professional </w:t>
      </w:r>
      <w:r w:rsidR="5D9DAB36" w:rsidRPr="28FA05E8">
        <w:rPr>
          <w:rFonts w:eastAsiaTheme="minorEastAsia"/>
        </w:rPr>
        <w:t xml:space="preserve">learning. </w:t>
      </w:r>
      <w:r w:rsidR="5D9DAB36" w:rsidRPr="28FA05E8">
        <w:rPr>
          <w:rFonts w:eastAsiaTheme="minorEastAsia"/>
        </w:rPr>
        <w:lastRenderedPageBreak/>
        <w:t>However, their One8 award does not affect the scoring for the rest of their grant application. They are awarded the DESE grant to support civics project implementation.</w:t>
      </w:r>
    </w:p>
    <w:p w14:paraId="6E3BD7C4" w14:textId="070E818A" w:rsidR="28FA05E8" w:rsidRDefault="28FA05E8" w:rsidP="28FA05E8">
      <w:pPr>
        <w:spacing w:after="0"/>
        <w:rPr>
          <w:rFonts w:eastAsiaTheme="minorEastAsia"/>
        </w:rPr>
      </w:pPr>
    </w:p>
    <w:p w14:paraId="17CBE340" w14:textId="605A0BF9" w:rsidR="374A1A17" w:rsidRDefault="374A1A17" w:rsidP="28FA05E8">
      <w:pPr>
        <w:pStyle w:val="ListParagraph"/>
        <w:numPr>
          <w:ilvl w:val="0"/>
          <w:numId w:val="3"/>
        </w:numPr>
        <w:spacing w:after="0"/>
        <w:rPr>
          <w:rFonts w:eastAsiaTheme="minorEastAsia"/>
          <w:b/>
          <w:bCs/>
        </w:rPr>
      </w:pPr>
      <w:r w:rsidRPr="28FA05E8">
        <w:rPr>
          <w:rFonts w:eastAsiaTheme="minorEastAsia"/>
          <w:b/>
          <w:bCs/>
        </w:rPr>
        <w:t>Can the Civics Teaching and Learning</w:t>
      </w:r>
      <w:r w:rsidR="105C62FD" w:rsidRPr="28FA05E8">
        <w:rPr>
          <w:rFonts w:eastAsiaTheme="minorEastAsia"/>
          <w:b/>
          <w:bCs/>
        </w:rPr>
        <w:t xml:space="preserve"> Grant be used to print Investigating History materials?</w:t>
      </w:r>
    </w:p>
    <w:p w14:paraId="7D29C9AE" w14:textId="72ABF406" w:rsidR="28FA05E8" w:rsidRDefault="28FA05E8" w:rsidP="28FA05E8">
      <w:pPr>
        <w:spacing w:after="0"/>
        <w:rPr>
          <w:rFonts w:eastAsiaTheme="minorEastAsia"/>
          <w:b/>
          <w:bCs/>
        </w:rPr>
      </w:pPr>
    </w:p>
    <w:p w14:paraId="5039483D" w14:textId="69C056CD" w:rsidR="105C62FD" w:rsidRDefault="105C62FD" w:rsidP="4FDEC8FF">
      <w:pPr>
        <w:spacing w:after="0"/>
        <w:rPr>
          <w:rFonts w:eastAsiaTheme="minorEastAsia"/>
        </w:rPr>
      </w:pPr>
      <w:r w:rsidRPr="4FDEC8FF">
        <w:rPr>
          <w:rFonts w:eastAsiaTheme="minorEastAsia"/>
        </w:rPr>
        <w:t>Yes, this is allowable, given that the overall grant application is aligned to the stated priorities of the grant</w:t>
      </w:r>
      <w:r w:rsidR="28BF5139" w:rsidRPr="4FDEC8FF">
        <w:rPr>
          <w:rFonts w:eastAsiaTheme="minorEastAsia"/>
        </w:rPr>
        <w:t>.</w:t>
      </w:r>
    </w:p>
    <w:p w14:paraId="391B5194" w14:textId="37CF4CBA" w:rsidR="4FDEC8FF" w:rsidRDefault="4FDEC8FF" w:rsidP="4FDEC8FF">
      <w:pPr>
        <w:spacing w:after="0"/>
        <w:rPr>
          <w:rFonts w:eastAsiaTheme="minorEastAsia"/>
        </w:rPr>
      </w:pPr>
    </w:p>
    <w:p w14:paraId="2F5FE4C7" w14:textId="1353F394" w:rsidR="28BF5139" w:rsidRDefault="28BF5139" w:rsidP="4FDEC8FF">
      <w:pPr>
        <w:pStyle w:val="ListParagraph"/>
        <w:numPr>
          <w:ilvl w:val="0"/>
          <w:numId w:val="3"/>
        </w:numPr>
        <w:spacing w:after="0"/>
        <w:rPr>
          <w:rFonts w:eastAsiaTheme="minorEastAsia"/>
          <w:b/>
          <w:bCs/>
        </w:rPr>
      </w:pPr>
      <w:r w:rsidRPr="4FDEC8FF">
        <w:rPr>
          <w:rFonts w:eastAsiaTheme="minorEastAsia"/>
          <w:b/>
          <w:bCs/>
        </w:rPr>
        <w:t>Is this grant open to independent schools?</w:t>
      </w:r>
    </w:p>
    <w:p w14:paraId="7B393175" w14:textId="4E105397" w:rsidR="4FDEC8FF" w:rsidRDefault="4FDEC8FF" w:rsidP="4FDEC8FF">
      <w:pPr>
        <w:spacing w:after="0"/>
        <w:rPr>
          <w:rFonts w:eastAsiaTheme="minorEastAsia"/>
          <w:b/>
          <w:bCs/>
        </w:rPr>
      </w:pPr>
    </w:p>
    <w:p w14:paraId="2DF888EF" w14:textId="735A2ECB" w:rsidR="28BF5139" w:rsidRDefault="28BF5139" w:rsidP="4FDEC8FF">
      <w:pPr>
        <w:spacing w:after="0"/>
        <w:rPr>
          <w:rFonts w:eastAsiaTheme="minorEastAsia"/>
        </w:rPr>
      </w:pPr>
      <w:r w:rsidRPr="4FDEC8FF">
        <w:rPr>
          <w:rFonts w:eastAsiaTheme="minorEastAsia"/>
        </w:rPr>
        <w:t>No, the Civics Teaching and Learning Grant is not open to independent schools.</w:t>
      </w:r>
    </w:p>
    <w:p w14:paraId="7E211F98" w14:textId="1360E4FE" w:rsidR="28FA05E8" w:rsidRDefault="28FA05E8" w:rsidP="28FA05E8">
      <w:pPr>
        <w:spacing w:after="0"/>
        <w:rPr>
          <w:rFonts w:eastAsiaTheme="minorEastAsia"/>
        </w:rPr>
      </w:pPr>
    </w:p>
    <w:p w14:paraId="05BD89AC" w14:textId="1F670D25" w:rsidR="5CE90720" w:rsidRDefault="5CE90720" w:rsidP="28FA05E8">
      <w:pPr>
        <w:spacing w:after="0"/>
        <w:jc w:val="center"/>
        <w:rPr>
          <w:rFonts w:eastAsiaTheme="minorEastAsia"/>
          <w:color w:val="000000" w:themeColor="text1"/>
          <w:sz w:val="28"/>
          <w:szCs w:val="28"/>
        </w:rPr>
      </w:pPr>
      <w:r w:rsidRPr="28FA05E8">
        <w:rPr>
          <w:rFonts w:eastAsiaTheme="minorEastAsia"/>
          <w:b/>
          <w:bCs/>
          <w:color w:val="000000" w:themeColor="text1"/>
          <w:sz w:val="28"/>
          <w:szCs w:val="28"/>
        </w:rPr>
        <w:t xml:space="preserve">FY26 Genocide Education Grant (FC215a): </w:t>
      </w:r>
    </w:p>
    <w:p w14:paraId="23F897A8" w14:textId="174C7081" w:rsidR="5CE90720" w:rsidRDefault="5CE90720" w:rsidP="28FA05E8">
      <w:pPr>
        <w:jc w:val="center"/>
        <w:rPr>
          <w:rFonts w:eastAsiaTheme="minorEastAsia"/>
          <w:color w:val="212121"/>
          <w:sz w:val="28"/>
          <w:szCs w:val="28"/>
        </w:rPr>
      </w:pPr>
      <w:r w:rsidRPr="28FA05E8">
        <w:rPr>
          <w:rFonts w:eastAsiaTheme="minorEastAsia"/>
          <w:b/>
          <w:bCs/>
          <w:color w:val="000000" w:themeColor="text1"/>
          <w:sz w:val="28"/>
          <w:szCs w:val="28"/>
        </w:rPr>
        <w:t>Questions and Answers</w:t>
      </w:r>
      <w:r w:rsidRPr="28FA05E8">
        <w:rPr>
          <w:rFonts w:eastAsiaTheme="minorEastAsia"/>
          <w:color w:val="212121"/>
          <w:sz w:val="28"/>
          <w:szCs w:val="28"/>
        </w:rPr>
        <w:t xml:space="preserve"> </w:t>
      </w:r>
    </w:p>
    <w:p w14:paraId="1F65A683" w14:textId="37784DCB" w:rsidR="5CE90720" w:rsidRDefault="5CE90720" w:rsidP="28FA05E8">
      <w:pPr>
        <w:jc w:val="center"/>
        <w:rPr>
          <w:rFonts w:eastAsiaTheme="minorEastAsia"/>
          <w:color w:val="000000" w:themeColor="text1"/>
          <w:sz w:val="28"/>
          <w:szCs w:val="28"/>
        </w:rPr>
      </w:pPr>
      <w:hyperlink r:id="rId18">
        <w:r w:rsidRPr="28FA05E8">
          <w:rPr>
            <w:rStyle w:val="Hyperlink"/>
            <w:rFonts w:eastAsiaTheme="minorEastAsia"/>
            <w:b/>
            <w:bCs/>
            <w:sz w:val="28"/>
            <w:szCs w:val="28"/>
          </w:rPr>
          <w:t>Link to RFP</w:t>
        </w:r>
      </w:hyperlink>
    </w:p>
    <w:p w14:paraId="0B8D8633" w14:textId="79369DE3" w:rsidR="5CE90720" w:rsidRDefault="5CE90720" w:rsidP="28FA05E8">
      <w:pPr>
        <w:pStyle w:val="ListParagraph"/>
        <w:numPr>
          <w:ilvl w:val="0"/>
          <w:numId w:val="2"/>
        </w:numPr>
        <w:rPr>
          <w:rFonts w:eastAsiaTheme="minorEastAsia"/>
          <w:color w:val="000000" w:themeColor="text1"/>
        </w:rPr>
      </w:pPr>
      <w:r w:rsidRPr="28FA05E8">
        <w:rPr>
          <w:rFonts w:eastAsiaTheme="minorEastAsia"/>
          <w:b/>
          <w:bCs/>
          <w:color w:val="000000" w:themeColor="text1"/>
        </w:rPr>
        <w:t>Are LEAs eligible to apply if they were awarded grants during the last cycle. If they are still eligible, will the fact that they were past grantees hurt their chances?</w:t>
      </w:r>
    </w:p>
    <w:p w14:paraId="38CB6EBF" w14:textId="6520F703" w:rsidR="5CE90720" w:rsidRDefault="5CE90720" w:rsidP="28FA05E8">
      <w:pPr>
        <w:pStyle w:val="ListParagraph"/>
        <w:numPr>
          <w:ilvl w:val="1"/>
          <w:numId w:val="2"/>
        </w:numPr>
        <w:rPr>
          <w:rFonts w:eastAsiaTheme="minorEastAsia"/>
          <w:color w:val="000000" w:themeColor="text1"/>
        </w:rPr>
      </w:pPr>
      <w:r w:rsidRPr="28FA05E8">
        <w:rPr>
          <w:rFonts w:eastAsiaTheme="minorEastAsia"/>
          <w:color w:val="000000" w:themeColor="text1"/>
        </w:rPr>
        <w:t>LEAs that have not previously been awarded a Genocide Education Grant will receive competitive priority. Each competitive priority is given the same weight within the scorecard. Districts are encouraged to apply regardless of their eligibility for competitive priorities.</w:t>
      </w:r>
    </w:p>
    <w:p w14:paraId="5746F1B3" w14:textId="4D10C878" w:rsidR="5CE90720" w:rsidRDefault="5CE90720" w:rsidP="28FA05E8">
      <w:pPr>
        <w:pStyle w:val="ListParagraph"/>
        <w:numPr>
          <w:ilvl w:val="0"/>
          <w:numId w:val="2"/>
        </w:numPr>
        <w:rPr>
          <w:rFonts w:eastAsiaTheme="minorEastAsia"/>
          <w:color w:val="000000" w:themeColor="text1"/>
        </w:rPr>
      </w:pPr>
      <w:r w:rsidRPr="28FA05E8">
        <w:rPr>
          <w:rFonts w:eastAsiaTheme="minorEastAsia"/>
          <w:b/>
          <w:bCs/>
          <w:color w:val="000000" w:themeColor="text1"/>
        </w:rPr>
        <w:t>How do partnerships work?</w:t>
      </w:r>
    </w:p>
    <w:p w14:paraId="0036196F" w14:textId="18B13C02" w:rsidR="5CE90720" w:rsidRDefault="5CE90720" w:rsidP="28FA05E8">
      <w:pPr>
        <w:pStyle w:val="ListParagraph"/>
        <w:numPr>
          <w:ilvl w:val="1"/>
          <w:numId w:val="2"/>
        </w:numPr>
        <w:rPr>
          <w:rFonts w:eastAsiaTheme="minorEastAsia"/>
          <w:color w:val="000000" w:themeColor="text1"/>
        </w:rPr>
      </w:pPr>
      <w:r w:rsidRPr="28FA05E8">
        <w:rPr>
          <w:rFonts w:eastAsiaTheme="minorEastAsia"/>
          <w:color w:val="000000" w:themeColor="text1"/>
        </w:rPr>
        <w:t>LEAs and partner organization collaborate on a project that best fits the need of the LEA. The LEA submits a proposal citing the organization as their partner and including a scope of work.</w:t>
      </w:r>
    </w:p>
    <w:p w14:paraId="7639D4DA" w14:textId="780C12A6" w:rsidR="5CE90720" w:rsidRDefault="5CE90720" w:rsidP="28FA05E8">
      <w:pPr>
        <w:pStyle w:val="ListParagraph"/>
        <w:numPr>
          <w:ilvl w:val="0"/>
          <w:numId w:val="2"/>
        </w:numPr>
        <w:spacing w:after="0"/>
        <w:rPr>
          <w:rFonts w:eastAsiaTheme="minorEastAsia"/>
          <w:color w:val="000000" w:themeColor="text1"/>
        </w:rPr>
      </w:pPr>
      <w:r w:rsidRPr="28FA05E8">
        <w:rPr>
          <w:rFonts w:eastAsiaTheme="minorEastAsia"/>
          <w:b/>
          <w:bCs/>
          <w:color w:val="000000" w:themeColor="text1"/>
        </w:rPr>
        <w:t>Can vendor partners provide direct service to students?</w:t>
      </w:r>
    </w:p>
    <w:p w14:paraId="622F5979" w14:textId="68868428" w:rsidR="5CE90720" w:rsidRDefault="5CE90720" w:rsidP="28FA05E8">
      <w:pPr>
        <w:pStyle w:val="ListParagraph"/>
        <w:numPr>
          <w:ilvl w:val="1"/>
          <w:numId w:val="2"/>
        </w:numPr>
        <w:spacing w:after="0"/>
        <w:rPr>
          <w:rFonts w:eastAsiaTheme="minorEastAsia"/>
          <w:color w:val="000000" w:themeColor="text1"/>
        </w:rPr>
      </w:pPr>
      <w:r w:rsidRPr="28FA05E8">
        <w:rPr>
          <w:rFonts w:eastAsiaTheme="minorEastAsia"/>
          <w:color w:val="000000" w:themeColor="text1"/>
        </w:rPr>
        <w:t>Yes, LEAs can submit proposals that include enrichment activities for student participation.</w:t>
      </w:r>
    </w:p>
    <w:p w14:paraId="654B70E5" w14:textId="3BAF90C4" w:rsidR="5CE90720" w:rsidRDefault="5CE90720" w:rsidP="28FA05E8">
      <w:pPr>
        <w:pStyle w:val="ListParagraph"/>
        <w:numPr>
          <w:ilvl w:val="0"/>
          <w:numId w:val="2"/>
        </w:numPr>
        <w:spacing w:after="0"/>
        <w:rPr>
          <w:rFonts w:eastAsiaTheme="minorEastAsia"/>
          <w:color w:val="000000" w:themeColor="text1"/>
        </w:rPr>
      </w:pPr>
      <w:r w:rsidRPr="28FA05E8">
        <w:rPr>
          <w:rFonts w:eastAsiaTheme="minorEastAsia"/>
          <w:b/>
          <w:bCs/>
          <w:color w:val="000000" w:themeColor="text1"/>
        </w:rPr>
        <w:t>Within the RFP, the community partnership priority refers to relevant organizations and/or engage local community members. What is local and relevant- Community Partnerships?</w:t>
      </w:r>
    </w:p>
    <w:p w14:paraId="45E2CDDF" w14:textId="640AE616" w:rsidR="5CE90720" w:rsidRDefault="5CE90720" w:rsidP="28FA05E8">
      <w:pPr>
        <w:pStyle w:val="ListParagraph"/>
        <w:numPr>
          <w:ilvl w:val="1"/>
          <w:numId w:val="2"/>
        </w:numPr>
        <w:spacing w:after="0"/>
        <w:rPr>
          <w:rFonts w:eastAsiaTheme="minorEastAsia"/>
          <w:color w:val="000000" w:themeColor="text1"/>
        </w:rPr>
      </w:pPr>
      <w:r w:rsidRPr="28FA05E8">
        <w:rPr>
          <w:rFonts w:eastAsiaTheme="minorEastAsia"/>
          <w:color w:val="000000" w:themeColor="text1"/>
        </w:rPr>
        <w:t>In describing the partnership, grant writers should be specific about the relevance of their partner organization to genocide education. In addition, any work with local community members should be aligned with project goals and described clearly in the proposal.</w:t>
      </w:r>
    </w:p>
    <w:p w14:paraId="20583B9B" w14:textId="7B7AF872" w:rsidR="5CE90720" w:rsidRDefault="5CE90720" w:rsidP="28FA05E8">
      <w:pPr>
        <w:pStyle w:val="ListParagraph"/>
        <w:numPr>
          <w:ilvl w:val="0"/>
          <w:numId w:val="2"/>
        </w:numPr>
        <w:spacing w:after="0"/>
        <w:rPr>
          <w:rFonts w:eastAsiaTheme="minorEastAsia"/>
          <w:color w:val="000000" w:themeColor="text1"/>
        </w:rPr>
      </w:pPr>
      <w:hyperlink r:id="rId19">
        <w:r w:rsidRPr="28FA05E8">
          <w:rPr>
            <w:rStyle w:val="Hyperlink"/>
            <w:rFonts w:eastAsiaTheme="minorEastAsia"/>
            <w:b/>
            <w:bCs/>
          </w:rPr>
          <w:t>Chapter 98 of the Acts of 2021</w:t>
        </w:r>
      </w:hyperlink>
      <w:r w:rsidRPr="28FA05E8">
        <w:rPr>
          <w:rFonts w:eastAsiaTheme="minorEastAsia"/>
          <w:b/>
          <w:bCs/>
          <w:color w:val="000000" w:themeColor="text1"/>
        </w:rPr>
        <w:t xml:space="preserve"> calls for genocide education to be provided in middle and high school. Does the grant allow for programming at the elementary level?</w:t>
      </w:r>
    </w:p>
    <w:p w14:paraId="023AC4FA" w14:textId="1C5CF7CA" w:rsidR="5CE90720" w:rsidRDefault="5CE90720" w:rsidP="28FA05E8">
      <w:pPr>
        <w:pStyle w:val="ListParagraph"/>
        <w:numPr>
          <w:ilvl w:val="1"/>
          <w:numId w:val="2"/>
        </w:numPr>
        <w:spacing w:after="0"/>
        <w:rPr>
          <w:rFonts w:eastAsiaTheme="minorEastAsia"/>
          <w:color w:val="000000" w:themeColor="text1"/>
        </w:rPr>
      </w:pPr>
      <w:r w:rsidRPr="28FA05E8">
        <w:rPr>
          <w:rFonts w:eastAsiaTheme="minorEastAsia"/>
          <w:color w:val="000000" w:themeColor="text1"/>
        </w:rPr>
        <w:t>This grant supports LEAs to develop and/or select curriculum materials, implement professional development, and design other enriching learning experiences intended to further secondary students’ understanding of the history and patterns of genocide.</w:t>
      </w:r>
    </w:p>
    <w:p w14:paraId="5358BE67" w14:textId="4B5C4699" w:rsidR="5CE90720" w:rsidRDefault="5CE90720" w:rsidP="28FA05E8">
      <w:pPr>
        <w:pStyle w:val="ListParagraph"/>
        <w:numPr>
          <w:ilvl w:val="0"/>
          <w:numId w:val="2"/>
        </w:numPr>
        <w:spacing w:after="0"/>
        <w:rPr>
          <w:rFonts w:eastAsiaTheme="minorEastAsia"/>
          <w:color w:val="000000" w:themeColor="text1"/>
        </w:rPr>
      </w:pPr>
      <w:r w:rsidRPr="28FA05E8">
        <w:rPr>
          <w:rFonts w:eastAsiaTheme="minorEastAsia"/>
          <w:b/>
          <w:bCs/>
          <w:color w:val="000000" w:themeColor="text1"/>
        </w:rPr>
        <w:t>Are there other ways to partner with DESE to support Genocide Education?</w:t>
      </w:r>
    </w:p>
    <w:p w14:paraId="34B72EEF" w14:textId="6CF8E4CF" w:rsidR="5CE90720" w:rsidRDefault="5CE90720" w:rsidP="28FA05E8">
      <w:pPr>
        <w:pStyle w:val="ListParagraph"/>
        <w:numPr>
          <w:ilvl w:val="1"/>
          <w:numId w:val="2"/>
        </w:numPr>
        <w:rPr>
          <w:rFonts w:eastAsiaTheme="minorEastAsia"/>
          <w:color w:val="000000" w:themeColor="text1"/>
        </w:rPr>
      </w:pPr>
      <w:r w:rsidRPr="28FA05E8">
        <w:rPr>
          <w:rFonts w:eastAsiaTheme="minorEastAsia"/>
          <w:color w:val="000000" w:themeColor="text1"/>
        </w:rPr>
        <w:t xml:space="preserve">To support Genocide Education, please work directly with LEAs. If opportunities arise to collaborate directly with the Department, information will be shared. </w:t>
      </w:r>
    </w:p>
    <w:p w14:paraId="510CA296" w14:textId="2493524A" w:rsidR="5CE90720" w:rsidRDefault="5CE90720" w:rsidP="28FA05E8">
      <w:pPr>
        <w:pStyle w:val="ListParagraph"/>
        <w:numPr>
          <w:ilvl w:val="0"/>
          <w:numId w:val="2"/>
        </w:numPr>
        <w:rPr>
          <w:rFonts w:eastAsiaTheme="minorEastAsia"/>
          <w:color w:val="000000" w:themeColor="text1"/>
        </w:rPr>
      </w:pPr>
      <w:r w:rsidRPr="28FA05E8">
        <w:rPr>
          <w:rFonts w:eastAsiaTheme="minorEastAsia"/>
          <w:b/>
          <w:bCs/>
          <w:color w:val="000000" w:themeColor="text1"/>
        </w:rPr>
        <w:lastRenderedPageBreak/>
        <w:t>Will grants that are submitted collaboratively by multiple districts and community partners be accepted?</w:t>
      </w:r>
    </w:p>
    <w:p w14:paraId="671F1301" w14:textId="0859EBF8" w:rsidR="5CE90720" w:rsidRDefault="5CE90720" w:rsidP="28FA05E8">
      <w:pPr>
        <w:pStyle w:val="ListParagraph"/>
        <w:numPr>
          <w:ilvl w:val="1"/>
          <w:numId w:val="2"/>
        </w:numPr>
        <w:rPr>
          <w:rFonts w:eastAsiaTheme="minorEastAsia"/>
          <w:color w:val="000000" w:themeColor="text1"/>
        </w:rPr>
      </w:pPr>
      <w:r w:rsidRPr="28FA05E8">
        <w:rPr>
          <w:rFonts w:eastAsiaTheme="minorEastAsia"/>
          <w:color w:val="000000" w:themeColor="text1"/>
        </w:rPr>
        <w:t xml:space="preserve">Yes. LEAs may apply for a grant together and should select the size tier that aligns to the total student count. </w:t>
      </w:r>
    </w:p>
    <w:p w14:paraId="6B1C48DF" w14:textId="43914CFE" w:rsidR="6078EDF2" w:rsidRDefault="6078EDF2" w:rsidP="28FA05E8">
      <w:pPr>
        <w:pStyle w:val="ListParagraph"/>
        <w:numPr>
          <w:ilvl w:val="0"/>
          <w:numId w:val="2"/>
        </w:numPr>
        <w:rPr>
          <w:rFonts w:eastAsiaTheme="minorEastAsia"/>
          <w:b/>
          <w:bCs/>
          <w:color w:val="000000" w:themeColor="text1"/>
        </w:rPr>
      </w:pPr>
      <w:r w:rsidRPr="28FA05E8">
        <w:rPr>
          <w:rFonts w:eastAsiaTheme="minorEastAsia"/>
          <w:b/>
          <w:bCs/>
          <w:color w:val="000000" w:themeColor="text1"/>
        </w:rPr>
        <w:t>The Genocide Ed Law calls for genocide education to be provided in middle and high school. Does the grant allow for programming at the elementary level?</w:t>
      </w:r>
    </w:p>
    <w:p w14:paraId="32D30210" w14:textId="6E06B155" w:rsidR="6078EDF2" w:rsidRDefault="6078EDF2" w:rsidP="28FA05E8">
      <w:pPr>
        <w:pStyle w:val="ListParagraph"/>
        <w:numPr>
          <w:ilvl w:val="1"/>
          <w:numId w:val="2"/>
        </w:numPr>
        <w:rPr>
          <w:rFonts w:eastAsiaTheme="minorEastAsia"/>
          <w:color w:val="000000" w:themeColor="text1"/>
        </w:rPr>
      </w:pPr>
      <w:r w:rsidRPr="28FA05E8">
        <w:rPr>
          <w:rFonts w:eastAsiaTheme="minorEastAsia"/>
          <w:color w:val="000000" w:themeColor="text1"/>
        </w:rPr>
        <w:t>Elementary activities are not specifically precluded by the grant (so, they are allowable)</w:t>
      </w:r>
      <w:r w:rsidR="1D20EDEE" w:rsidRPr="28FA05E8">
        <w:rPr>
          <w:rFonts w:eastAsiaTheme="minorEastAsia"/>
          <w:color w:val="000000" w:themeColor="text1"/>
        </w:rPr>
        <w:t>. However,</w:t>
      </w:r>
      <w:r w:rsidRPr="28FA05E8">
        <w:rPr>
          <w:rFonts w:eastAsiaTheme="minorEastAsia"/>
          <w:color w:val="000000" w:themeColor="text1"/>
        </w:rPr>
        <w:t xml:space="preserve"> grant applications should still speak to how the activities support the goals of the genocide education legislation</w:t>
      </w:r>
      <w:r w:rsidR="3A92D776" w:rsidRPr="28FA05E8">
        <w:rPr>
          <w:rFonts w:eastAsiaTheme="minorEastAsia"/>
          <w:color w:val="000000" w:themeColor="text1"/>
        </w:rPr>
        <w:t>.</w:t>
      </w:r>
    </w:p>
    <w:p w14:paraId="77D6B8C9" w14:textId="55BD6D1A" w:rsidR="3A92D776" w:rsidRDefault="3A92D776" w:rsidP="28FA05E8">
      <w:pPr>
        <w:pStyle w:val="ListParagraph"/>
        <w:numPr>
          <w:ilvl w:val="0"/>
          <w:numId w:val="2"/>
        </w:numPr>
        <w:rPr>
          <w:rFonts w:eastAsiaTheme="minorEastAsia"/>
          <w:b/>
          <w:bCs/>
          <w:color w:val="000000" w:themeColor="text1"/>
        </w:rPr>
      </w:pPr>
      <w:r w:rsidRPr="28FA05E8">
        <w:rPr>
          <w:rFonts w:eastAsiaTheme="minorEastAsia"/>
          <w:b/>
          <w:bCs/>
          <w:color w:val="000000" w:themeColor="text1"/>
        </w:rPr>
        <w:t>With the curriculum for 7th grade being Ancient World, and 8th grade being Civics, where can the middle school requirement for genocide education fit in with the History/Social Science Framework?</w:t>
      </w:r>
    </w:p>
    <w:p w14:paraId="08636615" w14:textId="02635F25" w:rsidR="7B763D4E" w:rsidRDefault="7B763D4E" w:rsidP="28FA05E8">
      <w:pPr>
        <w:pStyle w:val="ListParagraph"/>
        <w:numPr>
          <w:ilvl w:val="1"/>
          <w:numId w:val="2"/>
        </w:numPr>
        <w:rPr>
          <w:rFonts w:eastAsiaTheme="minorEastAsia"/>
          <w:color w:val="000000" w:themeColor="text1"/>
        </w:rPr>
      </w:pPr>
      <w:r w:rsidRPr="28FA05E8">
        <w:rPr>
          <w:rFonts w:eastAsiaTheme="minorEastAsia"/>
          <w:color w:val="000000" w:themeColor="text1"/>
        </w:rPr>
        <w:t xml:space="preserve">The definition of genocide </w:t>
      </w:r>
      <w:r w:rsidR="09791A4B" w:rsidRPr="28FA05E8">
        <w:rPr>
          <w:rFonts w:eastAsiaTheme="minorEastAsia"/>
          <w:color w:val="000000" w:themeColor="text1"/>
        </w:rPr>
        <w:t>and the goals for genocide education instruction are</w:t>
      </w:r>
      <w:r w:rsidRPr="28FA05E8">
        <w:rPr>
          <w:rFonts w:eastAsiaTheme="minorEastAsia"/>
          <w:color w:val="000000" w:themeColor="text1"/>
        </w:rPr>
        <w:t xml:space="preserve"> defined within the genocide education </w:t>
      </w:r>
      <w:hyperlink r:id="rId20">
        <w:r w:rsidRPr="28FA05E8">
          <w:rPr>
            <w:rStyle w:val="Hyperlink"/>
            <w:rFonts w:eastAsiaTheme="minorEastAsia"/>
          </w:rPr>
          <w:t>legislation</w:t>
        </w:r>
      </w:hyperlink>
      <w:r w:rsidRPr="28FA05E8">
        <w:rPr>
          <w:rFonts w:eastAsiaTheme="minorEastAsia"/>
          <w:color w:val="000000" w:themeColor="text1"/>
        </w:rPr>
        <w:t>. As such, we recommend reviewing the</w:t>
      </w:r>
      <w:r w:rsidR="13B40F7B" w:rsidRPr="28FA05E8">
        <w:rPr>
          <w:rFonts w:eastAsiaTheme="minorEastAsia"/>
          <w:color w:val="000000" w:themeColor="text1"/>
        </w:rPr>
        <w:t xml:space="preserve">se materials </w:t>
      </w:r>
      <w:r w:rsidRPr="28FA05E8">
        <w:rPr>
          <w:rFonts w:eastAsiaTheme="minorEastAsia"/>
          <w:color w:val="000000" w:themeColor="text1"/>
        </w:rPr>
        <w:t xml:space="preserve">alongside the History/Social Science Framework when making determinations about your curriculum at the middle school level. For more support in addressing this question in your particular context, please sign up for </w:t>
      </w:r>
      <w:hyperlink r:id="rId21">
        <w:r w:rsidRPr="28FA05E8">
          <w:rPr>
            <w:rStyle w:val="Hyperlink"/>
            <w:rFonts w:eastAsiaTheme="minorEastAsia"/>
          </w:rPr>
          <w:t>office hours</w:t>
        </w:r>
      </w:hyperlink>
      <w:r w:rsidRPr="28FA05E8">
        <w:rPr>
          <w:rFonts w:eastAsiaTheme="minorEastAsia"/>
          <w:color w:val="000000" w:themeColor="text1"/>
        </w:rPr>
        <w:t xml:space="preserve">. </w:t>
      </w:r>
    </w:p>
    <w:p w14:paraId="1E81BA80" w14:textId="04D9969D" w:rsidR="28FA05E8" w:rsidRDefault="28FA05E8" w:rsidP="28FA05E8">
      <w:pPr>
        <w:rPr>
          <w:rFonts w:eastAsiaTheme="minorEastAsia"/>
          <w:color w:val="000000" w:themeColor="text1"/>
        </w:rPr>
      </w:pPr>
    </w:p>
    <w:p w14:paraId="3C42DA18" w14:textId="3B0D50D1" w:rsidR="28FA05E8" w:rsidRDefault="28FA05E8" w:rsidP="28FA05E8">
      <w:pPr>
        <w:spacing w:after="0"/>
        <w:rPr>
          <w:rFonts w:eastAsiaTheme="minorEastAsia"/>
        </w:rPr>
      </w:pPr>
    </w:p>
    <w:sectPr w:rsidR="28FA05E8">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A6C4E" w14:textId="77777777" w:rsidR="00ED683B" w:rsidRDefault="00ED683B">
      <w:pPr>
        <w:spacing w:after="0" w:line="240" w:lineRule="auto"/>
      </w:pPr>
      <w:r>
        <w:separator/>
      </w:r>
    </w:p>
  </w:endnote>
  <w:endnote w:type="continuationSeparator" w:id="0">
    <w:p w14:paraId="3F35A870" w14:textId="77777777" w:rsidR="00ED683B" w:rsidRDefault="00ED683B">
      <w:pPr>
        <w:spacing w:after="0" w:line="240" w:lineRule="auto"/>
      </w:pPr>
      <w:r>
        <w:continuationSeparator/>
      </w:r>
    </w:p>
  </w:endnote>
  <w:endnote w:type="continuationNotice" w:id="1">
    <w:p w14:paraId="72617FF8" w14:textId="77777777" w:rsidR="00ED683B" w:rsidRDefault="00ED68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5A34EA3" w14:paraId="4D8E8D06" w14:textId="77777777" w:rsidTr="15A34EA3">
      <w:trPr>
        <w:trHeight w:val="300"/>
      </w:trPr>
      <w:tc>
        <w:tcPr>
          <w:tcW w:w="3120" w:type="dxa"/>
        </w:tcPr>
        <w:p w14:paraId="29D7AD32" w14:textId="0227C7CD" w:rsidR="15A34EA3" w:rsidRDefault="15A34EA3" w:rsidP="15A34EA3">
          <w:pPr>
            <w:pStyle w:val="Header"/>
            <w:ind w:left="-115"/>
          </w:pPr>
        </w:p>
      </w:tc>
      <w:tc>
        <w:tcPr>
          <w:tcW w:w="3120" w:type="dxa"/>
        </w:tcPr>
        <w:p w14:paraId="299470A8" w14:textId="19A7FE91" w:rsidR="15A34EA3" w:rsidRDefault="15A34EA3" w:rsidP="15A34EA3">
          <w:pPr>
            <w:pStyle w:val="Header"/>
            <w:jc w:val="center"/>
          </w:pPr>
        </w:p>
      </w:tc>
      <w:tc>
        <w:tcPr>
          <w:tcW w:w="3120" w:type="dxa"/>
        </w:tcPr>
        <w:p w14:paraId="429E7396" w14:textId="30D9FFC7" w:rsidR="15A34EA3" w:rsidRDefault="15A34EA3" w:rsidP="15A34EA3">
          <w:pPr>
            <w:pStyle w:val="Header"/>
            <w:ind w:right="-115"/>
            <w:jc w:val="right"/>
          </w:pPr>
        </w:p>
      </w:tc>
    </w:tr>
  </w:tbl>
  <w:p w14:paraId="0C298884" w14:textId="2B4BB1B4" w:rsidR="15A34EA3" w:rsidRDefault="15A34EA3" w:rsidP="15A34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1420C" w14:textId="77777777" w:rsidR="00ED683B" w:rsidRDefault="00ED683B">
      <w:pPr>
        <w:spacing w:after="0" w:line="240" w:lineRule="auto"/>
      </w:pPr>
      <w:r>
        <w:separator/>
      </w:r>
    </w:p>
  </w:footnote>
  <w:footnote w:type="continuationSeparator" w:id="0">
    <w:p w14:paraId="42C2487E" w14:textId="77777777" w:rsidR="00ED683B" w:rsidRDefault="00ED683B">
      <w:pPr>
        <w:spacing w:after="0" w:line="240" w:lineRule="auto"/>
      </w:pPr>
      <w:r>
        <w:continuationSeparator/>
      </w:r>
    </w:p>
  </w:footnote>
  <w:footnote w:type="continuationNotice" w:id="1">
    <w:p w14:paraId="3AD56A17" w14:textId="77777777" w:rsidR="00ED683B" w:rsidRDefault="00ED68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552"/>
      <w:gridCol w:w="1552"/>
      <w:gridCol w:w="6255"/>
    </w:tblGrid>
    <w:tr w:rsidR="15A34EA3" w14:paraId="6202335F" w14:textId="77777777" w:rsidTr="15A34EA3">
      <w:trPr>
        <w:trHeight w:val="300"/>
      </w:trPr>
      <w:tc>
        <w:tcPr>
          <w:tcW w:w="1552" w:type="dxa"/>
        </w:tcPr>
        <w:p w14:paraId="1000B3F8" w14:textId="66342E2F" w:rsidR="15A34EA3" w:rsidRDefault="15A34EA3" w:rsidP="15A34EA3">
          <w:pPr>
            <w:pStyle w:val="Header"/>
            <w:ind w:left="-115"/>
          </w:pPr>
        </w:p>
      </w:tc>
      <w:tc>
        <w:tcPr>
          <w:tcW w:w="1552" w:type="dxa"/>
        </w:tcPr>
        <w:p w14:paraId="37149A7F" w14:textId="3D4C7DCA" w:rsidR="15A34EA3" w:rsidRDefault="15A34EA3" w:rsidP="15A34EA3">
          <w:pPr>
            <w:pStyle w:val="Header"/>
            <w:jc w:val="center"/>
          </w:pPr>
        </w:p>
      </w:tc>
      <w:tc>
        <w:tcPr>
          <w:tcW w:w="6255" w:type="dxa"/>
        </w:tcPr>
        <w:p w14:paraId="3E16902B" w14:textId="228A379A" w:rsidR="15A34EA3" w:rsidRDefault="15A34EA3" w:rsidP="15A34EA3">
          <w:pPr>
            <w:pStyle w:val="Header"/>
            <w:ind w:right="-115"/>
            <w:jc w:val="right"/>
          </w:pPr>
          <w:r>
            <w:rPr>
              <w:noProof/>
            </w:rPr>
            <w:drawing>
              <wp:inline distT="0" distB="0" distL="0" distR="0" wp14:anchorId="6C71F6F4" wp14:editId="7BB3AB12">
                <wp:extent cx="737293" cy="279918"/>
                <wp:effectExtent l="0" t="0" r="0" b="0"/>
                <wp:docPr id="1406513899" name="Picture 1406513899"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513899" name="Picture 1406513899" descr="DESE Logo"/>
                        <pic:cNvPicPr/>
                      </pic:nvPicPr>
                      <pic:blipFill>
                        <a:blip r:embed="rId1">
                          <a:extLst>
                            <a:ext uri="{28A0092B-C50C-407E-A947-70E740481C1C}">
                              <a14:useLocalDpi xmlns:a14="http://schemas.microsoft.com/office/drawing/2010/main" val="0"/>
                            </a:ext>
                          </a:extLst>
                        </a:blip>
                        <a:srcRect r="16041" b="46689"/>
                        <a:stretch>
                          <a:fillRect/>
                        </a:stretch>
                      </pic:blipFill>
                      <pic:spPr>
                        <a:xfrm>
                          <a:off x="0" y="0"/>
                          <a:ext cx="759757" cy="288447"/>
                        </a:xfrm>
                        <a:prstGeom prst="rect">
                          <a:avLst/>
                        </a:prstGeom>
                      </pic:spPr>
                    </pic:pic>
                  </a:graphicData>
                </a:graphic>
              </wp:inline>
            </w:drawing>
          </w:r>
        </w:p>
      </w:tc>
    </w:tr>
  </w:tbl>
  <w:p w14:paraId="6372F541" w14:textId="327836D5" w:rsidR="15A34EA3" w:rsidRDefault="15A34EA3" w:rsidP="15A34E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F92623"/>
    <w:multiLevelType w:val="hybridMultilevel"/>
    <w:tmpl w:val="139486FC"/>
    <w:lvl w:ilvl="0" w:tplc="D0B67802">
      <w:start w:val="1"/>
      <w:numFmt w:val="decimal"/>
      <w:lvlText w:val="%1."/>
      <w:lvlJc w:val="left"/>
      <w:pPr>
        <w:ind w:left="720" w:hanging="360"/>
      </w:pPr>
    </w:lvl>
    <w:lvl w:ilvl="1" w:tplc="79506F82">
      <w:start w:val="1"/>
      <w:numFmt w:val="lowerLetter"/>
      <w:lvlText w:val="%2."/>
      <w:lvlJc w:val="left"/>
      <w:pPr>
        <w:ind w:left="1440" w:hanging="360"/>
      </w:pPr>
    </w:lvl>
    <w:lvl w:ilvl="2" w:tplc="2682BD0E">
      <w:start w:val="1"/>
      <w:numFmt w:val="lowerRoman"/>
      <w:lvlText w:val="%3."/>
      <w:lvlJc w:val="right"/>
      <w:pPr>
        <w:ind w:left="2160" w:hanging="180"/>
      </w:pPr>
    </w:lvl>
    <w:lvl w:ilvl="3" w:tplc="6144D670">
      <w:start w:val="1"/>
      <w:numFmt w:val="decimal"/>
      <w:lvlText w:val="%4."/>
      <w:lvlJc w:val="left"/>
      <w:pPr>
        <w:ind w:left="2880" w:hanging="360"/>
      </w:pPr>
    </w:lvl>
    <w:lvl w:ilvl="4" w:tplc="069493F4">
      <w:start w:val="1"/>
      <w:numFmt w:val="lowerLetter"/>
      <w:lvlText w:val="%5."/>
      <w:lvlJc w:val="left"/>
      <w:pPr>
        <w:ind w:left="3600" w:hanging="360"/>
      </w:pPr>
    </w:lvl>
    <w:lvl w:ilvl="5" w:tplc="9A4CF1BE">
      <w:start w:val="1"/>
      <w:numFmt w:val="lowerRoman"/>
      <w:lvlText w:val="%6."/>
      <w:lvlJc w:val="right"/>
      <w:pPr>
        <w:ind w:left="4320" w:hanging="180"/>
      </w:pPr>
    </w:lvl>
    <w:lvl w:ilvl="6" w:tplc="A1F6EC60">
      <w:start w:val="1"/>
      <w:numFmt w:val="decimal"/>
      <w:lvlText w:val="%7."/>
      <w:lvlJc w:val="left"/>
      <w:pPr>
        <w:ind w:left="5040" w:hanging="360"/>
      </w:pPr>
    </w:lvl>
    <w:lvl w:ilvl="7" w:tplc="D722BBFE">
      <w:start w:val="1"/>
      <w:numFmt w:val="lowerLetter"/>
      <w:lvlText w:val="%8."/>
      <w:lvlJc w:val="left"/>
      <w:pPr>
        <w:ind w:left="5760" w:hanging="360"/>
      </w:pPr>
    </w:lvl>
    <w:lvl w:ilvl="8" w:tplc="9914025A">
      <w:start w:val="1"/>
      <w:numFmt w:val="lowerRoman"/>
      <w:lvlText w:val="%9."/>
      <w:lvlJc w:val="right"/>
      <w:pPr>
        <w:ind w:left="6480" w:hanging="180"/>
      </w:pPr>
    </w:lvl>
  </w:abstractNum>
  <w:abstractNum w:abstractNumId="1" w15:restartNumberingAfterBreak="0">
    <w:nsid w:val="530F6911"/>
    <w:multiLevelType w:val="hybridMultilevel"/>
    <w:tmpl w:val="D7C06A1A"/>
    <w:lvl w:ilvl="0" w:tplc="D4B84CBE">
      <w:start w:val="1"/>
      <w:numFmt w:val="decimal"/>
      <w:lvlText w:val="%1."/>
      <w:lvlJc w:val="left"/>
      <w:pPr>
        <w:ind w:left="720" w:hanging="360"/>
      </w:pPr>
    </w:lvl>
    <w:lvl w:ilvl="1" w:tplc="855A57EC">
      <w:start w:val="1"/>
      <w:numFmt w:val="lowerLetter"/>
      <w:lvlText w:val="%2."/>
      <w:lvlJc w:val="left"/>
      <w:pPr>
        <w:ind w:left="1440" w:hanging="360"/>
      </w:pPr>
    </w:lvl>
    <w:lvl w:ilvl="2" w:tplc="5EF65734">
      <w:start w:val="1"/>
      <w:numFmt w:val="lowerRoman"/>
      <w:lvlText w:val="%3."/>
      <w:lvlJc w:val="right"/>
      <w:pPr>
        <w:ind w:left="2160" w:hanging="180"/>
      </w:pPr>
    </w:lvl>
    <w:lvl w:ilvl="3" w:tplc="00B44920">
      <w:start w:val="1"/>
      <w:numFmt w:val="decimal"/>
      <w:lvlText w:val="%4."/>
      <w:lvlJc w:val="left"/>
      <w:pPr>
        <w:ind w:left="2880" w:hanging="360"/>
      </w:pPr>
    </w:lvl>
    <w:lvl w:ilvl="4" w:tplc="AB964F8E">
      <w:start w:val="1"/>
      <w:numFmt w:val="lowerLetter"/>
      <w:lvlText w:val="%5."/>
      <w:lvlJc w:val="left"/>
      <w:pPr>
        <w:ind w:left="3600" w:hanging="360"/>
      </w:pPr>
    </w:lvl>
    <w:lvl w:ilvl="5" w:tplc="5A76F49E">
      <w:start w:val="1"/>
      <w:numFmt w:val="lowerRoman"/>
      <w:lvlText w:val="%6."/>
      <w:lvlJc w:val="right"/>
      <w:pPr>
        <w:ind w:left="4320" w:hanging="180"/>
      </w:pPr>
    </w:lvl>
    <w:lvl w:ilvl="6" w:tplc="EFC4BF7C">
      <w:start w:val="1"/>
      <w:numFmt w:val="decimal"/>
      <w:lvlText w:val="%7."/>
      <w:lvlJc w:val="left"/>
      <w:pPr>
        <w:ind w:left="5040" w:hanging="360"/>
      </w:pPr>
    </w:lvl>
    <w:lvl w:ilvl="7" w:tplc="7C46309A">
      <w:start w:val="1"/>
      <w:numFmt w:val="lowerLetter"/>
      <w:lvlText w:val="%8."/>
      <w:lvlJc w:val="left"/>
      <w:pPr>
        <w:ind w:left="5760" w:hanging="360"/>
      </w:pPr>
    </w:lvl>
    <w:lvl w:ilvl="8" w:tplc="E94EF294">
      <w:start w:val="1"/>
      <w:numFmt w:val="lowerRoman"/>
      <w:lvlText w:val="%9."/>
      <w:lvlJc w:val="right"/>
      <w:pPr>
        <w:ind w:left="6480" w:hanging="180"/>
      </w:pPr>
    </w:lvl>
  </w:abstractNum>
  <w:abstractNum w:abstractNumId="2" w15:restartNumberingAfterBreak="0">
    <w:nsid w:val="5EA7963E"/>
    <w:multiLevelType w:val="hybridMultilevel"/>
    <w:tmpl w:val="4128287A"/>
    <w:lvl w:ilvl="0" w:tplc="FFFFFFFF">
      <w:start w:val="1"/>
      <w:numFmt w:val="decimal"/>
      <w:lvlText w:val="%1."/>
      <w:lvlJc w:val="left"/>
      <w:pPr>
        <w:ind w:left="720" w:hanging="360"/>
      </w:pPr>
    </w:lvl>
    <w:lvl w:ilvl="1" w:tplc="71344D00">
      <w:start w:val="1"/>
      <w:numFmt w:val="lowerLetter"/>
      <w:lvlText w:val="%2."/>
      <w:lvlJc w:val="left"/>
      <w:pPr>
        <w:ind w:left="1440" w:hanging="360"/>
      </w:pPr>
    </w:lvl>
    <w:lvl w:ilvl="2" w:tplc="88943AEE">
      <w:start w:val="1"/>
      <w:numFmt w:val="lowerRoman"/>
      <w:lvlText w:val="%3."/>
      <w:lvlJc w:val="right"/>
      <w:pPr>
        <w:ind w:left="2160" w:hanging="180"/>
      </w:pPr>
    </w:lvl>
    <w:lvl w:ilvl="3" w:tplc="38C2EFEC">
      <w:start w:val="1"/>
      <w:numFmt w:val="decimal"/>
      <w:lvlText w:val="%4."/>
      <w:lvlJc w:val="left"/>
      <w:pPr>
        <w:ind w:left="2880" w:hanging="360"/>
      </w:pPr>
    </w:lvl>
    <w:lvl w:ilvl="4" w:tplc="BDE8EBEC">
      <w:start w:val="1"/>
      <w:numFmt w:val="lowerLetter"/>
      <w:lvlText w:val="%5."/>
      <w:lvlJc w:val="left"/>
      <w:pPr>
        <w:ind w:left="3600" w:hanging="360"/>
      </w:pPr>
    </w:lvl>
    <w:lvl w:ilvl="5" w:tplc="83B065A4">
      <w:start w:val="1"/>
      <w:numFmt w:val="lowerRoman"/>
      <w:lvlText w:val="%6."/>
      <w:lvlJc w:val="right"/>
      <w:pPr>
        <w:ind w:left="4320" w:hanging="180"/>
      </w:pPr>
    </w:lvl>
    <w:lvl w:ilvl="6" w:tplc="A3C07446">
      <w:start w:val="1"/>
      <w:numFmt w:val="decimal"/>
      <w:lvlText w:val="%7."/>
      <w:lvlJc w:val="left"/>
      <w:pPr>
        <w:ind w:left="5040" w:hanging="360"/>
      </w:pPr>
    </w:lvl>
    <w:lvl w:ilvl="7" w:tplc="34423AD8">
      <w:start w:val="1"/>
      <w:numFmt w:val="lowerLetter"/>
      <w:lvlText w:val="%8."/>
      <w:lvlJc w:val="left"/>
      <w:pPr>
        <w:ind w:left="5760" w:hanging="360"/>
      </w:pPr>
    </w:lvl>
    <w:lvl w:ilvl="8" w:tplc="E29861CE">
      <w:start w:val="1"/>
      <w:numFmt w:val="lowerRoman"/>
      <w:lvlText w:val="%9."/>
      <w:lvlJc w:val="right"/>
      <w:pPr>
        <w:ind w:left="6480" w:hanging="180"/>
      </w:pPr>
    </w:lvl>
  </w:abstractNum>
  <w:num w:numId="1" w16cid:durableId="1556311674">
    <w:abstractNumId w:val="0"/>
  </w:num>
  <w:num w:numId="2" w16cid:durableId="1744909936">
    <w:abstractNumId w:val="1"/>
  </w:num>
  <w:num w:numId="3" w16cid:durableId="1221132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1AE261"/>
    <w:rsid w:val="000143AC"/>
    <w:rsid w:val="00027672"/>
    <w:rsid w:val="00165724"/>
    <w:rsid w:val="00182296"/>
    <w:rsid w:val="001C081D"/>
    <w:rsid w:val="00236234"/>
    <w:rsid w:val="00254DDD"/>
    <w:rsid w:val="003C32B7"/>
    <w:rsid w:val="00636756"/>
    <w:rsid w:val="006A73DA"/>
    <w:rsid w:val="006C2986"/>
    <w:rsid w:val="00723DC4"/>
    <w:rsid w:val="00776877"/>
    <w:rsid w:val="007E67A0"/>
    <w:rsid w:val="008001F2"/>
    <w:rsid w:val="0086443B"/>
    <w:rsid w:val="008A5E73"/>
    <w:rsid w:val="00937869"/>
    <w:rsid w:val="00A41383"/>
    <w:rsid w:val="00A66459"/>
    <w:rsid w:val="00AF7F3B"/>
    <w:rsid w:val="00B9272B"/>
    <w:rsid w:val="00C848A5"/>
    <w:rsid w:val="00D627A4"/>
    <w:rsid w:val="00DF2D46"/>
    <w:rsid w:val="00EA6C18"/>
    <w:rsid w:val="00ED3988"/>
    <w:rsid w:val="00ED683B"/>
    <w:rsid w:val="00EE51A8"/>
    <w:rsid w:val="00F42F95"/>
    <w:rsid w:val="00FA04B1"/>
    <w:rsid w:val="00FA5892"/>
    <w:rsid w:val="00FE4158"/>
    <w:rsid w:val="01D112CE"/>
    <w:rsid w:val="02800C8B"/>
    <w:rsid w:val="04304D49"/>
    <w:rsid w:val="046C34E4"/>
    <w:rsid w:val="049967E6"/>
    <w:rsid w:val="05708B2D"/>
    <w:rsid w:val="07243C5E"/>
    <w:rsid w:val="0733DB40"/>
    <w:rsid w:val="07A3CADF"/>
    <w:rsid w:val="09791A4B"/>
    <w:rsid w:val="0B8541D9"/>
    <w:rsid w:val="0C7D2883"/>
    <w:rsid w:val="0D16B63F"/>
    <w:rsid w:val="1035D7F4"/>
    <w:rsid w:val="1037618E"/>
    <w:rsid w:val="105C62FD"/>
    <w:rsid w:val="10A8E9F4"/>
    <w:rsid w:val="112BC3C8"/>
    <w:rsid w:val="11EA4806"/>
    <w:rsid w:val="126A51A6"/>
    <w:rsid w:val="12F75881"/>
    <w:rsid w:val="13B40F7B"/>
    <w:rsid w:val="1556A98A"/>
    <w:rsid w:val="15A34EA3"/>
    <w:rsid w:val="15BB910F"/>
    <w:rsid w:val="16B4F3D4"/>
    <w:rsid w:val="16F8CF19"/>
    <w:rsid w:val="1837AF1E"/>
    <w:rsid w:val="1919E807"/>
    <w:rsid w:val="1A69CE03"/>
    <w:rsid w:val="1B288375"/>
    <w:rsid w:val="1BF967CA"/>
    <w:rsid w:val="1BFD9180"/>
    <w:rsid w:val="1C5FA098"/>
    <w:rsid w:val="1D20EDEE"/>
    <w:rsid w:val="1DFEE334"/>
    <w:rsid w:val="1F9AB395"/>
    <w:rsid w:val="20FE531E"/>
    <w:rsid w:val="22D25457"/>
    <w:rsid w:val="24798F4C"/>
    <w:rsid w:val="26239CEA"/>
    <w:rsid w:val="28BF5139"/>
    <w:rsid w:val="28FA05E8"/>
    <w:rsid w:val="2A5C0DBD"/>
    <w:rsid w:val="2B65AAC7"/>
    <w:rsid w:val="2DD83E32"/>
    <w:rsid w:val="2F7D82BF"/>
    <w:rsid w:val="317BC87A"/>
    <w:rsid w:val="31AF71E4"/>
    <w:rsid w:val="33E9D2CE"/>
    <w:rsid w:val="348B8189"/>
    <w:rsid w:val="348C6534"/>
    <w:rsid w:val="35BA194F"/>
    <w:rsid w:val="374A1A17"/>
    <w:rsid w:val="380C931C"/>
    <w:rsid w:val="39C48AB6"/>
    <w:rsid w:val="3A4CD41C"/>
    <w:rsid w:val="3A92D776"/>
    <w:rsid w:val="3B1DC2F7"/>
    <w:rsid w:val="3BC054DD"/>
    <w:rsid w:val="3CAB1EE7"/>
    <w:rsid w:val="3D186070"/>
    <w:rsid w:val="3D55A233"/>
    <w:rsid w:val="3DE2078E"/>
    <w:rsid w:val="401CF2D2"/>
    <w:rsid w:val="4063AC78"/>
    <w:rsid w:val="417F8963"/>
    <w:rsid w:val="43C3FE1D"/>
    <w:rsid w:val="4611B905"/>
    <w:rsid w:val="46C31CA5"/>
    <w:rsid w:val="46F5BA5F"/>
    <w:rsid w:val="4718C4C9"/>
    <w:rsid w:val="48FBC288"/>
    <w:rsid w:val="497AAECF"/>
    <w:rsid w:val="49D4E8C2"/>
    <w:rsid w:val="4A037875"/>
    <w:rsid w:val="4A3BA92D"/>
    <w:rsid w:val="4C5E1432"/>
    <w:rsid w:val="4CB03BCB"/>
    <w:rsid w:val="4CEE69C8"/>
    <w:rsid w:val="4DF72A45"/>
    <w:rsid w:val="4F46BB9B"/>
    <w:rsid w:val="4FABCE91"/>
    <w:rsid w:val="4FDEC8FF"/>
    <w:rsid w:val="525B7770"/>
    <w:rsid w:val="53DE1F74"/>
    <w:rsid w:val="542D60BA"/>
    <w:rsid w:val="544456BA"/>
    <w:rsid w:val="549A413C"/>
    <w:rsid w:val="54D66CF1"/>
    <w:rsid w:val="54F39D0B"/>
    <w:rsid w:val="5579EFD5"/>
    <w:rsid w:val="56BCDF4E"/>
    <w:rsid w:val="581BA460"/>
    <w:rsid w:val="599D6604"/>
    <w:rsid w:val="5AA276B1"/>
    <w:rsid w:val="5B112961"/>
    <w:rsid w:val="5CE90720"/>
    <w:rsid w:val="5CF08DEC"/>
    <w:rsid w:val="5D3A3F9C"/>
    <w:rsid w:val="5D9DAB36"/>
    <w:rsid w:val="5E47326E"/>
    <w:rsid w:val="6078EDF2"/>
    <w:rsid w:val="6084DAF3"/>
    <w:rsid w:val="609C426E"/>
    <w:rsid w:val="639623C7"/>
    <w:rsid w:val="648BFFF1"/>
    <w:rsid w:val="670D5A83"/>
    <w:rsid w:val="681FA6F3"/>
    <w:rsid w:val="68AA1E98"/>
    <w:rsid w:val="68C43716"/>
    <w:rsid w:val="6900C809"/>
    <w:rsid w:val="696D8BAA"/>
    <w:rsid w:val="6AB69471"/>
    <w:rsid w:val="6ABD48F1"/>
    <w:rsid w:val="6AFE6128"/>
    <w:rsid w:val="6B930F9B"/>
    <w:rsid w:val="6B9A7B8B"/>
    <w:rsid w:val="6E4CDB36"/>
    <w:rsid w:val="6FB03B89"/>
    <w:rsid w:val="7005BDBE"/>
    <w:rsid w:val="7012FF65"/>
    <w:rsid w:val="709AC2FC"/>
    <w:rsid w:val="711914D9"/>
    <w:rsid w:val="71DF242A"/>
    <w:rsid w:val="720C9713"/>
    <w:rsid w:val="74AA71D5"/>
    <w:rsid w:val="74E60B52"/>
    <w:rsid w:val="75CC6FB7"/>
    <w:rsid w:val="7814D14C"/>
    <w:rsid w:val="781E3D4E"/>
    <w:rsid w:val="789E560B"/>
    <w:rsid w:val="78CA04FC"/>
    <w:rsid w:val="791CD172"/>
    <w:rsid w:val="797D920D"/>
    <w:rsid w:val="7A57EB7C"/>
    <w:rsid w:val="7B763D4E"/>
    <w:rsid w:val="7C1AE261"/>
    <w:rsid w:val="7DA32513"/>
    <w:rsid w:val="7DA76BCB"/>
    <w:rsid w:val="7ECE444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AE261"/>
  <w15:chartTrackingRefBased/>
  <w15:docId w15:val="{F279B810-C8DE-496C-A75B-B0D5DC2C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C848A5"/>
    <w:rPr>
      <w:color w:val="0563C1" w:themeColor="hyperlink"/>
      <w:u w:val="single"/>
    </w:rPr>
  </w:style>
  <w:style w:type="character" w:styleId="UnresolvedMention">
    <w:name w:val="Unresolved Mention"/>
    <w:basedOn w:val="DefaultParagraphFont"/>
    <w:uiPriority w:val="99"/>
    <w:semiHidden/>
    <w:unhideWhenUsed/>
    <w:rsid w:val="00C84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investigatinghistory" TargetMode="External"/><Relationship Id="rId18" Type="http://schemas.openxmlformats.org/officeDocument/2006/relationships/hyperlink" Target="https://www.doe.mass.edu/grants/2026/0215/" TargetMode="External"/><Relationship Id="rId3" Type="http://schemas.openxmlformats.org/officeDocument/2006/relationships/customXml" Target="../customXml/item3.xml"/><Relationship Id="rId21" Type="http://schemas.openxmlformats.org/officeDocument/2006/relationships/hyperlink" Target="https://outlook.office365.com/book/HistorySocialScienceGrantOfficeHours@massgov.onmicrosoft.com/" TargetMode="External"/><Relationship Id="rId7" Type="http://schemas.openxmlformats.org/officeDocument/2006/relationships/webSettings" Target="webSettings.xml"/><Relationship Id="rId12" Type="http://schemas.openxmlformats.org/officeDocument/2006/relationships/hyperlink" Target="https://www.doe.mass.edu/grants/2026/0589/" TargetMode="External"/><Relationship Id="rId17" Type="http://schemas.openxmlformats.org/officeDocument/2006/relationships/hyperlink" Target="https://www.doe.mass.edu/rlo/instruction/k-12-hss/assets/WqMl-C/Social%20Science%20Curricular%20Materials%20Rubric.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rlo/instruction/k-12-hss/index.html" TargetMode="External"/><Relationship Id="rId20" Type="http://schemas.openxmlformats.org/officeDocument/2006/relationships/hyperlink" Target="https://malegislature.gov/Laws/SessionLaws/Acts/2021/Chapter9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aig.a.waterman@mass.gov"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doe.mass.edu/investigatinghistory" TargetMode="External"/><Relationship Id="rId23" Type="http://schemas.openxmlformats.org/officeDocument/2006/relationships/footer" Target="footer1.xml"/><Relationship Id="rId10" Type="http://schemas.openxmlformats.org/officeDocument/2006/relationships/hyperlink" Target="https://www.doe.mass.edu/instruction/hss/" TargetMode="External"/><Relationship Id="rId19" Type="http://schemas.openxmlformats.org/officeDocument/2006/relationships/hyperlink" Target="https://malegislature.gov/Laws/SessionLaws/Acts/2021/Chapter9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rlo/instruction/k-12-hss/index.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6" ma:contentTypeDescription="Create a new document." ma:contentTypeScope="" ma:versionID="5ea1f75a7bf252ced77c0818bd6cd1d9">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88eca445fcd7920b81f7ec3e7a864804"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a18fac6-a31a-4bd3-95c7-847842a5fb5e}"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9ADD24-3DD4-48DC-A59F-F9CBC14E31CD}">
  <ds:schemaRefs>
    <ds:schemaRef ds:uri="http://schemas.microsoft.com/office/2006/metadata/properties"/>
    <ds:schemaRef ds:uri="http://schemas.microsoft.com/office/infopath/2007/PartnerControls"/>
    <ds:schemaRef ds:uri="7d325074-d398-43b9-9fad-f1a483cc331c"/>
    <ds:schemaRef ds:uri="8df8dc5e-e5f0-476b-aed9-3b59e9fde311"/>
  </ds:schemaRefs>
</ds:datastoreItem>
</file>

<file path=customXml/itemProps2.xml><?xml version="1.0" encoding="utf-8"?>
<ds:datastoreItem xmlns:ds="http://schemas.openxmlformats.org/officeDocument/2006/customXml" ds:itemID="{408958A1-DB02-4430-A9AD-90BF3974F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AB183-6331-4870-849D-255C1D5D32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FY26 Joint QA FC589 and FC215</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FY26 Joint QA FC589 and FC215</dc:title>
  <dc:subject/>
  <dc:creator>DESE</dc:creator>
  <cp:keywords/>
  <dc:description/>
  <cp:lastModifiedBy>Zou, Dong (EOE)</cp:lastModifiedBy>
  <cp:revision>4</cp:revision>
  <dcterms:created xsi:type="dcterms:W3CDTF">2025-01-22T20:24:00Z</dcterms:created>
  <dcterms:modified xsi:type="dcterms:W3CDTF">2025-01-22T20:41:00Z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22 2025 12:00AM</vt:lpwstr>
  </property>
</Properties>
</file>