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DE39" w14:textId="22BC178F" w:rsidR="0009017E" w:rsidRPr="0009017E" w:rsidRDefault="0009017E" w:rsidP="0009017E">
      <w:r w:rsidRPr="0009017E">
        <w:rPr>
          <w:b/>
          <w:bCs/>
        </w:rPr>
        <w:br/>
      </w:r>
      <w:bookmarkStart w:id="0" w:name="mainbody"/>
      <w:bookmarkStart w:id="1" w:name="top"/>
      <w:bookmarkEnd w:id="0"/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590208"/>
      </w:tblPr>
      <w:tblGrid>
        <w:gridCol w:w="9360"/>
      </w:tblGrid>
      <w:tr w:rsidR="00CF3E68" w:rsidRPr="00CF3E68" w14:paraId="71854728" w14:textId="77777777" w:rsidTr="000901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00ED1" w14:textId="6B1A8252" w:rsidR="0009017E" w:rsidRPr="00CF3E68" w:rsidRDefault="0009017E" w:rsidP="0009017E">
            <w:pPr>
              <w:divId w:val="2113737977"/>
              <w:rPr>
                <w:rFonts w:ascii="Arial" w:hAnsi="Arial" w:cs="Arial"/>
                <w:sz w:val="20"/>
                <w:szCs w:val="20"/>
              </w:rPr>
            </w:pPr>
            <w:r w:rsidRPr="00CF3E68">
              <w:rPr>
                <w:rFonts w:ascii="Arial" w:hAnsi="Arial" w:cs="Arial"/>
                <w:sz w:val="20"/>
                <w:szCs w:val="20"/>
              </w:rPr>
              <w:t xml:space="preserve">FC </w:t>
            </w:r>
            <w:r w:rsidR="00763F8D">
              <w:rPr>
                <w:rFonts w:ascii="Arial" w:hAnsi="Arial" w:cs="Arial"/>
                <w:sz w:val="20"/>
                <w:szCs w:val="20"/>
              </w:rPr>
              <w:t>0</w:t>
            </w:r>
            <w:r w:rsidRPr="00CF3E68">
              <w:rPr>
                <w:rFonts w:ascii="Arial" w:hAnsi="Arial" w:cs="Arial"/>
                <w:sz w:val="20"/>
                <w:szCs w:val="20"/>
              </w:rPr>
              <w:t>274 IEP (Federal TAR)</w:t>
            </w:r>
          </w:p>
        </w:tc>
      </w:tr>
      <w:tr w:rsidR="0009017E" w:rsidRPr="00CF3E68" w14:paraId="64D2AB84" w14:textId="77777777" w:rsidTr="0009017E">
        <w:trPr>
          <w:tblCellSpacing w:w="15" w:type="dxa"/>
        </w:trPr>
        <w:tc>
          <w:tcPr>
            <w:tcW w:w="2160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590208"/>
            </w:tblPr>
            <w:tblGrid>
              <w:gridCol w:w="9270"/>
            </w:tblGrid>
            <w:tr w:rsidR="00CF3E68" w:rsidRPr="00CF3E68" w14:paraId="420CAC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07C491" w14:textId="77777777" w:rsidR="0009017E" w:rsidRPr="00CF3E68" w:rsidRDefault="0009017E" w:rsidP="000901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sz w:val="20"/>
                      <w:szCs w:val="20"/>
                    </w:rPr>
                    <w:t>Appendix A</w:t>
                  </w:r>
                </w:p>
              </w:tc>
            </w:tr>
            <w:tr w:rsidR="00CF3E68" w:rsidRPr="00CF3E68" w14:paraId="1B6E6392" w14:textId="77777777">
              <w:trPr>
                <w:tblCellSpacing w:w="15" w:type="dxa"/>
              </w:trPr>
              <w:tc>
                <w:tcPr>
                  <w:tcW w:w="2160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590208"/>
                  </w:tblPr>
                  <w:tblGrid>
                    <w:gridCol w:w="9180"/>
                  </w:tblGrid>
                  <w:tr w:rsidR="00CF3E68" w:rsidRPr="00CF3E68" w14:paraId="1FDE421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30F2C4" w14:textId="561E9644" w:rsidR="0009017E" w:rsidRPr="00CF3E68" w:rsidRDefault="0009017E" w:rsidP="0009017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The Massachusetts Department of Elementary and Secondary Education has recently rolled out a new IEP form, which schools and districts across the state </w:t>
                        </w:r>
                        <w:r w:rsidR="00C84946"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have started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using beginning the fall of 2024. This targeted grant is for schools and districts to implement the New IEP Form</w:t>
                        </w:r>
                        <w:r w:rsidR="002C55EF"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Districts may apply for funding to fulfill any one or more of the </w:t>
                        </w:r>
                        <w:r w:rsidR="00E650EB"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Principle</w:t>
                        </w:r>
                        <w:r w:rsidR="002C55EF"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950A7"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based Goals </w:t>
                        </w:r>
                        <w:r w:rsidR="002C55EF"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listed: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  <w:tr w:rsidR="00CF3E68" w:rsidRPr="00CF3E68" w14:paraId="11A9672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3984D3" w14:textId="77777777" w:rsidR="0009017E" w:rsidRPr="00CF3E68" w:rsidRDefault="0009017E" w:rsidP="0009017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E7D8A1" w14:textId="77777777" w:rsidR="0009017E" w:rsidRPr="00CF3E68" w:rsidRDefault="0009017E" w:rsidP="000901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F3E68" w:rsidRPr="00CF3E68" w14:paraId="02ADAD10" w14:textId="77777777">
              <w:trPr>
                <w:tblCellSpacing w:w="15" w:type="dxa"/>
              </w:trPr>
              <w:tc>
                <w:tcPr>
                  <w:tcW w:w="21600" w:type="dxa"/>
                  <w:vAlign w:val="center"/>
                  <w:hideMark/>
                </w:tcPr>
                <w:p w14:paraId="7FCD19F2" w14:textId="044636D7" w:rsidR="006A081C" w:rsidRPr="00CF3E68" w:rsidRDefault="00E650EB" w:rsidP="006A081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Principle</w:t>
                  </w:r>
                  <w:r w:rsidR="006A081C" w:rsidRPr="00CF3E6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7A69469B" w14:textId="4A694ADF" w:rsidR="006A081C" w:rsidRPr="00CF3E68" w:rsidRDefault="006A081C" w:rsidP="006A081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sz w:val="20"/>
                      <w:szCs w:val="20"/>
                    </w:rPr>
                    <w:t>All students are general education students first. Take a strengths-based approach.</w:t>
                  </w:r>
                </w:p>
                <w:p w14:paraId="33C6A584" w14:textId="3972C852" w:rsidR="006A081C" w:rsidRPr="00CF3E68" w:rsidRDefault="006A081C" w:rsidP="006A081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sz w:val="20"/>
                      <w:szCs w:val="20"/>
                    </w:rPr>
                    <w:t>General and special education should work together. Integrate systems.</w:t>
                  </w:r>
                </w:p>
                <w:p w14:paraId="66C88082" w14:textId="07B8EF4C" w:rsidR="006A081C" w:rsidRPr="00CF3E68" w:rsidRDefault="006A081C" w:rsidP="006A081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sz w:val="20"/>
                      <w:szCs w:val="20"/>
                    </w:rPr>
                    <w:t>Ensure the continuous cycle of improvement. Move beyond compliance.</w:t>
                  </w:r>
                </w:p>
                <w:p w14:paraId="34F6E6F9" w14:textId="279ABFFA" w:rsidR="006A081C" w:rsidRPr="00CF3E68" w:rsidRDefault="006A081C" w:rsidP="006A081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sz w:val="20"/>
                      <w:szCs w:val="20"/>
                    </w:rPr>
                    <w:t>Assessment is key. Make no decisions without the right data.</w:t>
                  </w:r>
                </w:p>
                <w:p w14:paraId="7F07BFEF" w14:textId="309B6C75" w:rsidR="006A081C" w:rsidRPr="00CF3E68" w:rsidRDefault="006A081C" w:rsidP="006A081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sz w:val="20"/>
                      <w:szCs w:val="20"/>
                    </w:rPr>
                    <w:t>Family engagement matters. Welcome parent and student voice.</w:t>
                  </w:r>
                </w:p>
                <w:p w14:paraId="54C92700" w14:textId="77777777" w:rsidR="00512C35" w:rsidRPr="00CF3E68" w:rsidRDefault="00512C35" w:rsidP="0009017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0DC60B0A" w14:textId="39E43EB3" w:rsidR="00BA05DB" w:rsidRPr="00CF3E68" w:rsidRDefault="00F03991" w:rsidP="00BA05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Goals:</w:t>
                  </w:r>
                </w:p>
                <w:p w14:paraId="44ABA1E4" w14:textId="77777777" w:rsidR="00BA05DB" w:rsidRPr="00CF3E68" w:rsidRDefault="00BA05DB" w:rsidP="00BA05D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sz w:val="20"/>
                      <w:szCs w:val="20"/>
                    </w:rPr>
                    <w:t>Develop student-centered IEPs based on knowledge of the student and accurate data such that all student with disabilities, ages 3-22, can attain academic and functional skills, gain knowledge of self, value self and others, and engage with the school community;</w:t>
                  </w:r>
                </w:p>
                <w:p w14:paraId="076E73CF" w14:textId="77777777" w:rsidR="00BA05DB" w:rsidRPr="00CF3E68" w:rsidRDefault="00BA05DB" w:rsidP="00BA05D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sz w:val="20"/>
                      <w:szCs w:val="20"/>
                    </w:rPr>
                    <w:t>Promote student voice and choice and engage students in the development of the IEP, their own academic and functional achievement, and progress toward meeting their postsecondary goals; Increase effective and efficient collaboration between general educators, special educators, related service providers, communities, families, and students; and</w:t>
                  </w:r>
                </w:p>
                <w:p w14:paraId="335D922F" w14:textId="77777777" w:rsidR="00BA05DB" w:rsidRPr="00CF3E68" w:rsidRDefault="00BA05DB" w:rsidP="00BA05D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eastAsia="Aptos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eastAsia="Aptos" w:hAnsi="Arial" w:cs="Arial"/>
                      <w:sz w:val="20"/>
                      <w:szCs w:val="20"/>
                    </w:rPr>
                    <w:t xml:space="preserve">Explicitly and vigorously promote opportunities for: </w:t>
                  </w:r>
                </w:p>
                <w:p w14:paraId="27BDE194" w14:textId="77777777" w:rsidR="00BA05DB" w:rsidRPr="00CF3E68" w:rsidRDefault="00BA05DB" w:rsidP="00BA05DB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57" w:lineRule="auto"/>
                    <w:rPr>
                      <w:rFonts w:ascii="Arial" w:eastAsia="Aptos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eastAsia="Aptos" w:hAnsi="Arial" w:cs="Arial"/>
                      <w:sz w:val="20"/>
                      <w:szCs w:val="20"/>
                    </w:rPr>
                    <w:t>educators in all roles to develop knowledge about how to create and/or sustain inclusive environments throughout schools</w:t>
                  </w:r>
                </w:p>
                <w:p w14:paraId="3A83AFB3" w14:textId="77777777" w:rsidR="00BA05DB" w:rsidRPr="00CF3E68" w:rsidRDefault="00BA05DB" w:rsidP="00BA05DB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57" w:lineRule="auto"/>
                    <w:rPr>
                      <w:rFonts w:ascii="Arial" w:eastAsia="Aptos" w:hAnsi="Arial" w:cs="Arial"/>
                      <w:sz w:val="20"/>
                      <w:szCs w:val="20"/>
                    </w:rPr>
                  </w:pPr>
                  <w:r w:rsidRPr="00CF3E68">
                    <w:rPr>
                      <w:rFonts w:ascii="Arial" w:eastAsia="Aptos" w:hAnsi="Arial" w:cs="Arial"/>
                      <w:sz w:val="20"/>
                      <w:szCs w:val="20"/>
                    </w:rPr>
                    <w:t>special educators to refine their skills to effectively target 1) specially designed instruction, related services, and supports as well as, 2) Increase independence as the student develops increased skills.</w:t>
                  </w:r>
                </w:p>
                <w:p w14:paraId="4C1CF3E9" w14:textId="77777777" w:rsidR="00BA05DB" w:rsidRPr="00CF3E68" w:rsidRDefault="00BA05DB" w:rsidP="0009017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02754D0B" w14:textId="5186E43D" w:rsidR="00512C35" w:rsidRPr="00CF3E68" w:rsidRDefault="00984B95" w:rsidP="0009017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Submission Questions</w:t>
                  </w:r>
                  <w:r w:rsidR="005663AA" w:rsidRPr="00CF3E6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to be answered during Grant submission:</w:t>
                  </w:r>
                </w:p>
                <w:p w14:paraId="13277302" w14:textId="44C18D1C" w:rsidR="00DC4520" w:rsidRPr="00CF3E68" w:rsidRDefault="00CC127A" w:rsidP="00810AB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How will you ensure full implementation of the new IEP?</w:t>
                  </w:r>
                </w:p>
                <w:p w14:paraId="301312EE" w14:textId="7616030B" w:rsidR="00810AB4" w:rsidRPr="00CF3E68" w:rsidRDefault="00810AB4" w:rsidP="00810AB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How will you know that all SWD have meaningful access to the general curriculum and life of the school?</w:t>
                  </w:r>
                </w:p>
                <w:p w14:paraId="5382C980" w14:textId="7DF1630B" w:rsidR="00DC4520" w:rsidRPr="00CF3E68" w:rsidRDefault="00DC4520" w:rsidP="00810AB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How will use data to identify goals and objectives and improve outcomes for students with IEPs? </w:t>
                  </w:r>
                </w:p>
                <w:p w14:paraId="0D1FC9DE" w14:textId="3837B2D0" w:rsidR="00DC4520" w:rsidRPr="00CF3E68" w:rsidRDefault="00CF3E68" w:rsidP="00810AB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F3E6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How will you use evidence-based and culturally sustaining instructional tools and/or high leverage instructional practices?</w:t>
                  </w:r>
                </w:p>
                <w:p w14:paraId="0A693F4A" w14:textId="259D0038" w:rsidR="00512C35" w:rsidRPr="00CF3E68" w:rsidRDefault="00512C35" w:rsidP="0009017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F3E68" w:rsidRPr="00CF3E68" w14:paraId="1A44B7FD" w14:textId="77777777">
              <w:trPr>
                <w:tblCellSpacing w:w="15" w:type="dxa"/>
              </w:trPr>
              <w:tc>
                <w:tcPr>
                  <w:tcW w:w="2160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702055"/>
                  </w:tblPr>
                  <w:tblGrid>
                    <w:gridCol w:w="9135"/>
                    <w:gridCol w:w="45"/>
                  </w:tblGrid>
                  <w:tr w:rsidR="00CF3E68" w:rsidRPr="00CF3E68" w14:paraId="13B8EE8D" w14:textId="77777777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FCEDD7" w14:textId="77777777" w:rsidR="0009017E" w:rsidRPr="00CF3E68" w:rsidRDefault="0009017E" w:rsidP="0009017E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F3E6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Use of Funds:</w:t>
                        </w:r>
                      </w:p>
                      <w:p w14:paraId="31150C2D" w14:textId="77777777" w:rsidR="005E369D" w:rsidRPr="00CF3E68" w:rsidRDefault="005E369D" w:rsidP="0009017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 applicant has budgeted the appropriate amount and allowable expenses.</w:t>
                        </w:r>
                      </w:p>
                      <w:p w14:paraId="5BD4F49C" w14:textId="6F6A4810" w:rsidR="00832170" w:rsidRPr="00CF3E68" w:rsidRDefault="00832170" w:rsidP="0009017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The Following are allowable cost: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• Stipends and Salaries, Substitutes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• MTRS/fringe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• Development or updating of forms and resources related to IEP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• Updating web-based information and other communication needed with schools, districts, and families regarding the new IEP form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• Supplies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• Printing and reproduction of training materials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• Consultant fees (e.g., professional development and program evaluation)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• Travel for professional development activities</w:t>
                        </w:r>
                        <w:r w:rsidRPr="00CF3E6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• Computer hardware or software, including licenses and web-based IEP development tools</w:t>
                        </w:r>
                      </w:p>
                    </w:tc>
                  </w:tr>
                  <w:tr w:rsidR="00CF3E68" w:rsidRPr="00CF3E68" w14:paraId="5B525C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74A0E3DC" w14:textId="77777777" w:rsidR="0009017E" w:rsidRPr="00CF3E68" w:rsidRDefault="0009017E" w:rsidP="0009017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B51073" w14:textId="77777777" w:rsidR="0009017E" w:rsidRPr="00CF3E68" w:rsidRDefault="0009017E" w:rsidP="000901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9531ED5" w14:textId="77777777" w:rsidR="0009017E" w:rsidRPr="00CF3E68" w:rsidRDefault="0009017E" w:rsidP="000901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495544" w14:textId="77777777" w:rsidR="00D71D6A" w:rsidRPr="00CF3E68" w:rsidRDefault="00D71D6A">
      <w:pPr>
        <w:rPr>
          <w:rFonts w:ascii="Arial" w:hAnsi="Arial" w:cs="Arial"/>
          <w:sz w:val="20"/>
          <w:szCs w:val="20"/>
        </w:rPr>
      </w:pPr>
    </w:p>
    <w:sectPr w:rsidR="00D71D6A" w:rsidRPr="00CF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D05D" w14:textId="77777777" w:rsidR="0021090A" w:rsidRDefault="0021090A" w:rsidP="00C278E6">
      <w:pPr>
        <w:spacing w:after="0" w:line="240" w:lineRule="auto"/>
      </w:pPr>
      <w:r>
        <w:separator/>
      </w:r>
    </w:p>
  </w:endnote>
  <w:endnote w:type="continuationSeparator" w:id="0">
    <w:p w14:paraId="73C8E8D0" w14:textId="77777777" w:rsidR="0021090A" w:rsidRDefault="0021090A" w:rsidP="00C2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42C2" w14:textId="77777777" w:rsidR="0021090A" w:rsidRDefault="0021090A" w:rsidP="00C278E6">
      <w:pPr>
        <w:spacing w:after="0" w:line="240" w:lineRule="auto"/>
      </w:pPr>
      <w:r>
        <w:separator/>
      </w:r>
    </w:p>
  </w:footnote>
  <w:footnote w:type="continuationSeparator" w:id="0">
    <w:p w14:paraId="68F18608" w14:textId="77777777" w:rsidR="0021090A" w:rsidRDefault="0021090A" w:rsidP="00C2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70C"/>
    <w:multiLevelType w:val="hybridMultilevel"/>
    <w:tmpl w:val="6308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151B"/>
    <w:multiLevelType w:val="hybridMultilevel"/>
    <w:tmpl w:val="BF608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1CD8"/>
    <w:multiLevelType w:val="hybridMultilevel"/>
    <w:tmpl w:val="7398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718D6"/>
    <w:multiLevelType w:val="multilevel"/>
    <w:tmpl w:val="EDA8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536789">
    <w:abstractNumId w:val="3"/>
  </w:num>
  <w:num w:numId="2" w16cid:durableId="1954440880">
    <w:abstractNumId w:val="2"/>
  </w:num>
  <w:num w:numId="3" w16cid:durableId="858393593">
    <w:abstractNumId w:val="0"/>
  </w:num>
  <w:num w:numId="4" w16cid:durableId="205685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FA"/>
    <w:rsid w:val="000204A0"/>
    <w:rsid w:val="000332C8"/>
    <w:rsid w:val="0005113B"/>
    <w:rsid w:val="0006657C"/>
    <w:rsid w:val="000835EB"/>
    <w:rsid w:val="0009017E"/>
    <w:rsid w:val="0012035C"/>
    <w:rsid w:val="0021090A"/>
    <w:rsid w:val="002B27D4"/>
    <w:rsid w:val="002C55EF"/>
    <w:rsid w:val="0041742F"/>
    <w:rsid w:val="004D34AB"/>
    <w:rsid w:val="00512C35"/>
    <w:rsid w:val="00542860"/>
    <w:rsid w:val="005663AA"/>
    <w:rsid w:val="00576665"/>
    <w:rsid w:val="005863FA"/>
    <w:rsid w:val="005E369D"/>
    <w:rsid w:val="006A081C"/>
    <w:rsid w:val="0074250C"/>
    <w:rsid w:val="00763F8D"/>
    <w:rsid w:val="00810AB4"/>
    <w:rsid w:val="0081566B"/>
    <w:rsid w:val="00832170"/>
    <w:rsid w:val="009147FB"/>
    <w:rsid w:val="00984B95"/>
    <w:rsid w:val="00987345"/>
    <w:rsid w:val="009A143C"/>
    <w:rsid w:val="009C3639"/>
    <w:rsid w:val="00A32473"/>
    <w:rsid w:val="00A71153"/>
    <w:rsid w:val="00A91C8F"/>
    <w:rsid w:val="00B950A7"/>
    <w:rsid w:val="00BA05DB"/>
    <w:rsid w:val="00C278E6"/>
    <w:rsid w:val="00C52CEE"/>
    <w:rsid w:val="00C84946"/>
    <w:rsid w:val="00CC127A"/>
    <w:rsid w:val="00CD0801"/>
    <w:rsid w:val="00CF3E68"/>
    <w:rsid w:val="00D71D6A"/>
    <w:rsid w:val="00DC4520"/>
    <w:rsid w:val="00E650EB"/>
    <w:rsid w:val="00F03991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28B6D"/>
  <w15:chartTrackingRefBased/>
  <w15:docId w15:val="{BC4B902C-C044-400E-B885-07E1CF92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3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01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1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8E6"/>
  </w:style>
  <w:style w:type="paragraph" w:styleId="Footer">
    <w:name w:val="footer"/>
    <w:basedOn w:val="Normal"/>
    <w:link w:val="FooterChar"/>
    <w:uiPriority w:val="99"/>
    <w:unhideWhenUsed/>
    <w:rsid w:val="00C2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8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3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2000">
          <w:marLeft w:val="0"/>
          <w:marRight w:val="0"/>
          <w:marTop w:val="0"/>
          <w:marBottom w:val="3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6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9DB9"/>
                                    <w:left w:val="single" w:sz="6" w:space="0" w:color="7F9DB9"/>
                                    <w:bottom w:val="single" w:sz="6" w:space="0" w:color="7F9DB9"/>
                                    <w:right w:val="single" w:sz="6" w:space="0" w:color="7F9DB9"/>
                                  </w:divBdr>
                                  <w:divsChild>
                                    <w:div w:id="53080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0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40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8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077675">
          <w:marLeft w:val="0"/>
          <w:marRight w:val="0"/>
          <w:marTop w:val="0"/>
          <w:marBottom w:val="3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9DB9"/>
                                    <w:left w:val="single" w:sz="6" w:space="0" w:color="7F9DB9"/>
                                    <w:bottom w:val="single" w:sz="6" w:space="0" w:color="7F9DB9"/>
                                    <w:right w:val="single" w:sz="6" w:space="0" w:color="7F9DB9"/>
                                  </w:divBdr>
                                  <w:divsChild>
                                    <w:div w:id="206440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9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0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6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0274 IDEA Appendix A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0274 IDEA Appendix A</dc:title>
  <dc:subject/>
  <dc:creator>DESE</dc:creator>
  <cp:keywords/>
  <dc:description/>
  <cp:lastModifiedBy>Zou, Dong (EOE)</cp:lastModifiedBy>
  <cp:revision>37</cp:revision>
  <dcterms:created xsi:type="dcterms:W3CDTF">2024-11-11T12:47:00Z</dcterms:created>
  <dcterms:modified xsi:type="dcterms:W3CDTF">2025-01-10T14:43:00Z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10 2025 12:00AM</vt:lpwstr>
  </property>
</Properties>
</file>