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5698A" w14:textId="045BB401" w:rsidR="002C5285" w:rsidRPr="008D15F5" w:rsidRDefault="002C5285" w:rsidP="008D15F5">
      <w:pPr>
        <w:pStyle w:val="Title"/>
      </w:pPr>
      <w:r w:rsidRPr="008D15F5">
        <w:t xml:space="preserve">An Act to </w:t>
      </w:r>
      <w:r w:rsidR="007164AC" w:rsidRPr="008D15F5">
        <w:t>Promote</w:t>
      </w:r>
      <w:r w:rsidRPr="008D15F5">
        <w:t xml:space="preserve"> Equity and Excellence in Education</w:t>
      </w:r>
    </w:p>
    <w:p w14:paraId="20F2E25F" w14:textId="20E31754" w:rsidR="002C48AE" w:rsidRPr="008D15F5" w:rsidRDefault="002C48AE" w:rsidP="008D15F5">
      <w:pPr>
        <w:pStyle w:val="Heading1"/>
      </w:pPr>
      <w:bookmarkStart w:id="0" w:name="_GoBack"/>
      <w:r w:rsidRPr="008D15F5">
        <w:t>Section by Section Analysis</w:t>
      </w:r>
    </w:p>
    <w:bookmarkEnd w:id="0"/>
    <w:p w14:paraId="109CA6B3" w14:textId="77777777" w:rsidR="00C2352F" w:rsidRPr="00300EC8" w:rsidRDefault="00C2352F">
      <w:pPr>
        <w:rPr>
          <w:rFonts w:ascii="Times New Roman" w:hAnsi="Times New Roman" w:cs="Times New Roman"/>
          <w:sz w:val="24"/>
          <w:szCs w:val="24"/>
        </w:rPr>
      </w:pPr>
    </w:p>
    <w:p w14:paraId="01C1A969" w14:textId="284406B8" w:rsidR="0040056D" w:rsidRPr="00300EC8" w:rsidRDefault="002C48AE" w:rsidP="00A9230F">
      <w:pPr>
        <w:pStyle w:val="ListParagraph"/>
        <w:numPr>
          <w:ilvl w:val="0"/>
          <w:numId w:val="2"/>
        </w:numPr>
        <w:ind w:left="1080" w:hanging="720"/>
        <w:rPr>
          <w:rFonts w:ascii="Times New Roman" w:hAnsi="Times New Roman" w:cs="Times New Roman"/>
          <w:sz w:val="24"/>
          <w:szCs w:val="24"/>
        </w:rPr>
      </w:pPr>
      <w:r w:rsidRPr="00300EC8">
        <w:rPr>
          <w:rFonts w:ascii="Times New Roman" w:hAnsi="Times New Roman" w:cs="Times New Roman"/>
          <w:sz w:val="24"/>
          <w:szCs w:val="24"/>
        </w:rPr>
        <w:t xml:space="preserve">SECTION 1 creates </w:t>
      </w:r>
      <w:r w:rsidR="001057B3">
        <w:rPr>
          <w:rFonts w:ascii="Times New Roman" w:hAnsi="Times New Roman" w:cs="Times New Roman"/>
          <w:sz w:val="24"/>
          <w:szCs w:val="24"/>
        </w:rPr>
        <w:t>two trusts – (1) a trust focused on public school regionaliza</w:t>
      </w:r>
      <w:r w:rsidR="00D1725A">
        <w:rPr>
          <w:rFonts w:ascii="Times New Roman" w:hAnsi="Times New Roman" w:cs="Times New Roman"/>
          <w:sz w:val="24"/>
          <w:szCs w:val="24"/>
        </w:rPr>
        <w:t>tion, as addressed in section 20</w:t>
      </w:r>
      <w:r w:rsidR="001057B3">
        <w:rPr>
          <w:rFonts w:ascii="Times New Roman" w:hAnsi="Times New Roman" w:cs="Times New Roman"/>
          <w:sz w:val="24"/>
          <w:szCs w:val="24"/>
        </w:rPr>
        <w:t xml:space="preserve">, </w:t>
      </w:r>
      <w:r w:rsidR="000807EC">
        <w:rPr>
          <w:rFonts w:ascii="Times New Roman" w:hAnsi="Times New Roman" w:cs="Times New Roman"/>
          <w:sz w:val="24"/>
          <w:szCs w:val="24"/>
        </w:rPr>
        <w:t xml:space="preserve">and (2) </w:t>
      </w:r>
      <w:r w:rsidRPr="00300EC8">
        <w:rPr>
          <w:rFonts w:ascii="Times New Roman" w:hAnsi="Times New Roman" w:cs="Times New Roman"/>
          <w:sz w:val="24"/>
          <w:szCs w:val="24"/>
        </w:rPr>
        <w:t xml:space="preserve">a </w:t>
      </w:r>
      <w:r w:rsidR="0040056D" w:rsidRPr="00300EC8">
        <w:rPr>
          <w:rFonts w:ascii="Times New Roman" w:hAnsi="Times New Roman" w:cs="Times New Roman"/>
          <w:sz w:val="24"/>
          <w:szCs w:val="24"/>
        </w:rPr>
        <w:t xml:space="preserve">trust </w:t>
      </w:r>
      <w:r w:rsidRPr="00300EC8">
        <w:rPr>
          <w:rFonts w:ascii="Times New Roman" w:hAnsi="Times New Roman" w:cs="Times New Roman"/>
          <w:sz w:val="24"/>
          <w:szCs w:val="24"/>
        </w:rPr>
        <w:t>for turnaround efforts in the Commonwealth’s underperforming public sch</w:t>
      </w:r>
      <w:r w:rsidR="00620B05" w:rsidRPr="00300EC8">
        <w:rPr>
          <w:rFonts w:ascii="Times New Roman" w:hAnsi="Times New Roman" w:cs="Times New Roman"/>
          <w:sz w:val="24"/>
          <w:szCs w:val="24"/>
        </w:rPr>
        <w:t xml:space="preserve">ools, as addressed in </w:t>
      </w:r>
      <w:r w:rsidR="008D6B3C" w:rsidRPr="00300EC8">
        <w:rPr>
          <w:rFonts w:ascii="Times New Roman" w:hAnsi="Times New Roman" w:cs="Times New Roman"/>
          <w:sz w:val="24"/>
          <w:szCs w:val="24"/>
        </w:rPr>
        <w:t>s</w:t>
      </w:r>
      <w:r w:rsidR="00620B05" w:rsidRPr="00300EC8">
        <w:rPr>
          <w:rFonts w:ascii="Times New Roman" w:hAnsi="Times New Roman" w:cs="Times New Roman"/>
          <w:sz w:val="24"/>
          <w:szCs w:val="24"/>
        </w:rPr>
        <w:t>ection 1</w:t>
      </w:r>
      <w:r w:rsidR="00B816F8" w:rsidRPr="00300EC8">
        <w:rPr>
          <w:rFonts w:ascii="Times New Roman" w:hAnsi="Times New Roman" w:cs="Times New Roman"/>
          <w:sz w:val="24"/>
          <w:szCs w:val="24"/>
        </w:rPr>
        <w:t>6</w:t>
      </w:r>
      <w:r w:rsidRPr="00300EC8">
        <w:rPr>
          <w:rFonts w:ascii="Times New Roman" w:hAnsi="Times New Roman" w:cs="Times New Roman"/>
          <w:sz w:val="24"/>
          <w:szCs w:val="24"/>
        </w:rPr>
        <w:t>.</w:t>
      </w:r>
      <w:r w:rsidR="00216B30">
        <w:rPr>
          <w:rFonts w:ascii="Times New Roman" w:hAnsi="Times New Roman" w:cs="Times New Roman"/>
          <w:sz w:val="24"/>
          <w:szCs w:val="24"/>
        </w:rPr>
        <w:t xml:space="preserve"> </w:t>
      </w:r>
      <w:r w:rsidRPr="00300EC8">
        <w:rPr>
          <w:rFonts w:ascii="Times New Roman" w:hAnsi="Times New Roman" w:cs="Times New Roman"/>
          <w:sz w:val="24"/>
          <w:szCs w:val="24"/>
        </w:rPr>
        <w:t xml:space="preserve"> </w:t>
      </w:r>
      <w:r w:rsidR="00F70DDE" w:rsidRPr="00300EC8">
        <w:rPr>
          <w:rFonts w:ascii="Times New Roman" w:hAnsi="Times New Roman" w:cs="Times New Roman"/>
          <w:sz w:val="24"/>
          <w:szCs w:val="24"/>
        </w:rPr>
        <w:t xml:space="preserve">The use of </w:t>
      </w:r>
      <w:r w:rsidR="000807EC">
        <w:rPr>
          <w:rFonts w:ascii="Times New Roman" w:hAnsi="Times New Roman" w:cs="Times New Roman"/>
          <w:sz w:val="24"/>
          <w:szCs w:val="24"/>
        </w:rPr>
        <w:t>such</w:t>
      </w:r>
      <w:r w:rsidRPr="00300EC8">
        <w:rPr>
          <w:rFonts w:ascii="Times New Roman" w:hAnsi="Times New Roman" w:cs="Times New Roman"/>
          <w:sz w:val="24"/>
          <w:szCs w:val="24"/>
        </w:rPr>
        <w:t xml:space="preserve"> trust</w:t>
      </w:r>
      <w:r w:rsidR="000807EC">
        <w:rPr>
          <w:rFonts w:ascii="Times New Roman" w:hAnsi="Times New Roman" w:cs="Times New Roman"/>
          <w:sz w:val="24"/>
          <w:szCs w:val="24"/>
        </w:rPr>
        <w:t>s</w:t>
      </w:r>
      <w:r w:rsidR="00F70DDE" w:rsidRPr="00300EC8">
        <w:rPr>
          <w:rFonts w:ascii="Times New Roman" w:hAnsi="Times New Roman" w:cs="Times New Roman"/>
          <w:sz w:val="24"/>
          <w:szCs w:val="24"/>
        </w:rPr>
        <w:t xml:space="preserve"> will allow available dollars to be carried over from one fiscal year to the next</w:t>
      </w:r>
      <w:r w:rsidR="00C65EA4" w:rsidRPr="00300EC8">
        <w:rPr>
          <w:rFonts w:ascii="Times New Roman" w:hAnsi="Times New Roman" w:cs="Times New Roman"/>
          <w:sz w:val="24"/>
          <w:szCs w:val="24"/>
        </w:rPr>
        <w:t>, rather than reverting to the general fund</w:t>
      </w:r>
      <w:r w:rsidR="00F70DDE" w:rsidRPr="00300EC8">
        <w:rPr>
          <w:rFonts w:ascii="Times New Roman" w:hAnsi="Times New Roman" w:cs="Times New Roman"/>
          <w:sz w:val="24"/>
          <w:szCs w:val="24"/>
        </w:rPr>
        <w:t>, facilitating multi-year initiatives.</w:t>
      </w:r>
    </w:p>
    <w:p w14:paraId="1CB63930" w14:textId="77777777" w:rsidR="001057B3" w:rsidRPr="000807EC" w:rsidRDefault="001057B3" w:rsidP="000807EC">
      <w:pPr>
        <w:rPr>
          <w:rFonts w:ascii="Times New Roman" w:hAnsi="Times New Roman" w:cs="Times New Roman"/>
          <w:sz w:val="24"/>
          <w:szCs w:val="24"/>
        </w:rPr>
      </w:pPr>
    </w:p>
    <w:p w14:paraId="04D995CD" w14:textId="75C03AB6" w:rsidR="002C48AE" w:rsidRPr="00300EC8" w:rsidRDefault="002C48AE" w:rsidP="00A9230F">
      <w:pPr>
        <w:pStyle w:val="ListParagraph"/>
        <w:numPr>
          <w:ilvl w:val="0"/>
          <w:numId w:val="2"/>
        </w:numPr>
        <w:ind w:left="1080" w:hanging="720"/>
        <w:rPr>
          <w:rFonts w:ascii="Times New Roman" w:hAnsi="Times New Roman" w:cs="Times New Roman"/>
          <w:sz w:val="24"/>
          <w:szCs w:val="24"/>
        </w:rPr>
      </w:pPr>
      <w:r w:rsidRPr="00300EC8">
        <w:rPr>
          <w:rFonts w:ascii="Times New Roman" w:hAnsi="Times New Roman" w:cs="Times New Roman"/>
          <w:sz w:val="24"/>
          <w:szCs w:val="24"/>
        </w:rPr>
        <w:t xml:space="preserve">SECTION 2 amends the existing statutory provision regarding the development of a turnaround plan for an underperforming school </w:t>
      </w:r>
      <w:r w:rsidR="003E0620" w:rsidRPr="00300EC8">
        <w:rPr>
          <w:rFonts w:ascii="Times New Roman" w:hAnsi="Times New Roman" w:cs="Times New Roman"/>
          <w:sz w:val="24"/>
          <w:szCs w:val="24"/>
        </w:rPr>
        <w:t xml:space="preserve">and provides </w:t>
      </w:r>
      <w:r w:rsidRPr="00300EC8">
        <w:rPr>
          <w:rFonts w:ascii="Times New Roman" w:hAnsi="Times New Roman" w:cs="Times New Roman"/>
          <w:sz w:val="24"/>
          <w:szCs w:val="24"/>
        </w:rPr>
        <w:t>that a school district superintendent</w:t>
      </w:r>
      <w:r w:rsidR="003E0620" w:rsidRPr="00300EC8">
        <w:rPr>
          <w:rFonts w:ascii="Times New Roman" w:hAnsi="Times New Roman" w:cs="Times New Roman"/>
          <w:sz w:val="24"/>
          <w:szCs w:val="24"/>
        </w:rPr>
        <w:t xml:space="preserve"> </w:t>
      </w:r>
      <w:r w:rsidRPr="00300EC8">
        <w:rPr>
          <w:rFonts w:ascii="Times New Roman" w:hAnsi="Times New Roman" w:cs="Times New Roman"/>
          <w:sz w:val="24"/>
          <w:szCs w:val="24"/>
        </w:rPr>
        <w:t xml:space="preserve">must submit the </w:t>
      </w:r>
      <w:r w:rsidR="003E0620" w:rsidRPr="00300EC8">
        <w:rPr>
          <w:rFonts w:ascii="Times New Roman" w:hAnsi="Times New Roman" w:cs="Times New Roman"/>
          <w:sz w:val="24"/>
          <w:szCs w:val="24"/>
        </w:rPr>
        <w:t xml:space="preserve">school </w:t>
      </w:r>
      <w:r w:rsidRPr="00300EC8">
        <w:rPr>
          <w:rFonts w:ascii="Times New Roman" w:hAnsi="Times New Roman" w:cs="Times New Roman"/>
          <w:sz w:val="24"/>
          <w:szCs w:val="24"/>
        </w:rPr>
        <w:t xml:space="preserve">turnaround plan to the Commissioner of Elementary and Secondary Education </w:t>
      </w:r>
      <w:r w:rsidR="003E0620" w:rsidRPr="00300EC8">
        <w:rPr>
          <w:rFonts w:ascii="Times New Roman" w:hAnsi="Times New Roman" w:cs="Times New Roman"/>
          <w:sz w:val="24"/>
          <w:szCs w:val="24"/>
        </w:rPr>
        <w:t xml:space="preserve">(Commissioner) </w:t>
      </w:r>
      <w:r w:rsidRPr="00300EC8">
        <w:rPr>
          <w:rFonts w:ascii="Times New Roman" w:hAnsi="Times New Roman" w:cs="Times New Roman"/>
          <w:sz w:val="24"/>
          <w:szCs w:val="24"/>
        </w:rPr>
        <w:t>for approval.</w:t>
      </w:r>
    </w:p>
    <w:p w14:paraId="4F0D63EA" w14:textId="77777777" w:rsidR="002C48AE" w:rsidRPr="00300EC8" w:rsidRDefault="002C48AE" w:rsidP="00A9230F">
      <w:pPr>
        <w:pStyle w:val="ListParagraph"/>
        <w:ind w:left="1080" w:hanging="720"/>
        <w:rPr>
          <w:rFonts w:ascii="Times New Roman" w:hAnsi="Times New Roman" w:cs="Times New Roman"/>
          <w:sz w:val="24"/>
          <w:szCs w:val="24"/>
        </w:rPr>
      </w:pPr>
    </w:p>
    <w:p w14:paraId="1D5D2DF0" w14:textId="292A8605" w:rsidR="002C48AE" w:rsidRPr="00300EC8" w:rsidRDefault="002C48AE" w:rsidP="00A9230F">
      <w:pPr>
        <w:pStyle w:val="ListParagraph"/>
        <w:numPr>
          <w:ilvl w:val="0"/>
          <w:numId w:val="2"/>
        </w:numPr>
        <w:ind w:left="1080" w:hanging="720"/>
        <w:rPr>
          <w:rFonts w:ascii="Times New Roman" w:hAnsi="Times New Roman" w:cs="Times New Roman"/>
          <w:sz w:val="24"/>
          <w:szCs w:val="24"/>
        </w:rPr>
      </w:pPr>
      <w:r w:rsidRPr="00300EC8">
        <w:rPr>
          <w:rFonts w:ascii="Times New Roman" w:hAnsi="Times New Roman" w:cs="Times New Roman"/>
          <w:sz w:val="24"/>
          <w:szCs w:val="24"/>
        </w:rPr>
        <w:t xml:space="preserve">SECTION </w:t>
      </w:r>
      <w:r w:rsidR="00FE735D" w:rsidRPr="00300EC8">
        <w:rPr>
          <w:rFonts w:ascii="Times New Roman" w:hAnsi="Times New Roman" w:cs="Times New Roman"/>
          <w:sz w:val="24"/>
          <w:szCs w:val="24"/>
        </w:rPr>
        <w:t xml:space="preserve">3 </w:t>
      </w:r>
      <w:r w:rsidR="003E0620" w:rsidRPr="00300EC8">
        <w:rPr>
          <w:rFonts w:ascii="Times New Roman" w:hAnsi="Times New Roman" w:cs="Times New Roman"/>
          <w:sz w:val="24"/>
          <w:szCs w:val="24"/>
        </w:rPr>
        <w:t>amends the existing statutory provision regarding the annual review of an underperforming school and includes the Commissioner, along with the superintendent and school principal, in the process of determining whether the school has met the annual goals of its turnaround plan and to assess the overall implementation of the turnaround plan.</w:t>
      </w:r>
    </w:p>
    <w:p w14:paraId="3B1253A3" w14:textId="77777777" w:rsidR="003E0620" w:rsidRPr="00300EC8" w:rsidRDefault="003E0620" w:rsidP="00A9230F">
      <w:pPr>
        <w:pStyle w:val="ListParagraph"/>
        <w:ind w:left="1080" w:hanging="720"/>
        <w:rPr>
          <w:rFonts w:ascii="Times New Roman" w:hAnsi="Times New Roman" w:cs="Times New Roman"/>
          <w:sz w:val="24"/>
          <w:szCs w:val="24"/>
        </w:rPr>
      </w:pPr>
    </w:p>
    <w:p w14:paraId="20033A8B" w14:textId="686EFA77" w:rsidR="003E0620" w:rsidRPr="00300EC8" w:rsidRDefault="00FE735D" w:rsidP="00A9230F">
      <w:pPr>
        <w:pStyle w:val="ListParagraph"/>
        <w:numPr>
          <w:ilvl w:val="0"/>
          <w:numId w:val="2"/>
        </w:numPr>
        <w:ind w:left="1080" w:hanging="720"/>
        <w:rPr>
          <w:rFonts w:ascii="Times New Roman" w:hAnsi="Times New Roman" w:cs="Times New Roman"/>
          <w:sz w:val="24"/>
          <w:szCs w:val="24"/>
        </w:rPr>
      </w:pPr>
      <w:r w:rsidRPr="00300EC8">
        <w:rPr>
          <w:rFonts w:ascii="Times New Roman" w:hAnsi="Times New Roman" w:cs="Times New Roman"/>
          <w:sz w:val="24"/>
          <w:szCs w:val="24"/>
        </w:rPr>
        <w:t>SECTION 4</w:t>
      </w:r>
      <w:r w:rsidR="003E0620" w:rsidRPr="00300EC8">
        <w:rPr>
          <w:rFonts w:ascii="Times New Roman" w:hAnsi="Times New Roman" w:cs="Times New Roman"/>
          <w:sz w:val="24"/>
          <w:szCs w:val="24"/>
        </w:rPr>
        <w:t xml:space="preserve"> clarifie</w:t>
      </w:r>
      <w:r w:rsidR="008D6B3C" w:rsidRPr="00300EC8">
        <w:rPr>
          <w:rFonts w:ascii="Times New Roman" w:hAnsi="Times New Roman" w:cs="Times New Roman"/>
          <w:sz w:val="24"/>
          <w:szCs w:val="24"/>
        </w:rPr>
        <w:t>s that the review addressed in s</w:t>
      </w:r>
      <w:r w:rsidR="003E0620" w:rsidRPr="00300EC8">
        <w:rPr>
          <w:rFonts w:ascii="Times New Roman" w:hAnsi="Times New Roman" w:cs="Times New Roman"/>
          <w:sz w:val="24"/>
          <w:szCs w:val="24"/>
        </w:rPr>
        <w:t xml:space="preserve">ection </w:t>
      </w:r>
      <w:r w:rsidR="00640532">
        <w:rPr>
          <w:rFonts w:ascii="Times New Roman" w:hAnsi="Times New Roman" w:cs="Times New Roman"/>
          <w:sz w:val="24"/>
          <w:szCs w:val="24"/>
        </w:rPr>
        <w:t>3</w:t>
      </w:r>
      <w:r w:rsidR="003E0620" w:rsidRPr="00300EC8">
        <w:rPr>
          <w:rFonts w:ascii="Times New Roman" w:hAnsi="Times New Roman" w:cs="Times New Roman"/>
          <w:sz w:val="24"/>
          <w:szCs w:val="24"/>
        </w:rPr>
        <w:t>, which must be done in writing, shall be submitted to the Department of Elementary and Secondary Education (Department), rather than the Commissioner.</w:t>
      </w:r>
    </w:p>
    <w:p w14:paraId="7321CDBC" w14:textId="77777777" w:rsidR="003E0620" w:rsidRPr="00300EC8" w:rsidRDefault="003E0620" w:rsidP="00A9230F">
      <w:pPr>
        <w:pStyle w:val="ListParagraph"/>
        <w:ind w:left="1080" w:hanging="720"/>
        <w:rPr>
          <w:rFonts w:ascii="Times New Roman" w:hAnsi="Times New Roman" w:cs="Times New Roman"/>
          <w:sz w:val="24"/>
          <w:szCs w:val="24"/>
        </w:rPr>
      </w:pPr>
    </w:p>
    <w:p w14:paraId="76C94FD7" w14:textId="72702468" w:rsidR="00FE735D" w:rsidRPr="00300EC8" w:rsidRDefault="00FE735D" w:rsidP="00A9230F">
      <w:pPr>
        <w:pStyle w:val="ListParagraph"/>
        <w:numPr>
          <w:ilvl w:val="0"/>
          <w:numId w:val="2"/>
        </w:numPr>
        <w:ind w:left="1080" w:hanging="720"/>
        <w:rPr>
          <w:rFonts w:ascii="Times New Roman" w:hAnsi="Times New Roman" w:cs="Times New Roman"/>
          <w:sz w:val="24"/>
          <w:szCs w:val="24"/>
        </w:rPr>
      </w:pPr>
      <w:r w:rsidRPr="00300EC8">
        <w:rPr>
          <w:rFonts w:ascii="Times New Roman" w:hAnsi="Times New Roman" w:cs="Times New Roman"/>
          <w:sz w:val="24"/>
          <w:szCs w:val="24"/>
        </w:rPr>
        <w:t>SECTION 5</w:t>
      </w:r>
      <w:r w:rsidR="003E0620" w:rsidRPr="00300EC8">
        <w:rPr>
          <w:rFonts w:ascii="Times New Roman" w:hAnsi="Times New Roman" w:cs="Times New Roman"/>
          <w:sz w:val="24"/>
          <w:szCs w:val="24"/>
        </w:rPr>
        <w:t xml:space="preserve"> </w:t>
      </w:r>
      <w:r w:rsidRPr="00300EC8">
        <w:rPr>
          <w:rFonts w:ascii="Times New Roman" w:hAnsi="Times New Roman" w:cs="Times New Roman"/>
          <w:sz w:val="24"/>
          <w:szCs w:val="24"/>
        </w:rPr>
        <w:t>effects the consolidation of two sentences in current law in conjunction with section 6.</w:t>
      </w:r>
    </w:p>
    <w:p w14:paraId="0249C947" w14:textId="77777777" w:rsidR="00FE735D" w:rsidRPr="00300EC8" w:rsidRDefault="00FE735D" w:rsidP="00FE735D">
      <w:pPr>
        <w:pStyle w:val="ListParagraph"/>
        <w:ind w:left="1080"/>
        <w:rPr>
          <w:rFonts w:ascii="Times New Roman" w:hAnsi="Times New Roman" w:cs="Times New Roman"/>
          <w:sz w:val="24"/>
          <w:szCs w:val="24"/>
        </w:rPr>
      </w:pPr>
    </w:p>
    <w:p w14:paraId="6876E353" w14:textId="763C9D5F" w:rsidR="0081036C" w:rsidRPr="00300EC8" w:rsidRDefault="00FE735D" w:rsidP="00A9230F">
      <w:pPr>
        <w:pStyle w:val="ListParagraph"/>
        <w:numPr>
          <w:ilvl w:val="0"/>
          <w:numId w:val="2"/>
        </w:numPr>
        <w:ind w:left="1080" w:hanging="720"/>
        <w:rPr>
          <w:rFonts w:ascii="Times New Roman" w:hAnsi="Times New Roman" w:cs="Times New Roman"/>
          <w:sz w:val="24"/>
          <w:szCs w:val="24"/>
        </w:rPr>
      </w:pPr>
      <w:r w:rsidRPr="00300EC8">
        <w:rPr>
          <w:rFonts w:ascii="Times New Roman" w:hAnsi="Times New Roman" w:cs="Times New Roman"/>
          <w:sz w:val="24"/>
          <w:szCs w:val="24"/>
        </w:rPr>
        <w:t xml:space="preserve">SECTION 6 effects the consolidation of two sentences in current law in conjunction with section 5 to clarify the authority of the Commissioner to address instances in which an underperforming school has substantially failed to meet </w:t>
      </w:r>
      <w:r w:rsidR="0081036C" w:rsidRPr="00300EC8">
        <w:rPr>
          <w:rFonts w:ascii="Times New Roman" w:hAnsi="Times New Roman" w:cs="Times New Roman"/>
          <w:sz w:val="24"/>
          <w:szCs w:val="24"/>
        </w:rPr>
        <w:t>1 or more goals in its plan.</w:t>
      </w:r>
    </w:p>
    <w:p w14:paraId="06017E21" w14:textId="09C8B9D9" w:rsidR="0081036C" w:rsidRPr="00300EC8" w:rsidRDefault="0081036C" w:rsidP="00A9230F">
      <w:pPr>
        <w:ind w:left="1080" w:hanging="720"/>
        <w:rPr>
          <w:rFonts w:ascii="Times New Roman" w:hAnsi="Times New Roman" w:cs="Times New Roman"/>
          <w:sz w:val="24"/>
          <w:szCs w:val="24"/>
        </w:rPr>
      </w:pPr>
    </w:p>
    <w:p w14:paraId="10DF337C" w14:textId="36BCF326" w:rsidR="0081036C" w:rsidRPr="00300EC8" w:rsidRDefault="0081036C" w:rsidP="00A9230F">
      <w:pPr>
        <w:pStyle w:val="ListParagraph"/>
        <w:numPr>
          <w:ilvl w:val="0"/>
          <w:numId w:val="2"/>
        </w:numPr>
        <w:ind w:left="1080" w:hanging="720"/>
        <w:rPr>
          <w:rFonts w:ascii="Times New Roman" w:hAnsi="Times New Roman" w:cs="Times New Roman"/>
          <w:sz w:val="24"/>
          <w:szCs w:val="24"/>
        </w:rPr>
      </w:pPr>
      <w:r w:rsidRPr="00300EC8">
        <w:rPr>
          <w:rFonts w:ascii="Times New Roman" w:hAnsi="Times New Roman" w:cs="Times New Roman"/>
          <w:sz w:val="24"/>
          <w:szCs w:val="24"/>
        </w:rPr>
        <w:t xml:space="preserve">SECTION 7 establishes the procedure for instances where the Commissioner requires changes to the turnaround plan for an underperforming school that impact collective bargaining.  The school committee and any affected union must reopen bargaining, conduct bargaining in good faith, and complete bargaining within 30 days.  If the parties are unable to reach agreement or the union members do not ratify the agreement within 10 business days, the parties shall submit any unresolved issues to a joint resolution committee.  If the joint resolution committee is unable to submit a unanimous decision within the specified timeframe, the Commissioner resolves any outstanding issues. </w:t>
      </w:r>
    </w:p>
    <w:p w14:paraId="66040AF8" w14:textId="56438CB3" w:rsidR="001236B9" w:rsidRPr="00300EC8" w:rsidRDefault="001236B9" w:rsidP="00A9230F">
      <w:pPr>
        <w:ind w:left="1080" w:hanging="720"/>
        <w:rPr>
          <w:rFonts w:ascii="Times New Roman" w:hAnsi="Times New Roman" w:cs="Times New Roman"/>
          <w:sz w:val="24"/>
          <w:szCs w:val="24"/>
        </w:rPr>
      </w:pPr>
    </w:p>
    <w:p w14:paraId="7B02F290" w14:textId="310DDFBF" w:rsidR="0081036C" w:rsidRPr="00300EC8" w:rsidRDefault="0081036C" w:rsidP="00A9230F">
      <w:pPr>
        <w:pStyle w:val="ListParagraph"/>
        <w:numPr>
          <w:ilvl w:val="0"/>
          <w:numId w:val="2"/>
        </w:numPr>
        <w:ind w:left="1080" w:hanging="720"/>
        <w:rPr>
          <w:rFonts w:ascii="Times New Roman" w:hAnsi="Times New Roman" w:cs="Times New Roman"/>
          <w:sz w:val="24"/>
          <w:szCs w:val="24"/>
        </w:rPr>
      </w:pPr>
      <w:r w:rsidRPr="00300EC8">
        <w:rPr>
          <w:rFonts w:ascii="Times New Roman" w:hAnsi="Times New Roman" w:cs="Times New Roman"/>
          <w:sz w:val="24"/>
          <w:szCs w:val="24"/>
        </w:rPr>
        <w:lastRenderedPageBreak/>
        <w:t xml:space="preserve">SECTION 8 </w:t>
      </w:r>
      <w:r w:rsidR="001236B9" w:rsidRPr="00300EC8">
        <w:rPr>
          <w:rFonts w:ascii="Times New Roman" w:hAnsi="Times New Roman" w:cs="Times New Roman"/>
          <w:sz w:val="24"/>
          <w:szCs w:val="24"/>
        </w:rPr>
        <w:t xml:space="preserve">adds a provision to general law to address instances in which a school district takes insufficient steps to implement changes to the turnaround plan of an underperforming school as directed by the Commissioner.  In such a situation, the Commissioner is empowered, effective at the beginning of the following school year, to place a share of the district’s chapter </w:t>
      </w:r>
      <w:proofErr w:type="gramStart"/>
      <w:r w:rsidR="001236B9" w:rsidRPr="00300EC8">
        <w:rPr>
          <w:rFonts w:ascii="Times New Roman" w:hAnsi="Times New Roman" w:cs="Times New Roman"/>
          <w:sz w:val="24"/>
          <w:szCs w:val="24"/>
        </w:rPr>
        <w:t>70 school</w:t>
      </w:r>
      <w:proofErr w:type="gramEnd"/>
      <w:r w:rsidR="001236B9" w:rsidRPr="00300EC8">
        <w:rPr>
          <w:rFonts w:ascii="Times New Roman" w:hAnsi="Times New Roman" w:cs="Times New Roman"/>
          <w:sz w:val="24"/>
          <w:szCs w:val="24"/>
        </w:rPr>
        <w:t xml:space="preserve"> aid allocation in the public school turnaround fund established in </w:t>
      </w:r>
      <w:r w:rsidR="008D6B3C" w:rsidRPr="00300EC8">
        <w:rPr>
          <w:rFonts w:ascii="Times New Roman" w:hAnsi="Times New Roman" w:cs="Times New Roman"/>
          <w:sz w:val="24"/>
          <w:szCs w:val="24"/>
        </w:rPr>
        <w:t>s</w:t>
      </w:r>
      <w:r w:rsidR="001236B9" w:rsidRPr="00300EC8">
        <w:rPr>
          <w:rFonts w:ascii="Times New Roman" w:hAnsi="Times New Roman" w:cs="Times New Roman"/>
          <w:sz w:val="24"/>
          <w:szCs w:val="24"/>
        </w:rPr>
        <w:t xml:space="preserve">ection 1 until Commissioner determines the district has implemented the required changes.  The maximum share that may be placed in the public school turnaround fund is determined by multiplying the </w:t>
      </w:r>
      <w:proofErr w:type="gramStart"/>
      <w:r w:rsidR="001236B9" w:rsidRPr="00300EC8">
        <w:rPr>
          <w:rFonts w:ascii="Times New Roman" w:hAnsi="Times New Roman" w:cs="Times New Roman"/>
          <w:sz w:val="24"/>
          <w:szCs w:val="24"/>
        </w:rPr>
        <w:t>district’s</w:t>
      </w:r>
      <w:proofErr w:type="gramEnd"/>
      <w:r w:rsidR="001236B9" w:rsidRPr="00300EC8">
        <w:rPr>
          <w:rFonts w:ascii="Times New Roman" w:hAnsi="Times New Roman" w:cs="Times New Roman"/>
          <w:sz w:val="24"/>
          <w:szCs w:val="24"/>
        </w:rPr>
        <w:t xml:space="preserve"> per pupil chapter 70 school aid by the number of students enrolled in the underperforming school.  In accounting for the withholding of these funds, a school district is barred from deducting funding from school-based budgets or from direct services to students.</w:t>
      </w:r>
    </w:p>
    <w:p w14:paraId="12375A5B" w14:textId="77777777" w:rsidR="001236B9" w:rsidRPr="00300EC8" w:rsidRDefault="001236B9" w:rsidP="00A9230F">
      <w:pPr>
        <w:pStyle w:val="ListParagraph"/>
        <w:ind w:left="1080" w:hanging="720"/>
        <w:rPr>
          <w:rFonts w:ascii="Times New Roman" w:hAnsi="Times New Roman" w:cs="Times New Roman"/>
          <w:sz w:val="24"/>
          <w:szCs w:val="24"/>
        </w:rPr>
      </w:pPr>
    </w:p>
    <w:p w14:paraId="5C331058" w14:textId="048B832C" w:rsidR="00A9230F" w:rsidRPr="00300EC8" w:rsidRDefault="001236B9" w:rsidP="00A9230F">
      <w:pPr>
        <w:pStyle w:val="ListParagraph"/>
        <w:numPr>
          <w:ilvl w:val="0"/>
          <w:numId w:val="2"/>
        </w:numPr>
        <w:ind w:left="1080" w:hanging="720"/>
        <w:rPr>
          <w:rFonts w:ascii="Times New Roman" w:hAnsi="Times New Roman" w:cs="Times New Roman"/>
          <w:sz w:val="24"/>
          <w:szCs w:val="24"/>
        </w:rPr>
      </w:pPr>
      <w:r w:rsidRPr="00300EC8">
        <w:rPr>
          <w:rFonts w:ascii="Times New Roman" w:hAnsi="Times New Roman" w:cs="Times New Roman"/>
          <w:sz w:val="24"/>
          <w:szCs w:val="24"/>
        </w:rPr>
        <w:t xml:space="preserve">SECTION 9 updates an existing statutory provision to align it with the changes made in </w:t>
      </w:r>
      <w:r w:rsidR="008D6B3C" w:rsidRPr="00300EC8">
        <w:rPr>
          <w:rFonts w:ascii="Times New Roman" w:hAnsi="Times New Roman" w:cs="Times New Roman"/>
          <w:sz w:val="24"/>
          <w:szCs w:val="24"/>
        </w:rPr>
        <w:t>s</w:t>
      </w:r>
      <w:r w:rsidRPr="00300EC8">
        <w:rPr>
          <w:rFonts w:ascii="Times New Roman" w:hAnsi="Times New Roman" w:cs="Times New Roman"/>
          <w:sz w:val="24"/>
          <w:szCs w:val="24"/>
        </w:rPr>
        <w:t>ections 2-8.</w:t>
      </w:r>
    </w:p>
    <w:p w14:paraId="573DB31D" w14:textId="73F60F5D" w:rsidR="00A9230F" w:rsidRPr="00300EC8" w:rsidRDefault="00A9230F" w:rsidP="00A9230F">
      <w:pPr>
        <w:pStyle w:val="ListParagraph"/>
        <w:ind w:left="1080" w:hanging="720"/>
        <w:rPr>
          <w:rFonts w:ascii="Times New Roman" w:hAnsi="Times New Roman" w:cs="Times New Roman"/>
          <w:sz w:val="24"/>
          <w:szCs w:val="24"/>
        </w:rPr>
      </w:pPr>
    </w:p>
    <w:p w14:paraId="06482914" w14:textId="09B6DCAA" w:rsidR="0067792F" w:rsidRPr="00300EC8" w:rsidRDefault="0040056D" w:rsidP="0067792F">
      <w:pPr>
        <w:pStyle w:val="ListParagraph"/>
        <w:numPr>
          <w:ilvl w:val="0"/>
          <w:numId w:val="2"/>
        </w:numPr>
        <w:ind w:left="1080" w:hanging="720"/>
        <w:rPr>
          <w:rFonts w:ascii="Times New Roman" w:hAnsi="Times New Roman" w:cs="Times New Roman"/>
          <w:sz w:val="24"/>
          <w:szCs w:val="24"/>
        </w:rPr>
      </w:pPr>
      <w:r w:rsidRPr="00300EC8">
        <w:rPr>
          <w:rFonts w:ascii="Times New Roman" w:hAnsi="Times New Roman" w:cs="Times New Roman"/>
          <w:sz w:val="24"/>
          <w:szCs w:val="24"/>
        </w:rPr>
        <w:t xml:space="preserve">SECTION </w:t>
      </w:r>
      <w:r w:rsidR="001236B9" w:rsidRPr="00300EC8">
        <w:rPr>
          <w:rFonts w:ascii="Times New Roman" w:hAnsi="Times New Roman" w:cs="Times New Roman"/>
          <w:sz w:val="24"/>
          <w:szCs w:val="24"/>
        </w:rPr>
        <w:t>10</w:t>
      </w:r>
      <w:r w:rsidR="002C48AE" w:rsidRPr="00300EC8">
        <w:rPr>
          <w:rFonts w:ascii="Times New Roman" w:hAnsi="Times New Roman" w:cs="Times New Roman"/>
          <w:sz w:val="24"/>
          <w:szCs w:val="24"/>
        </w:rPr>
        <w:t xml:space="preserve"> replaces </w:t>
      </w:r>
      <w:r w:rsidR="001236B9" w:rsidRPr="00300EC8">
        <w:rPr>
          <w:rFonts w:ascii="Times New Roman" w:hAnsi="Times New Roman" w:cs="Times New Roman"/>
          <w:sz w:val="24"/>
          <w:szCs w:val="24"/>
        </w:rPr>
        <w:t xml:space="preserve">the existing section of general law that defines the elements of the Commonwealth’s formula for funding public schools.  </w:t>
      </w:r>
      <w:r w:rsidR="0067792F" w:rsidRPr="00300EC8">
        <w:rPr>
          <w:rFonts w:ascii="Times New Roman" w:hAnsi="Times New Roman" w:cs="Times New Roman"/>
          <w:sz w:val="24"/>
          <w:szCs w:val="24"/>
        </w:rPr>
        <w:t>Specifically</w:t>
      </w:r>
      <w:r w:rsidR="00A9230F" w:rsidRPr="00300EC8">
        <w:rPr>
          <w:rFonts w:ascii="Times New Roman" w:hAnsi="Times New Roman" w:cs="Times New Roman"/>
          <w:sz w:val="24"/>
          <w:szCs w:val="24"/>
        </w:rPr>
        <w:t>, t</w:t>
      </w:r>
      <w:r w:rsidR="001236B9" w:rsidRPr="00300EC8">
        <w:rPr>
          <w:rFonts w:ascii="Times New Roman" w:hAnsi="Times New Roman" w:cs="Times New Roman"/>
          <w:sz w:val="24"/>
          <w:szCs w:val="24"/>
        </w:rPr>
        <w:t>his section deletes a number of</w:t>
      </w:r>
      <w:r w:rsidR="004F2066" w:rsidRPr="00300EC8">
        <w:rPr>
          <w:rFonts w:ascii="Times New Roman" w:hAnsi="Times New Roman" w:cs="Times New Roman"/>
          <w:sz w:val="24"/>
          <w:szCs w:val="24"/>
        </w:rPr>
        <w:t xml:space="preserve"> </w:t>
      </w:r>
      <w:r w:rsidR="001236B9" w:rsidRPr="00300EC8">
        <w:rPr>
          <w:rFonts w:ascii="Times New Roman" w:hAnsi="Times New Roman" w:cs="Times New Roman"/>
          <w:sz w:val="24"/>
          <w:szCs w:val="24"/>
        </w:rPr>
        <w:t>terms no longer used in the formula</w:t>
      </w:r>
      <w:r w:rsidR="00A9230F" w:rsidRPr="00300EC8">
        <w:rPr>
          <w:rFonts w:ascii="Times New Roman" w:hAnsi="Times New Roman" w:cs="Times New Roman"/>
          <w:sz w:val="24"/>
          <w:szCs w:val="24"/>
        </w:rPr>
        <w:t xml:space="preserve"> and </w:t>
      </w:r>
      <w:r w:rsidR="001236B9" w:rsidRPr="00300EC8">
        <w:rPr>
          <w:rFonts w:ascii="Times New Roman" w:hAnsi="Times New Roman" w:cs="Times New Roman"/>
          <w:sz w:val="24"/>
          <w:szCs w:val="24"/>
        </w:rPr>
        <w:t>adds terms and concepts</w:t>
      </w:r>
      <w:r w:rsidR="0067792F" w:rsidRPr="00300EC8">
        <w:rPr>
          <w:rFonts w:ascii="Times New Roman" w:hAnsi="Times New Roman" w:cs="Times New Roman"/>
          <w:sz w:val="24"/>
          <w:szCs w:val="24"/>
        </w:rPr>
        <w:t xml:space="preserve">, including many that have not existed in general law but that </w:t>
      </w:r>
      <w:proofErr w:type="gramStart"/>
      <w:r w:rsidR="0067792F" w:rsidRPr="00300EC8">
        <w:rPr>
          <w:rFonts w:ascii="Times New Roman" w:hAnsi="Times New Roman" w:cs="Times New Roman"/>
          <w:sz w:val="24"/>
          <w:szCs w:val="24"/>
        </w:rPr>
        <w:t>have been incorporated</w:t>
      </w:r>
      <w:proofErr w:type="gramEnd"/>
      <w:r w:rsidR="0067792F" w:rsidRPr="00300EC8">
        <w:rPr>
          <w:rFonts w:ascii="Times New Roman" w:hAnsi="Times New Roman" w:cs="Times New Roman"/>
          <w:sz w:val="24"/>
          <w:szCs w:val="24"/>
        </w:rPr>
        <w:t xml:space="preserve"> for years in annual state budget language</w:t>
      </w:r>
      <w:r w:rsidR="00A9230F" w:rsidRPr="00300EC8">
        <w:rPr>
          <w:rFonts w:ascii="Times New Roman" w:hAnsi="Times New Roman" w:cs="Times New Roman"/>
          <w:sz w:val="24"/>
          <w:szCs w:val="24"/>
        </w:rPr>
        <w:t>, such as the aggregate wealth model for calculating local contributions,</w:t>
      </w:r>
      <w:r w:rsidR="001236B9" w:rsidRPr="00300EC8">
        <w:rPr>
          <w:rFonts w:ascii="Times New Roman" w:hAnsi="Times New Roman" w:cs="Times New Roman"/>
          <w:sz w:val="24"/>
          <w:szCs w:val="24"/>
        </w:rPr>
        <w:t xml:space="preserve"> </w:t>
      </w:r>
      <w:r w:rsidR="00A9230F" w:rsidRPr="00300EC8">
        <w:rPr>
          <w:rFonts w:ascii="Times New Roman" w:hAnsi="Times New Roman" w:cs="Times New Roman"/>
          <w:sz w:val="24"/>
          <w:szCs w:val="24"/>
        </w:rPr>
        <w:t xml:space="preserve">effectively conforming terminology to current practice.  </w:t>
      </w:r>
      <w:r w:rsidR="0067792F" w:rsidRPr="00300EC8">
        <w:rPr>
          <w:rFonts w:ascii="Times New Roman" w:hAnsi="Times New Roman" w:cs="Times New Roman"/>
          <w:sz w:val="24"/>
          <w:szCs w:val="24"/>
        </w:rPr>
        <w:t>Additionally</w:t>
      </w:r>
      <w:r w:rsidR="00A9230F" w:rsidRPr="00300EC8">
        <w:rPr>
          <w:rFonts w:ascii="Times New Roman" w:hAnsi="Times New Roman" w:cs="Times New Roman"/>
          <w:sz w:val="24"/>
          <w:szCs w:val="24"/>
        </w:rPr>
        <w:t xml:space="preserve">, </w:t>
      </w:r>
      <w:r w:rsidR="004E43B9" w:rsidRPr="00300EC8">
        <w:rPr>
          <w:rFonts w:ascii="Times New Roman" w:hAnsi="Times New Roman" w:cs="Times New Roman"/>
          <w:sz w:val="24"/>
          <w:szCs w:val="24"/>
        </w:rPr>
        <w:t>a</w:t>
      </w:r>
      <w:r w:rsidR="009F63DC" w:rsidRPr="00300EC8">
        <w:rPr>
          <w:rFonts w:ascii="Times New Roman" w:hAnsi="Times New Roman" w:cs="Times New Roman"/>
          <w:sz w:val="24"/>
          <w:szCs w:val="24"/>
        </w:rPr>
        <w:t xml:space="preserve"> high needs concentration </w:t>
      </w:r>
      <w:r w:rsidR="004E43B9" w:rsidRPr="00300EC8">
        <w:rPr>
          <w:rFonts w:ascii="Times New Roman" w:hAnsi="Times New Roman" w:cs="Times New Roman"/>
          <w:sz w:val="24"/>
          <w:szCs w:val="24"/>
        </w:rPr>
        <w:t>increment of funding for those districts with the highest rates of economically disadvantaged students and a significant percentage of English learners</w:t>
      </w:r>
      <w:r w:rsidR="00A9230F" w:rsidRPr="00300EC8">
        <w:rPr>
          <w:rFonts w:ascii="Times New Roman" w:hAnsi="Times New Roman" w:cs="Times New Roman"/>
          <w:sz w:val="24"/>
          <w:szCs w:val="24"/>
        </w:rPr>
        <w:t xml:space="preserve"> is incorporated.</w:t>
      </w:r>
    </w:p>
    <w:p w14:paraId="0ECED5DD" w14:textId="77777777" w:rsidR="0067792F" w:rsidRPr="00300EC8" w:rsidRDefault="0067792F" w:rsidP="0067792F">
      <w:pPr>
        <w:pStyle w:val="ListParagraph"/>
        <w:ind w:left="1080"/>
        <w:rPr>
          <w:rFonts w:ascii="Times New Roman" w:hAnsi="Times New Roman" w:cs="Times New Roman"/>
          <w:sz w:val="24"/>
          <w:szCs w:val="24"/>
        </w:rPr>
      </w:pPr>
    </w:p>
    <w:p w14:paraId="621CFCE7" w14:textId="2851FEDE" w:rsidR="00B3078E" w:rsidRPr="00300EC8" w:rsidRDefault="001416DB" w:rsidP="00B3078E">
      <w:pPr>
        <w:pStyle w:val="ListParagraph"/>
        <w:numPr>
          <w:ilvl w:val="0"/>
          <w:numId w:val="2"/>
        </w:numPr>
        <w:ind w:left="1080" w:hanging="720"/>
        <w:rPr>
          <w:rFonts w:ascii="Times New Roman" w:hAnsi="Times New Roman" w:cs="Times New Roman"/>
          <w:sz w:val="24"/>
          <w:szCs w:val="24"/>
        </w:rPr>
      </w:pPr>
      <w:r w:rsidRPr="00300EC8">
        <w:rPr>
          <w:rFonts w:ascii="Times New Roman" w:hAnsi="Times New Roman" w:cs="Times New Roman"/>
          <w:sz w:val="24"/>
          <w:szCs w:val="24"/>
        </w:rPr>
        <w:t xml:space="preserve">SECTION </w:t>
      </w:r>
      <w:r w:rsidR="0067792F" w:rsidRPr="00300EC8">
        <w:rPr>
          <w:rFonts w:ascii="Times New Roman" w:hAnsi="Times New Roman" w:cs="Times New Roman"/>
          <w:sz w:val="24"/>
          <w:szCs w:val="24"/>
        </w:rPr>
        <w:t xml:space="preserve">11 inserts tables establishing the foundation budget rates, codifying the Commonwealth’s commitment to public school funding.  In conjunction with </w:t>
      </w:r>
      <w:r w:rsidR="008D6B3C" w:rsidRPr="00300EC8">
        <w:rPr>
          <w:rFonts w:ascii="Times New Roman" w:hAnsi="Times New Roman" w:cs="Times New Roman"/>
          <w:sz w:val="24"/>
          <w:szCs w:val="24"/>
        </w:rPr>
        <w:t>s</w:t>
      </w:r>
      <w:r w:rsidR="0067792F" w:rsidRPr="00300EC8">
        <w:rPr>
          <w:rFonts w:ascii="Times New Roman" w:hAnsi="Times New Roman" w:cs="Times New Roman"/>
          <w:sz w:val="24"/>
          <w:szCs w:val="24"/>
        </w:rPr>
        <w:t xml:space="preserve">ection 10, this </w:t>
      </w:r>
      <w:r w:rsidR="008D6B3C" w:rsidRPr="00300EC8">
        <w:rPr>
          <w:rFonts w:ascii="Times New Roman" w:hAnsi="Times New Roman" w:cs="Times New Roman"/>
          <w:sz w:val="24"/>
          <w:szCs w:val="24"/>
        </w:rPr>
        <w:t>s</w:t>
      </w:r>
      <w:r w:rsidR="0067792F" w:rsidRPr="00300EC8">
        <w:rPr>
          <w:rFonts w:ascii="Times New Roman" w:hAnsi="Times New Roman" w:cs="Times New Roman"/>
          <w:sz w:val="24"/>
          <w:szCs w:val="24"/>
        </w:rPr>
        <w:t xml:space="preserve">ection effects substantial updates to the school funding formula and </w:t>
      </w:r>
      <w:r w:rsidR="00B3078E" w:rsidRPr="00300EC8">
        <w:rPr>
          <w:rFonts w:ascii="Times New Roman" w:hAnsi="Times New Roman" w:cs="Times New Roman"/>
          <w:sz w:val="24"/>
          <w:szCs w:val="24"/>
        </w:rPr>
        <w:t xml:space="preserve">reflects </w:t>
      </w:r>
      <w:r w:rsidR="0067792F" w:rsidRPr="00300EC8">
        <w:rPr>
          <w:rFonts w:ascii="Times New Roman" w:hAnsi="Times New Roman" w:cs="Times New Roman"/>
          <w:sz w:val="24"/>
          <w:szCs w:val="24"/>
        </w:rPr>
        <w:t>recommendations of the Fou</w:t>
      </w:r>
      <w:r w:rsidR="00B816F8" w:rsidRPr="00300EC8">
        <w:rPr>
          <w:rFonts w:ascii="Times New Roman" w:hAnsi="Times New Roman" w:cs="Times New Roman"/>
          <w:sz w:val="24"/>
          <w:szCs w:val="24"/>
        </w:rPr>
        <w:t>ndation Budget Review Commission</w:t>
      </w:r>
      <w:r w:rsidR="00B3078E" w:rsidRPr="00300EC8">
        <w:rPr>
          <w:rFonts w:ascii="Times New Roman" w:hAnsi="Times New Roman" w:cs="Times New Roman"/>
          <w:sz w:val="24"/>
          <w:szCs w:val="24"/>
        </w:rPr>
        <w:t xml:space="preserve">.  Specifically, consistent with the Commission’s recommendations, certain components of the formula (employee benefits, including health insurance, and guidance and psychological services) and certain categories of students (English learners, economically disadvantaged students, and students with disabilities who attend out of district placements) will be increased significantly, and at a rate greater than inflation.  The rates table also incorporates the additional funding for those districts that educate a student population with the highest rates of economically disadvantaged students and a significant percentage of English learners.  </w:t>
      </w:r>
    </w:p>
    <w:p w14:paraId="7DB9EEC9" w14:textId="77777777" w:rsidR="00B3078E" w:rsidRPr="00300EC8" w:rsidRDefault="00B3078E" w:rsidP="00B3078E">
      <w:pPr>
        <w:pStyle w:val="ListParagraph"/>
        <w:rPr>
          <w:rFonts w:ascii="Times New Roman" w:hAnsi="Times New Roman" w:cs="Times New Roman"/>
          <w:sz w:val="24"/>
          <w:szCs w:val="24"/>
        </w:rPr>
      </w:pPr>
    </w:p>
    <w:p w14:paraId="71C6377B" w14:textId="0B63EE68" w:rsidR="00B3078E" w:rsidRPr="00300EC8" w:rsidRDefault="00F54720" w:rsidP="00B3078E">
      <w:pPr>
        <w:pStyle w:val="ListParagraph"/>
        <w:ind w:left="1080"/>
        <w:rPr>
          <w:rFonts w:ascii="Times New Roman" w:hAnsi="Times New Roman" w:cs="Times New Roman"/>
          <w:sz w:val="24"/>
          <w:szCs w:val="24"/>
        </w:rPr>
      </w:pPr>
      <w:r w:rsidRPr="00300EC8">
        <w:rPr>
          <w:rFonts w:ascii="Times New Roman" w:hAnsi="Times New Roman" w:cs="Times New Roman"/>
          <w:sz w:val="24"/>
          <w:szCs w:val="24"/>
        </w:rPr>
        <w:t xml:space="preserve">The rates </w:t>
      </w:r>
      <w:r w:rsidR="00B3078E" w:rsidRPr="00300EC8">
        <w:rPr>
          <w:rFonts w:ascii="Times New Roman" w:hAnsi="Times New Roman" w:cs="Times New Roman"/>
          <w:sz w:val="24"/>
          <w:szCs w:val="24"/>
        </w:rPr>
        <w:t xml:space="preserve">identified </w:t>
      </w:r>
      <w:r w:rsidRPr="00300EC8">
        <w:rPr>
          <w:rFonts w:ascii="Times New Roman" w:hAnsi="Times New Roman" w:cs="Times New Roman"/>
          <w:sz w:val="24"/>
          <w:szCs w:val="24"/>
        </w:rPr>
        <w:t xml:space="preserve">in these categories are goal rates and reflect the </w:t>
      </w:r>
      <w:r w:rsidR="00B3078E" w:rsidRPr="00300EC8">
        <w:rPr>
          <w:rFonts w:ascii="Times New Roman" w:hAnsi="Times New Roman" w:cs="Times New Roman"/>
          <w:sz w:val="24"/>
          <w:szCs w:val="24"/>
        </w:rPr>
        <w:t xml:space="preserve">updated </w:t>
      </w:r>
      <w:r w:rsidRPr="00300EC8">
        <w:rPr>
          <w:rFonts w:ascii="Times New Roman" w:hAnsi="Times New Roman" w:cs="Times New Roman"/>
          <w:sz w:val="24"/>
          <w:szCs w:val="24"/>
        </w:rPr>
        <w:t xml:space="preserve">foundation budget when fully implemented (but before </w:t>
      </w:r>
      <w:r w:rsidR="00B3078E" w:rsidRPr="00300EC8">
        <w:rPr>
          <w:rFonts w:ascii="Times New Roman" w:hAnsi="Times New Roman" w:cs="Times New Roman"/>
          <w:sz w:val="24"/>
          <w:szCs w:val="24"/>
        </w:rPr>
        <w:t xml:space="preserve">adjustments </w:t>
      </w:r>
      <w:r w:rsidRPr="00300EC8">
        <w:rPr>
          <w:rFonts w:ascii="Times New Roman" w:hAnsi="Times New Roman" w:cs="Times New Roman"/>
          <w:sz w:val="24"/>
          <w:szCs w:val="24"/>
        </w:rPr>
        <w:t xml:space="preserve">for inflation). </w:t>
      </w:r>
      <w:r w:rsidR="00B3078E" w:rsidRPr="00300EC8">
        <w:rPr>
          <w:rFonts w:ascii="Times New Roman" w:hAnsi="Times New Roman" w:cs="Times New Roman"/>
          <w:sz w:val="24"/>
          <w:szCs w:val="24"/>
        </w:rPr>
        <w:t xml:space="preserve"> </w:t>
      </w:r>
      <w:r w:rsidRPr="00300EC8">
        <w:rPr>
          <w:rFonts w:ascii="Times New Roman" w:hAnsi="Times New Roman" w:cs="Times New Roman"/>
          <w:sz w:val="24"/>
          <w:szCs w:val="24"/>
        </w:rPr>
        <w:t xml:space="preserve">The </w:t>
      </w:r>
      <w:r w:rsidR="00A41494" w:rsidRPr="00300EC8">
        <w:rPr>
          <w:rFonts w:ascii="Times New Roman" w:hAnsi="Times New Roman" w:cs="Times New Roman"/>
          <w:sz w:val="24"/>
          <w:szCs w:val="24"/>
        </w:rPr>
        <w:t xml:space="preserve">goal rate </w:t>
      </w:r>
      <w:r w:rsidRPr="00300EC8">
        <w:rPr>
          <w:rFonts w:ascii="Times New Roman" w:hAnsi="Times New Roman" w:cs="Times New Roman"/>
          <w:sz w:val="24"/>
          <w:szCs w:val="24"/>
        </w:rPr>
        <w:t xml:space="preserve">for each </w:t>
      </w:r>
      <w:r w:rsidR="00A41494" w:rsidRPr="00300EC8">
        <w:rPr>
          <w:rFonts w:ascii="Times New Roman" w:hAnsi="Times New Roman" w:cs="Times New Roman"/>
          <w:sz w:val="24"/>
          <w:szCs w:val="24"/>
        </w:rPr>
        <w:t xml:space="preserve">of these categories </w:t>
      </w:r>
      <w:r w:rsidRPr="00300EC8">
        <w:rPr>
          <w:rFonts w:ascii="Times New Roman" w:hAnsi="Times New Roman" w:cs="Times New Roman"/>
          <w:sz w:val="24"/>
          <w:szCs w:val="24"/>
        </w:rPr>
        <w:t xml:space="preserve">is </w:t>
      </w:r>
      <w:r w:rsidR="00A41494" w:rsidRPr="00300EC8">
        <w:rPr>
          <w:rFonts w:ascii="Times New Roman" w:hAnsi="Times New Roman" w:cs="Times New Roman"/>
          <w:sz w:val="24"/>
          <w:szCs w:val="24"/>
        </w:rPr>
        <w:t xml:space="preserve">to be achieved over the course of </w:t>
      </w:r>
      <w:r w:rsidR="00B3078E" w:rsidRPr="00300EC8">
        <w:rPr>
          <w:rFonts w:ascii="Times New Roman" w:hAnsi="Times New Roman" w:cs="Times New Roman"/>
          <w:sz w:val="24"/>
          <w:szCs w:val="24"/>
        </w:rPr>
        <w:t xml:space="preserve">seven </w:t>
      </w:r>
      <w:r w:rsidR="00A41494" w:rsidRPr="00300EC8">
        <w:rPr>
          <w:rFonts w:ascii="Times New Roman" w:hAnsi="Times New Roman" w:cs="Times New Roman"/>
          <w:sz w:val="24"/>
          <w:szCs w:val="24"/>
        </w:rPr>
        <w:t xml:space="preserve">years. </w:t>
      </w:r>
      <w:r w:rsidR="00B3078E" w:rsidRPr="00300EC8">
        <w:rPr>
          <w:rFonts w:ascii="Times New Roman" w:hAnsi="Times New Roman" w:cs="Times New Roman"/>
          <w:sz w:val="24"/>
          <w:szCs w:val="24"/>
        </w:rPr>
        <w:t xml:space="preserve"> </w:t>
      </w:r>
      <w:r w:rsidR="00A41494" w:rsidRPr="00300EC8">
        <w:rPr>
          <w:rFonts w:ascii="Times New Roman" w:hAnsi="Times New Roman" w:cs="Times New Roman"/>
          <w:sz w:val="24"/>
          <w:szCs w:val="24"/>
        </w:rPr>
        <w:t xml:space="preserve">The specific increased increment in each of these categories will be found in </w:t>
      </w:r>
      <w:r w:rsidR="00A41494" w:rsidRPr="00300EC8">
        <w:rPr>
          <w:rFonts w:ascii="Times New Roman" w:hAnsi="Times New Roman" w:cs="Times New Roman"/>
          <w:sz w:val="24"/>
          <w:szCs w:val="24"/>
        </w:rPr>
        <w:lastRenderedPageBreak/>
        <w:t xml:space="preserve">the </w:t>
      </w:r>
      <w:r w:rsidR="00B3078E" w:rsidRPr="00300EC8">
        <w:rPr>
          <w:rFonts w:ascii="Times New Roman" w:hAnsi="Times New Roman" w:cs="Times New Roman"/>
          <w:sz w:val="24"/>
          <w:szCs w:val="24"/>
        </w:rPr>
        <w:t xml:space="preserve">annual Commonwealth </w:t>
      </w:r>
      <w:r w:rsidR="00A41494" w:rsidRPr="00300EC8">
        <w:rPr>
          <w:rFonts w:ascii="Times New Roman" w:hAnsi="Times New Roman" w:cs="Times New Roman"/>
          <w:sz w:val="24"/>
          <w:szCs w:val="24"/>
        </w:rPr>
        <w:t xml:space="preserve">budget. </w:t>
      </w:r>
      <w:r w:rsidR="00B3078E" w:rsidRPr="00300EC8">
        <w:rPr>
          <w:rFonts w:ascii="Times New Roman" w:hAnsi="Times New Roman" w:cs="Times New Roman"/>
          <w:sz w:val="24"/>
          <w:szCs w:val="24"/>
        </w:rPr>
        <w:t xml:space="preserve"> </w:t>
      </w:r>
      <w:r w:rsidR="00A41494" w:rsidRPr="00300EC8">
        <w:rPr>
          <w:rFonts w:ascii="Times New Roman" w:hAnsi="Times New Roman" w:cs="Times New Roman"/>
          <w:sz w:val="24"/>
          <w:szCs w:val="24"/>
        </w:rPr>
        <w:t xml:space="preserve">In all other categories, the component rates will increase consistent with inflation, and those rates are contained in the tables </w:t>
      </w:r>
      <w:r w:rsidR="008B426D" w:rsidRPr="00300EC8">
        <w:rPr>
          <w:rFonts w:ascii="Times New Roman" w:hAnsi="Times New Roman" w:cs="Times New Roman"/>
          <w:sz w:val="24"/>
          <w:szCs w:val="24"/>
        </w:rPr>
        <w:t>in this section</w:t>
      </w:r>
      <w:r w:rsidR="00A41494" w:rsidRPr="00300EC8">
        <w:rPr>
          <w:rFonts w:ascii="Times New Roman" w:hAnsi="Times New Roman" w:cs="Times New Roman"/>
          <w:sz w:val="24"/>
          <w:szCs w:val="24"/>
        </w:rPr>
        <w:t>.</w:t>
      </w:r>
      <w:r w:rsidRPr="00300EC8">
        <w:rPr>
          <w:rFonts w:ascii="Times New Roman" w:hAnsi="Times New Roman" w:cs="Times New Roman"/>
          <w:sz w:val="24"/>
          <w:szCs w:val="24"/>
        </w:rPr>
        <w:t xml:space="preserve"> </w:t>
      </w:r>
      <w:r w:rsidR="008B426D" w:rsidRPr="00300EC8">
        <w:rPr>
          <w:rFonts w:ascii="Times New Roman" w:hAnsi="Times New Roman" w:cs="Times New Roman"/>
          <w:sz w:val="24"/>
          <w:szCs w:val="24"/>
        </w:rPr>
        <w:t xml:space="preserve"> This section </w:t>
      </w:r>
      <w:r w:rsidRPr="00300EC8">
        <w:rPr>
          <w:rFonts w:ascii="Times New Roman" w:hAnsi="Times New Roman" w:cs="Times New Roman"/>
          <w:sz w:val="24"/>
          <w:szCs w:val="24"/>
        </w:rPr>
        <w:t>also includes updated provisions for annual inflation adjustments.</w:t>
      </w:r>
    </w:p>
    <w:p w14:paraId="32B5CAD4" w14:textId="77777777" w:rsidR="008B426D" w:rsidRPr="00300EC8" w:rsidRDefault="008B426D" w:rsidP="00B3078E">
      <w:pPr>
        <w:pStyle w:val="ListParagraph"/>
        <w:ind w:left="1080"/>
        <w:rPr>
          <w:rFonts w:ascii="Times New Roman" w:hAnsi="Times New Roman" w:cs="Times New Roman"/>
          <w:sz w:val="24"/>
          <w:szCs w:val="24"/>
        </w:rPr>
      </w:pPr>
    </w:p>
    <w:p w14:paraId="0332F88B" w14:textId="65D5E963" w:rsidR="008B426D" w:rsidRPr="00300EC8" w:rsidRDefault="008B426D" w:rsidP="00B3078E">
      <w:pPr>
        <w:pStyle w:val="ListParagraph"/>
        <w:ind w:left="1080"/>
        <w:rPr>
          <w:rFonts w:ascii="Times New Roman" w:hAnsi="Times New Roman" w:cs="Times New Roman"/>
          <w:sz w:val="24"/>
          <w:szCs w:val="24"/>
        </w:rPr>
      </w:pPr>
      <w:r w:rsidRPr="00300EC8">
        <w:rPr>
          <w:rFonts w:ascii="Times New Roman" w:hAnsi="Times New Roman" w:cs="Times New Roman"/>
          <w:sz w:val="24"/>
          <w:szCs w:val="24"/>
        </w:rPr>
        <w:t>The first table demonstrates how the foundation budget is calculated for each category of pupil, based on grade level.  It includes costs in 11 categories, including, among others, administration, teachers, pupil services, operations and maintenance, employee benefits, and special education tuition.  A second table provides additional per pupil foundation budget increases in relevant cost categories for pupils who are economically disadvantaged or English learners, terms defined in section 10.  The rates table provides for higher rates for the education of older English learners and for each economically disadvantaged student in districts with higher concentrations of economically disadvantaged students.  This table also contains a high needs concentration increment for each economically disadvantaged student in districts with the highest rates of economically disadvantaged students and significant rates of English learners.</w:t>
      </w:r>
    </w:p>
    <w:p w14:paraId="13BDCFE5" w14:textId="77777777" w:rsidR="008B426D" w:rsidRPr="00300EC8" w:rsidRDefault="008B426D" w:rsidP="00B3078E">
      <w:pPr>
        <w:pStyle w:val="ListParagraph"/>
        <w:ind w:left="1080"/>
        <w:rPr>
          <w:rFonts w:ascii="Times New Roman" w:hAnsi="Times New Roman" w:cs="Times New Roman"/>
          <w:sz w:val="24"/>
          <w:szCs w:val="24"/>
        </w:rPr>
      </w:pPr>
    </w:p>
    <w:p w14:paraId="70649F7F" w14:textId="274DCD8A" w:rsidR="007255C2" w:rsidRPr="00300EC8" w:rsidRDefault="00392621" w:rsidP="007255C2">
      <w:pPr>
        <w:pStyle w:val="ListParagraph"/>
        <w:numPr>
          <w:ilvl w:val="0"/>
          <w:numId w:val="2"/>
        </w:numPr>
        <w:ind w:left="1080" w:hanging="720"/>
        <w:rPr>
          <w:rFonts w:ascii="Times New Roman" w:hAnsi="Times New Roman" w:cs="Times New Roman"/>
          <w:sz w:val="24"/>
          <w:szCs w:val="24"/>
        </w:rPr>
      </w:pPr>
      <w:r w:rsidRPr="00300EC8">
        <w:rPr>
          <w:rFonts w:ascii="Times New Roman" w:hAnsi="Times New Roman" w:cs="Times New Roman"/>
          <w:sz w:val="24"/>
          <w:szCs w:val="24"/>
        </w:rPr>
        <w:t xml:space="preserve">SECTION </w:t>
      </w:r>
      <w:r w:rsidR="008A7428" w:rsidRPr="00300EC8">
        <w:rPr>
          <w:rFonts w:ascii="Times New Roman" w:hAnsi="Times New Roman" w:cs="Times New Roman"/>
          <w:sz w:val="24"/>
          <w:szCs w:val="24"/>
        </w:rPr>
        <w:t xml:space="preserve">12 </w:t>
      </w:r>
      <w:r w:rsidR="00B3078E" w:rsidRPr="00300EC8">
        <w:rPr>
          <w:rFonts w:ascii="Times New Roman" w:hAnsi="Times New Roman" w:cs="Times New Roman"/>
          <w:sz w:val="24"/>
          <w:szCs w:val="24"/>
        </w:rPr>
        <w:t xml:space="preserve">eliminates </w:t>
      </w:r>
      <w:r w:rsidR="0059359C" w:rsidRPr="00300EC8">
        <w:rPr>
          <w:rFonts w:ascii="Times New Roman" w:hAnsi="Times New Roman" w:cs="Times New Roman"/>
          <w:sz w:val="24"/>
          <w:szCs w:val="24"/>
        </w:rPr>
        <w:t xml:space="preserve">a requirement for </w:t>
      </w:r>
      <w:r w:rsidR="00B3078E" w:rsidRPr="00300EC8">
        <w:rPr>
          <w:rFonts w:ascii="Times New Roman" w:hAnsi="Times New Roman" w:cs="Times New Roman"/>
          <w:sz w:val="24"/>
          <w:szCs w:val="24"/>
        </w:rPr>
        <w:t>a bi</w:t>
      </w:r>
      <w:r w:rsidR="0059359C" w:rsidRPr="00300EC8">
        <w:rPr>
          <w:rFonts w:ascii="Times New Roman" w:hAnsi="Times New Roman" w:cs="Times New Roman"/>
          <w:sz w:val="24"/>
          <w:szCs w:val="24"/>
        </w:rPr>
        <w:t>monthly recalculation of the chapter 70 formula</w:t>
      </w:r>
      <w:r w:rsidR="003F23AA" w:rsidRPr="00300EC8">
        <w:rPr>
          <w:rFonts w:ascii="Times New Roman" w:hAnsi="Times New Roman" w:cs="Times New Roman"/>
          <w:sz w:val="24"/>
          <w:szCs w:val="24"/>
        </w:rPr>
        <w:t xml:space="preserve"> so that </w:t>
      </w:r>
      <w:r w:rsidR="007255C2" w:rsidRPr="00300EC8">
        <w:rPr>
          <w:rFonts w:ascii="Times New Roman" w:hAnsi="Times New Roman" w:cs="Times New Roman"/>
          <w:sz w:val="24"/>
          <w:szCs w:val="24"/>
        </w:rPr>
        <w:t>r</w:t>
      </w:r>
      <w:r w:rsidR="0059359C" w:rsidRPr="00300EC8">
        <w:rPr>
          <w:rFonts w:ascii="Times New Roman" w:hAnsi="Times New Roman" w:cs="Times New Roman"/>
          <w:sz w:val="24"/>
          <w:szCs w:val="24"/>
        </w:rPr>
        <w:t>ecalculations are synchronized to the state budget process</w:t>
      </w:r>
      <w:r w:rsidR="00D2519D" w:rsidRPr="00300EC8">
        <w:rPr>
          <w:rFonts w:ascii="Times New Roman" w:hAnsi="Times New Roman" w:cs="Times New Roman"/>
          <w:sz w:val="24"/>
          <w:szCs w:val="24"/>
        </w:rPr>
        <w:t xml:space="preserve"> to ensure that state appropriations reflect </w:t>
      </w:r>
      <w:r w:rsidR="007255C2" w:rsidRPr="00300EC8">
        <w:rPr>
          <w:rFonts w:ascii="Times New Roman" w:hAnsi="Times New Roman" w:cs="Times New Roman"/>
          <w:sz w:val="24"/>
          <w:szCs w:val="24"/>
        </w:rPr>
        <w:t>the most current and</w:t>
      </w:r>
      <w:r w:rsidR="00D2519D" w:rsidRPr="00300EC8">
        <w:rPr>
          <w:rFonts w:ascii="Times New Roman" w:hAnsi="Times New Roman" w:cs="Times New Roman"/>
          <w:sz w:val="24"/>
          <w:szCs w:val="24"/>
        </w:rPr>
        <w:t xml:space="preserve"> relevant information</w:t>
      </w:r>
      <w:r w:rsidR="0059359C" w:rsidRPr="00300EC8">
        <w:rPr>
          <w:rFonts w:ascii="Times New Roman" w:hAnsi="Times New Roman" w:cs="Times New Roman"/>
          <w:sz w:val="24"/>
          <w:szCs w:val="24"/>
        </w:rPr>
        <w:t>.</w:t>
      </w:r>
    </w:p>
    <w:p w14:paraId="5F5F2537" w14:textId="77777777" w:rsidR="007255C2" w:rsidRPr="00300EC8" w:rsidRDefault="007255C2" w:rsidP="007255C2">
      <w:pPr>
        <w:pStyle w:val="ListParagraph"/>
        <w:rPr>
          <w:rFonts w:ascii="Times New Roman" w:hAnsi="Times New Roman" w:cs="Times New Roman"/>
          <w:sz w:val="24"/>
          <w:szCs w:val="24"/>
        </w:rPr>
      </w:pPr>
    </w:p>
    <w:p w14:paraId="591ACA1F" w14:textId="6991B985" w:rsidR="00AF6821" w:rsidRPr="00300EC8" w:rsidRDefault="001416DB" w:rsidP="008A7428">
      <w:pPr>
        <w:pStyle w:val="ListParagraph"/>
        <w:numPr>
          <w:ilvl w:val="0"/>
          <w:numId w:val="2"/>
        </w:numPr>
        <w:ind w:left="1080" w:hanging="720"/>
        <w:rPr>
          <w:rFonts w:ascii="Times New Roman" w:hAnsi="Times New Roman" w:cs="Times New Roman"/>
          <w:sz w:val="24"/>
          <w:szCs w:val="24"/>
        </w:rPr>
      </w:pPr>
      <w:r w:rsidRPr="00300EC8">
        <w:rPr>
          <w:rFonts w:ascii="Times New Roman" w:hAnsi="Times New Roman" w:cs="Times New Roman"/>
          <w:sz w:val="24"/>
          <w:szCs w:val="24"/>
        </w:rPr>
        <w:t xml:space="preserve">SECTION </w:t>
      </w:r>
      <w:r w:rsidR="008A7428" w:rsidRPr="00300EC8">
        <w:rPr>
          <w:rFonts w:ascii="Times New Roman" w:hAnsi="Times New Roman" w:cs="Times New Roman"/>
          <w:sz w:val="24"/>
          <w:szCs w:val="24"/>
        </w:rPr>
        <w:t>13</w:t>
      </w:r>
      <w:r w:rsidR="007255C2" w:rsidRPr="00300EC8">
        <w:rPr>
          <w:rFonts w:ascii="Times New Roman" w:hAnsi="Times New Roman" w:cs="Times New Roman"/>
          <w:sz w:val="24"/>
          <w:szCs w:val="24"/>
        </w:rPr>
        <w:t xml:space="preserve"> </w:t>
      </w:r>
      <w:r w:rsidR="00AF6821" w:rsidRPr="00300EC8">
        <w:rPr>
          <w:rFonts w:ascii="Times New Roman" w:hAnsi="Times New Roman" w:cs="Times New Roman"/>
          <w:sz w:val="24"/>
          <w:szCs w:val="24"/>
        </w:rPr>
        <w:t>removes the reference to a component of the original chap</w:t>
      </w:r>
      <w:r w:rsidR="00C303FB">
        <w:rPr>
          <w:rFonts w:ascii="Times New Roman" w:hAnsi="Times New Roman" w:cs="Times New Roman"/>
          <w:sz w:val="24"/>
          <w:szCs w:val="24"/>
        </w:rPr>
        <w:t xml:space="preserve">ter 70 formula, overburden aid, </w:t>
      </w:r>
      <w:r w:rsidR="00AF6821" w:rsidRPr="00300EC8">
        <w:rPr>
          <w:rFonts w:ascii="Times New Roman" w:hAnsi="Times New Roman" w:cs="Times New Roman"/>
          <w:sz w:val="24"/>
          <w:szCs w:val="24"/>
        </w:rPr>
        <w:t xml:space="preserve">that has been extracted from the chapter 70 formula calculation for many years through </w:t>
      </w:r>
      <w:r w:rsidR="0035148B" w:rsidRPr="00300EC8">
        <w:rPr>
          <w:rFonts w:ascii="Times New Roman" w:hAnsi="Times New Roman" w:cs="Times New Roman"/>
          <w:sz w:val="24"/>
          <w:szCs w:val="24"/>
        </w:rPr>
        <w:t xml:space="preserve">the </w:t>
      </w:r>
      <w:r w:rsidR="00AF6821" w:rsidRPr="00300EC8">
        <w:rPr>
          <w:rFonts w:ascii="Times New Roman" w:hAnsi="Times New Roman" w:cs="Times New Roman"/>
          <w:sz w:val="24"/>
          <w:szCs w:val="24"/>
        </w:rPr>
        <w:t xml:space="preserve">annual </w:t>
      </w:r>
      <w:r w:rsidR="0035148B" w:rsidRPr="00300EC8">
        <w:rPr>
          <w:rFonts w:ascii="Times New Roman" w:hAnsi="Times New Roman" w:cs="Times New Roman"/>
          <w:sz w:val="24"/>
          <w:szCs w:val="24"/>
        </w:rPr>
        <w:t xml:space="preserve">state </w:t>
      </w:r>
      <w:r w:rsidR="00AF6821" w:rsidRPr="00300EC8">
        <w:rPr>
          <w:rFonts w:ascii="Times New Roman" w:hAnsi="Times New Roman" w:cs="Times New Roman"/>
          <w:sz w:val="24"/>
          <w:szCs w:val="24"/>
        </w:rPr>
        <w:t xml:space="preserve">budget </w:t>
      </w:r>
      <w:r w:rsidR="0035148B" w:rsidRPr="00300EC8">
        <w:rPr>
          <w:rFonts w:ascii="Times New Roman" w:hAnsi="Times New Roman" w:cs="Times New Roman"/>
          <w:sz w:val="24"/>
          <w:szCs w:val="24"/>
        </w:rPr>
        <w:t>process</w:t>
      </w:r>
      <w:r w:rsidR="00AF6821" w:rsidRPr="00300EC8">
        <w:rPr>
          <w:rFonts w:ascii="Times New Roman" w:hAnsi="Times New Roman" w:cs="Times New Roman"/>
          <w:sz w:val="24"/>
          <w:szCs w:val="24"/>
        </w:rPr>
        <w:t xml:space="preserve">.  </w:t>
      </w:r>
      <w:r w:rsidR="00625314" w:rsidRPr="00300EC8">
        <w:rPr>
          <w:rFonts w:ascii="Times New Roman" w:hAnsi="Times New Roman" w:cs="Times New Roman"/>
          <w:sz w:val="24"/>
          <w:szCs w:val="24"/>
        </w:rPr>
        <w:t xml:space="preserve">The removal of this concept </w:t>
      </w:r>
      <w:r w:rsidR="0035148B" w:rsidRPr="00300EC8">
        <w:rPr>
          <w:rFonts w:ascii="Times New Roman" w:hAnsi="Times New Roman" w:cs="Times New Roman"/>
          <w:sz w:val="24"/>
          <w:szCs w:val="24"/>
        </w:rPr>
        <w:t>from general</w:t>
      </w:r>
      <w:r w:rsidR="003E313A" w:rsidRPr="00300EC8">
        <w:rPr>
          <w:rFonts w:ascii="Times New Roman" w:hAnsi="Times New Roman" w:cs="Times New Roman"/>
          <w:sz w:val="24"/>
          <w:szCs w:val="24"/>
        </w:rPr>
        <w:t xml:space="preserve"> law</w:t>
      </w:r>
      <w:r w:rsidR="0035148B" w:rsidRPr="00300EC8">
        <w:rPr>
          <w:rFonts w:ascii="Times New Roman" w:hAnsi="Times New Roman" w:cs="Times New Roman"/>
          <w:sz w:val="24"/>
          <w:szCs w:val="24"/>
        </w:rPr>
        <w:t xml:space="preserve"> </w:t>
      </w:r>
      <w:r w:rsidR="00625314" w:rsidRPr="00300EC8">
        <w:rPr>
          <w:rFonts w:ascii="Times New Roman" w:hAnsi="Times New Roman" w:cs="Times New Roman"/>
          <w:sz w:val="24"/>
          <w:szCs w:val="24"/>
        </w:rPr>
        <w:t>facilitates</w:t>
      </w:r>
      <w:r w:rsidR="00AF6821" w:rsidRPr="00300EC8">
        <w:rPr>
          <w:rFonts w:ascii="Times New Roman" w:hAnsi="Times New Roman" w:cs="Times New Roman"/>
          <w:sz w:val="24"/>
          <w:szCs w:val="24"/>
        </w:rPr>
        <w:t xml:space="preserve"> </w:t>
      </w:r>
      <w:r w:rsidR="00625314" w:rsidRPr="00300EC8">
        <w:rPr>
          <w:rFonts w:ascii="Times New Roman" w:hAnsi="Times New Roman" w:cs="Times New Roman"/>
          <w:sz w:val="24"/>
          <w:szCs w:val="24"/>
        </w:rPr>
        <w:t>consistency</w:t>
      </w:r>
      <w:r w:rsidR="00300EC8" w:rsidRPr="00300EC8">
        <w:rPr>
          <w:rFonts w:ascii="Times New Roman" w:hAnsi="Times New Roman" w:cs="Times New Roman"/>
          <w:sz w:val="24"/>
          <w:szCs w:val="24"/>
        </w:rPr>
        <w:t>, clarity,</w:t>
      </w:r>
      <w:r w:rsidR="00625314" w:rsidRPr="00300EC8">
        <w:rPr>
          <w:rFonts w:ascii="Times New Roman" w:hAnsi="Times New Roman" w:cs="Times New Roman"/>
          <w:sz w:val="24"/>
          <w:szCs w:val="24"/>
        </w:rPr>
        <w:t xml:space="preserve"> and transparency within </w:t>
      </w:r>
      <w:r w:rsidR="003E313A" w:rsidRPr="00300EC8">
        <w:rPr>
          <w:rFonts w:ascii="Times New Roman" w:hAnsi="Times New Roman" w:cs="Times New Roman"/>
          <w:sz w:val="24"/>
          <w:szCs w:val="24"/>
        </w:rPr>
        <w:t xml:space="preserve">and across </w:t>
      </w:r>
      <w:r w:rsidR="00625314" w:rsidRPr="00300EC8">
        <w:rPr>
          <w:rFonts w:ascii="Times New Roman" w:hAnsi="Times New Roman" w:cs="Times New Roman"/>
          <w:sz w:val="24"/>
          <w:szCs w:val="24"/>
        </w:rPr>
        <w:t>chapter 70, including with the enhancements to the school funding formula advanced by this bill</w:t>
      </w:r>
      <w:r w:rsidR="003E313A" w:rsidRPr="00300EC8">
        <w:rPr>
          <w:rFonts w:ascii="Times New Roman" w:hAnsi="Times New Roman" w:cs="Times New Roman"/>
          <w:sz w:val="24"/>
          <w:szCs w:val="24"/>
        </w:rPr>
        <w:t xml:space="preserve">, making </w:t>
      </w:r>
      <w:r w:rsidR="00285309">
        <w:rPr>
          <w:rFonts w:ascii="Times New Roman" w:hAnsi="Times New Roman" w:cs="Times New Roman"/>
          <w:sz w:val="24"/>
          <w:szCs w:val="24"/>
        </w:rPr>
        <w:t xml:space="preserve">the use of </w:t>
      </w:r>
      <w:r w:rsidR="003E313A" w:rsidRPr="00300EC8">
        <w:rPr>
          <w:rFonts w:ascii="Times New Roman" w:hAnsi="Times New Roman" w:cs="Times New Roman"/>
          <w:sz w:val="24"/>
          <w:szCs w:val="24"/>
        </w:rPr>
        <w:t xml:space="preserve">disclaimers </w:t>
      </w:r>
      <w:r w:rsidR="00F84018" w:rsidRPr="00300EC8">
        <w:rPr>
          <w:rFonts w:ascii="Times New Roman" w:hAnsi="Times New Roman" w:cs="Times New Roman"/>
          <w:sz w:val="24"/>
          <w:szCs w:val="24"/>
        </w:rPr>
        <w:t xml:space="preserve">in the annual budget document </w:t>
      </w:r>
      <w:r w:rsidR="003E313A" w:rsidRPr="00300EC8">
        <w:rPr>
          <w:rFonts w:ascii="Times New Roman" w:hAnsi="Times New Roman" w:cs="Times New Roman"/>
          <w:sz w:val="24"/>
          <w:szCs w:val="24"/>
        </w:rPr>
        <w:t>unnecessary</w:t>
      </w:r>
      <w:r w:rsidR="00625314" w:rsidRPr="00300EC8">
        <w:rPr>
          <w:rFonts w:ascii="Times New Roman" w:hAnsi="Times New Roman" w:cs="Times New Roman"/>
          <w:sz w:val="24"/>
          <w:szCs w:val="24"/>
        </w:rPr>
        <w:t>.</w:t>
      </w:r>
    </w:p>
    <w:p w14:paraId="7DD7C3F3" w14:textId="77777777" w:rsidR="00AF6821" w:rsidRPr="00300EC8" w:rsidRDefault="00AF6821" w:rsidP="00AF6821">
      <w:pPr>
        <w:pStyle w:val="ListParagraph"/>
        <w:rPr>
          <w:rFonts w:ascii="Times New Roman" w:hAnsi="Times New Roman" w:cs="Times New Roman"/>
          <w:sz w:val="24"/>
          <w:szCs w:val="24"/>
        </w:rPr>
      </w:pPr>
    </w:p>
    <w:p w14:paraId="76F94070" w14:textId="4E73C7ED" w:rsidR="009655BB" w:rsidRPr="00300EC8" w:rsidRDefault="008A7428" w:rsidP="009655BB">
      <w:pPr>
        <w:pStyle w:val="ListParagraph"/>
        <w:numPr>
          <w:ilvl w:val="0"/>
          <w:numId w:val="2"/>
        </w:numPr>
        <w:ind w:left="1080" w:hanging="720"/>
        <w:rPr>
          <w:rFonts w:ascii="Times New Roman" w:hAnsi="Times New Roman" w:cs="Times New Roman"/>
          <w:sz w:val="24"/>
          <w:szCs w:val="24"/>
        </w:rPr>
      </w:pPr>
      <w:r w:rsidRPr="00300EC8">
        <w:rPr>
          <w:rFonts w:ascii="Times New Roman" w:hAnsi="Times New Roman" w:cs="Times New Roman"/>
          <w:sz w:val="24"/>
          <w:szCs w:val="24"/>
        </w:rPr>
        <w:t>SECTION 14</w:t>
      </w:r>
      <w:r w:rsidR="007255C2" w:rsidRPr="00300EC8">
        <w:rPr>
          <w:rFonts w:ascii="Times New Roman" w:hAnsi="Times New Roman" w:cs="Times New Roman"/>
          <w:sz w:val="24"/>
          <w:szCs w:val="24"/>
        </w:rPr>
        <w:t xml:space="preserve"> revises general law to reflect current terminology and the practice of determining local contributions for school funding.  </w:t>
      </w:r>
      <w:r w:rsidRPr="00300EC8">
        <w:rPr>
          <w:rFonts w:ascii="Times New Roman" w:hAnsi="Times New Roman" w:cs="Times New Roman"/>
          <w:sz w:val="24"/>
          <w:szCs w:val="24"/>
        </w:rPr>
        <w:t>To simplify the municipal budget process, this section additionally eliminates a</w:t>
      </w:r>
      <w:r w:rsidR="00625314" w:rsidRPr="00300EC8">
        <w:rPr>
          <w:rFonts w:ascii="Times New Roman" w:hAnsi="Times New Roman" w:cs="Times New Roman"/>
          <w:sz w:val="24"/>
          <w:szCs w:val="24"/>
        </w:rPr>
        <w:t xml:space="preserve"> </w:t>
      </w:r>
      <w:r w:rsidRPr="00300EC8">
        <w:rPr>
          <w:rFonts w:ascii="Times New Roman" w:hAnsi="Times New Roman" w:cs="Times New Roman"/>
          <w:sz w:val="24"/>
          <w:szCs w:val="24"/>
        </w:rPr>
        <w:t xml:space="preserve">30-day waiting requirement for the release of preliminary estimates of required local appropriations.  </w:t>
      </w:r>
      <w:r w:rsidR="00C64251" w:rsidRPr="00300EC8">
        <w:rPr>
          <w:rFonts w:ascii="Times New Roman" w:hAnsi="Times New Roman" w:cs="Times New Roman"/>
          <w:sz w:val="24"/>
          <w:szCs w:val="24"/>
        </w:rPr>
        <w:t xml:space="preserve">The section </w:t>
      </w:r>
      <w:r w:rsidR="006C1B7C" w:rsidRPr="00300EC8">
        <w:rPr>
          <w:rFonts w:ascii="Times New Roman" w:hAnsi="Times New Roman" w:cs="Times New Roman"/>
          <w:sz w:val="24"/>
          <w:szCs w:val="24"/>
        </w:rPr>
        <w:t xml:space="preserve">also </w:t>
      </w:r>
      <w:r w:rsidR="002920B0" w:rsidRPr="00300EC8">
        <w:rPr>
          <w:rFonts w:ascii="Times New Roman" w:hAnsi="Times New Roman" w:cs="Times New Roman"/>
          <w:sz w:val="24"/>
          <w:szCs w:val="24"/>
        </w:rPr>
        <w:t>removes</w:t>
      </w:r>
      <w:r w:rsidR="0059131A" w:rsidRPr="00300EC8">
        <w:rPr>
          <w:rFonts w:ascii="Times New Roman" w:hAnsi="Times New Roman" w:cs="Times New Roman"/>
          <w:sz w:val="24"/>
          <w:szCs w:val="24"/>
        </w:rPr>
        <w:t xml:space="preserve"> </w:t>
      </w:r>
      <w:r w:rsidR="006C1B7C" w:rsidRPr="00300EC8">
        <w:rPr>
          <w:rFonts w:ascii="Times New Roman" w:hAnsi="Times New Roman" w:cs="Times New Roman"/>
          <w:sz w:val="24"/>
          <w:szCs w:val="24"/>
        </w:rPr>
        <w:t>the reference to a</w:t>
      </w:r>
      <w:r w:rsidR="00625314" w:rsidRPr="00300EC8">
        <w:rPr>
          <w:rFonts w:ascii="Times New Roman" w:hAnsi="Times New Roman" w:cs="Times New Roman"/>
          <w:sz w:val="24"/>
          <w:szCs w:val="24"/>
        </w:rPr>
        <w:t xml:space="preserve"> </w:t>
      </w:r>
      <w:r w:rsidR="006C1B7C" w:rsidRPr="00300EC8">
        <w:rPr>
          <w:rFonts w:ascii="Times New Roman" w:hAnsi="Times New Roman" w:cs="Times New Roman"/>
          <w:sz w:val="24"/>
          <w:szCs w:val="24"/>
        </w:rPr>
        <w:t>mechanism for funding regional vocational schools, which has been superseded by the aggregate wealth model.</w:t>
      </w:r>
    </w:p>
    <w:p w14:paraId="7B5E68C8" w14:textId="77777777" w:rsidR="006C1B7C" w:rsidRPr="00300EC8" w:rsidRDefault="006C1B7C" w:rsidP="006C1B7C">
      <w:pPr>
        <w:pStyle w:val="ListParagraph"/>
        <w:rPr>
          <w:rFonts w:ascii="Times New Roman" w:hAnsi="Times New Roman" w:cs="Times New Roman"/>
          <w:sz w:val="24"/>
          <w:szCs w:val="24"/>
        </w:rPr>
      </w:pPr>
    </w:p>
    <w:p w14:paraId="0834A5A2" w14:textId="1FDF966C" w:rsidR="00620B05" w:rsidRPr="000807EC" w:rsidRDefault="007255C2" w:rsidP="000807EC">
      <w:pPr>
        <w:pStyle w:val="ListParagraph"/>
        <w:numPr>
          <w:ilvl w:val="0"/>
          <w:numId w:val="2"/>
        </w:numPr>
        <w:ind w:left="1080" w:hanging="720"/>
        <w:rPr>
          <w:rFonts w:ascii="Times New Roman" w:hAnsi="Times New Roman" w:cs="Times New Roman"/>
          <w:sz w:val="24"/>
          <w:szCs w:val="24"/>
        </w:rPr>
      </w:pPr>
      <w:r w:rsidRPr="00300EC8">
        <w:rPr>
          <w:rFonts w:ascii="Times New Roman" w:hAnsi="Times New Roman" w:cs="Times New Roman"/>
          <w:sz w:val="24"/>
          <w:szCs w:val="24"/>
        </w:rPr>
        <w:t>SECTION 1</w:t>
      </w:r>
      <w:r w:rsidR="008A7428" w:rsidRPr="00300EC8">
        <w:rPr>
          <w:rFonts w:ascii="Times New Roman" w:hAnsi="Times New Roman" w:cs="Times New Roman"/>
          <w:sz w:val="24"/>
          <w:szCs w:val="24"/>
        </w:rPr>
        <w:t>5</w:t>
      </w:r>
      <w:r w:rsidRPr="00300EC8">
        <w:rPr>
          <w:rFonts w:ascii="Times New Roman" w:hAnsi="Times New Roman" w:cs="Times New Roman"/>
          <w:sz w:val="24"/>
          <w:szCs w:val="24"/>
        </w:rPr>
        <w:t xml:space="preserve"> </w:t>
      </w:r>
      <w:r w:rsidR="003E313A" w:rsidRPr="00300EC8">
        <w:rPr>
          <w:rFonts w:ascii="Times New Roman" w:hAnsi="Times New Roman" w:cs="Times New Roman"/>
          <w:sz w:val="24"/>
          <w:szCs w:val="24"/>
        </w:rPr>
        <w:t>removes the reference to</w:t>
      </w:r>
      <w:r w:rsidRPr="00300EC8">
        <w:rPr>
          <w:rFonts w:ascii="Times New Roman" w:hAnsi="Times New Roman" w:cs="Times New Roman"/>
          <w:sz w:val="24"/>
          <w:szCs w:val="24"/>
        </w:rPr>
        <w:t xml:space="preserve"> </w:t>
      </w:r>
      <w:r w:rsidR="00BF5C9C" w:rsidRPr="00300EC8">
        <w:rPr>
          <w:rFonts w:ascii="Times New Roman" w:hAnsi="Times New Roman" w:cs="Times New Roman"/>
          <w:sz w:val="24"/>
          <w:szCs w:val="24"/>
        </w:rPr>
        <w:t>a</w:t>
      </w:r>
      <w:r w:rsidR="00625314" w:rsidRPr="00300EC8">
        <w:rPr>
          <w:rFonts w:ascii="Times New Roman" w:hAnsi="Times New Roman" w:cs="Times New Roman"/>
          <w:sz w:val="24"/>
          <w:szCs w:val="24"/>
        </w:rPr>
        <w:t xml:space="preserve"> </w:t>
      </w:r>
      <w:r w:rsidR="00BF5C9C" w:rsidRPr="00300EC8">
        <w:rPr>
          <w:rFonts w:ascii="Times New Roman" w:hAnsi="Times New Roman" w:cs="Times New Roman"/>
          <w:sz w:val="24"/>
          <w:szCs w:val="24"/>
        </w:rPr>
        <w:t>mechanism to reduce local school appropriations automatically in the event of a reduction in the amount of</w:t>
      </w:r>
      <w:r w:rsidR="00620B05" w:rsidRPr="00300EC8">
        <w:rPr>
          <w:rFonts w:ascii="Times New Roman" w:hAnsi="Times New Roman" w:cs="Times New Roman"/>
          <w:sz w:val="24"/>
          <w:szCs w:val="24"/>
        </w:rPr>
        <w:t xml:space="preserve"> the final state appropriation. </w:t>
      </w:r>
      <w:r w:rsidR="003E313A" w:rsidRPr="00300EC8">
        <w:rPr>
          <w:rFonts w:ascii="Times New Roman" w:hAnsi="Times New Roman" w:cs="Times New Roman"/>
          <w:sz w:val="24"/>
          <w:szCs w:val="24"/>
        </w:rPr>
        <w:t xml:space="preserve">Over time, </w:t>
      </w:r>
      <w:r w:rsidR="0097445E" w:rsidRPr="00300EC8">
        <w:rPr>
          <w:rFonts w:ascii="Times New Roman" w:hAnsi="Times New Roman" w:cs="Times New Roman"/>
          <w:sz w:val="24"/>
          <w:szCs w:val="24"/>
        </w:rPr>
        <w:t xml:space="preserve">municipal budgeting procedures </w:t>
      </w:r>
      <w:r w:rsidR="00620B05" w:rsidRPr="00300EC8">
        <w:rPr>
          <w:rFonts w:ascii="Times New Roman" w:hAnsi="Times New Roman" w:cs="Times New Roman"/>
          <w:sz w:val="24"/>
          <w:szCs w:val="24"/>
        </w:rPr>
        <w:t xml:space="preserve">have proven </w:t>
      </w:r>
      <w:r w:rsidR="0097445E" w:rsidRPr="00300EC8">
        <w:rPr>
          <w:rFonts w:ascii="Times New Roman" w:hAnsi="Times New Roman" w:cs="Times New Roman"/>
          <w:sz w:val="24"/>
          <w:szCs w:val="24"/>
        </w:rPr>
        <w:t xml:space="preserve">sufficient to </w:t>
      </w:r>
      <w:r w:rsidR="00620B05" w:rsidRPr="00300EC8">
        <w:rPr>
          <w:rFonts w:ascii="Times New Roman" w:hAnsi="Times New Roman" w:cs="Times New Roman"/>
          <w:sz w:val="24"/>
          <w:szCs w:val="24"/>
        </w:rPr>
        <w:t xml:space="preserve">address </w:t>
      </w:r>
      <w:r w:rsidR="0097445E" w:rsidRPr="00300EC8">
        <w:rPr>
          <w:rFonts w:ascii="Times New Roman" w:hAnsi="Times New Roman" w:cs="Times New Roman"/>
          <w:sz w:val="24"/>
          <w:szCs w:val="24"/>
        </w:rPr>
        <w:t>variations in local aid allotments between the preliminary estimates and the final state appropriations act.</w:t>
      </w:r>
      <w:bookmarkStart w:id="1" w:name="_Hlk534977007"/>
      <w:r w:rsidR="003E313A" w:rsidRPr="00300EC8">
        <w:rPr>
          <w:rFonts w:ascii="Times New Roman" w:hAnsi="Times New Roman" w:cs="Times New Roman"/>
          <w:sz w:val="24"/>
          <w:szCs w:val="24"/>
        </w:rPr>
        <w:t xml:space="preserve">  The removal of this concept from general law facilitates </w:t>
      </w:r>
      <w:r w:rsidR="00924CB5" w:rsidRPr="00300EC8">
        <w:rPr>
          <w:rFonts w:ascii="Times New Roman" w:hAnsi="Times New Roman" w:cs="Times New Roman"/>
          <w:sz w:val="24"/>
          <w:szCs w:val="24"/>
        </w:rPr>
        <w:t xml:space="preserve">consistency, clarity, and transparency </w:t>
      </w:r>
      <w:r w:rsidR="003E313A" w:rsidRPr="00300EC8">
        <w:rPr>
          <w:rFonts w:ascii="Times New Roman" w:hAnsi="Times New Roman" w:cs="Times New Roman"/>
          <w:sz w:val="24"/>
          <w:szCs w:val="24"/>
        </w:rPr>
        <w:t xml:space="preserve">within and across chapter </w:t>
      </w:r>
      <w:r w:rsidR="003E313A" w:rsidRPr="00300EC8">
        <w:rPr>
          <w:rFonts w:ascii="Times New Roman" w:hAnsi="Times New Roman" w:cs="Times New Roman"/>
          <w:sz w:val="24"/>
          <w:szCs w:val="24"/>
        </w:rPr>
        <w:lastRenderedPageBreak/>
        <w:t>70, including with the enhancements to the school funding formula advanced by this bill.</w:t>
      </w:r>
    </w:p>
    <w:p w14:paraId="5CDF3D4D" w14:textId="77777777" w:rsidR="00620B05" w:rsidRPr="00300EC8" w:rsidRDefault="00620B05" w:rsidP="00620B05">
      <w:pPr>
        <w:pStyle w:val="ListParagraph"/>
        <w:rPr>
          <w:rFonts w:ascii="Times New Roman" w:hAnsi="Times New Roman" w:cs="Times New Roman"/>
          <w:sz w:val="24"/>
          <w:szCs w:val="24"/>
        </w:rPr>
      </w:pPr>
    </w:p>
    <w:p w14:paraId="22185D48" w14:textId="4FC8F59F" w:rsidR="00620B05" w:rsidRPr="00300EC8" w:rsidRDefault="00620B05" w:rsidP="001416DB">
      <w:pPr>
        <w:pStyle w:val="ListParagraph"/>
        <w:numPr>
          <w:ilvl w:val="0"/>
          <w:numId w:val="2"/>
        </w:numPr>
        <w:ind w:left="1080" w:hanging="720"/>
        <w:rPr>
          <w:rFonts w:ascii="Times New Roman" w:hAnsi="Times New Roman" w:cs="Times New Roman"/>
          <w:sz w:val="24"/>
          <w:szCs w:val="24"/>
        </w:rPr>
      </w:pPr>
      <w:r w:rsidRPr="00300EC8">
        <w:rPr>
          <w:rFonts w:ascii="Times New Roman" w:hAnsi="Times New Roman" w:cs="Times New Roman"/>
          <w:sz w:val="24"/>
          <w:szCs w:val="24"/>
        </w:rPr>
        <w:t>SECTION 1</w:t>
      </w:r>
      <w:r w:rsidR="008A7428" w:rsidRPr="00300EC8">
        <w:rPr>
          <w:rFonts w:ascii="Times New Roman" w:hAnsi="Times New Roman" w:cs="Times New Roman"/>
          <w:sz w:val="24"/>
          <w:szCs w:val="24"/>
        </w:rPr>
        <w:t>6</w:t>
      </w:r>
      <w:r w:rsidRPr="00300EC8">
        <w:rPr>
          <w:rFonts w:ascii="Times New Roman" w:hAnsi="Times New Roman" w:cs="Times New Roman"/>
          <w:sz w:val="24"/>
          <w:szCs w:val="24"/>
        </w:rPr>
        <w:t xml:space="preserve"> establishes a partial exception for a school committee’s generally unlimited discretion in budgeting, in alignment with the reform effected in section 8.  In a district with an underperforming school, the Commissioner is empowered to </w:t>
      </w:r>
      <w:r w:rsidR="008D6D3E" w:rsidRPr="00300EC8">
        <w:rPr>
          <w:rFonts w:ascii="Times New Roman" w:hAnsi="Times New Roman" w:cs="Times New Roman"/>
          <w:sz w:val="24"/>
          <w:szCs w:val="24"/>
        </w:rPr>
        <w:t xml:space="preserve">direct a district to include changes in </w:t>
      </w:r>
      <w:r w:rsidRPr="00300EC8">
        <w:rPr>
          <w:rFonts w:ascii="Times New Roman" w:hAnsi="Times New Roman" w:cs="Times New Roman"/>
          <w:sz w:val="24"/>
          <w:szCs w:val="24"/>
        </w:rPr>
        <w:t xml:space="preserve">the </w:t>
      </w:r>
      <w:r w:rsidR="008D6D3E" w:rsidRPr="00300EC8">
        <w:rPr>
          <w:rFonts w:ascii="Times New Roman" w:hAnsi="Times New Roman" w:cs="Times New Roman"/>
          <w:sz w:val="24"/>
          <w:szCs w:val="24"/>
        </w:rPr>
        <w:t xml:space="preserve">underperforming school’s turnaround plan, and if the district fails to make sufficient progress in implementing the changes, </w:t>
      </w:r>
      <w:r w:rsidRPr="00300EC8">
        <w:rPr>
          <w:rFonts w:ascii="Times New Roman" w:hAnsi="Times New Roman" w:cs="Times New Roman"/>
          <w:sz w:val="24"/>
          <w:szCs w:val="24"/>
        </w:rPr>
        <w:t xml:space="preserve">the Commissioner, in the following school year, may </w:t>
      </w:r>
      <w:r w:rsidR="00120C0C" w:rsidRPr="00300EC8">
        <w:rPr>
          <w:rFonts w:ascii="Times New Roman" w:hAnsi="Times New Roman" w:cs="Times New Roman"/>
          <w:sz w:val="24"/>
          <w:szCs w:val="24"/>
        </w:rPr>
        <w:t xml:space="preserve">withhold </w:t>
      </w:r>
      <w:r w:rsidRPr="00300EC8">
        <w:rPr>
          <w:rFonts w:ascii="Times New Roman" w:hAnsi="Times New Roman" w:cs="Times New Roman"/>
          <w:sz w:val="24"/>
          <w:szCs w:val="24"/>
        </w:rPr>
        <w:t xml:space="preserve">a </w:t>
      </w:r>
      <w:r w:rsidR="00120C0C" w:rsidRPr="00300EC8">
        <w:rPr>
          <w:rFonts w:ascii="Times New Roman" w:hAnsi="Times New Roman" w:cs="Times New Roman"/>
          <w:sz w:val="24"/>
          <w:szCs w:val="24"/>
        </w:rPr>
        <w:t>portion of the district’s foundation budget</w:t>
      </w:r>
      <w:r w:rsidR="008D6D3E" w:rsidRPr="00300EC8">
        <w:rPr>
          <w:rFonts w:ascii="Times New Roman" w:hAnsi="Times New Roman" w:cs="Times New Roman"/>
          <w:sz w:val="24"/>
          <w:szCs w:val="24"/>
        </w:rPr>
        <w:t xml:space="preserve"> attributable to students in the school</w:t>
      </w:r>
      <w:r w:rsidRPr="00300EC8">
        <w:rPr>
          <w:rFonts w:ascii="Times New Roman" w:hAnsi="Times New Roman" w:cs="Times New Roman"/>
          <w:sz w:val="24"/>
          <w:szCs w:val="24"/>
        </w:rPr>
        <w:t xml:space="preserve"> and place these funds in the public school turnaround fund established in section 1</w:t>
      </w:r>
      <w:r w:rsidR="00120C0C" w:rsidRPr="00300EC8">
        <w:rPr>
          <w:rFonts w:ascii="Times New Roman" w:hAnsi="Times New Roman" w:cs="Times New Roman"/>
          <w:sz w:val="24"/>
          <w:szCs w:val="24"/>
        </w:rPr>
        <w:t>.</w:t>
      </w:r>
      <w:r w:rsidRPr="00300EC8">
        <w:rPr>
          <w:rFonts w:ascii="Times New Roman" w:hAnsi="Times New Roman" w:cs="Times New Roman"/>
          <w:sz w:val="24"/>
          <w:szCs w:val="24"/>
        </w:rPr>
        <w:t xml:space="preserve"> </w:t>
      </w:r>
      <w:r w:rsidR="00120C0C" w:rsidRPr="00300EC8">
        <w:rPr>
          <w:rFonts w:ascii="Times New Roman" w:hAnsi="Times New Roman" w:cs="Times New Roman"/>
          <w:sz w:val="24"/>
          <w:szCs w:val="24"/>
        </w:rPr>
        <w:t xml:space="preserve"> </w:t>
      </w:r>
      <w:r w:rsidR="00AC79D3" w:rsidRPr="00300EC8">
        <w:rPr>
          <w:rFonts w:ascii="Times New Roman" w:hAnsi="Times New Roman" w:cs="Times New Roman"/>
          <w:sz w:val="24"/>
          <w:szCs w:val="24"/>
        </w:rPr>
        <w:t xml:space="preserve">The funds can only be used for the benefit of the district from </w:t>
      </w:r>
      <w:r w:rsidRPr="00300EC8">
        <w:rPr>
          <w:rFonts w:ascii="Times New Roman" w:hAnsi="Times New Roman" w:cs="Times New Roman"/>
          <w:sz w:val="24"/>
          <w:szCs w:val="24"/>
        </w:rPr>
        <w:t>which</w:t>
      </w:r>
      <w:r w:rsidR="00AC79D3" w:rsidRPr="00300EC8">
        <w:rPr>
          <w:rFonts w:ascii="Times New Roman" w:hAnsi="Times New Roman" w:cs="Times New Roman"/>
          <w:sz w:val="24"/>
          <w:szCs w:val="24"/>
        </w:rPr>
        <w:t xml:space="preserve"> the funds were withheld</w:t>
      </w:r>
      <w:bookmarkEnd w:id="1"/>
      <w:r w:rsidRPr="00300EC8">
        <w:rPr>
          <w:rFonts w:ascii="Times New Roman" w:hAnsi="Times New Roman" w:cs="Times New Roman"/>
          <w:sz w:val="24"/>
          <w:szCs w:val="24"/>
        </w:rPr>
        <w:t>.  The Commissioner must report to the Secretary of Administration and Finance and the House and Senate Committees on Ways and Means regarding any transfer of monies into or from the fund.</w:t>
      </w:r>
    </w:p>
    <w:p w14:paraId="16A90822" w14:textId="77777777" w:rsidR="00620B05" w:rsidRPr="00300EC8" w:rsidRDefault="00620B05" w:rsidP="00620B05">
      <w:pPr>
        <w:pStyle w:val="ListParagraph"/>
        <w:rPr>
          <w:rFonts w:ascii="Times New Roman" w:hAnsi="Times New Roman" w:cs="Times New Roman"/>
          <w:sz w:val="24"/>
          <w:szCs w:val="24"/>
        </w:rPr>
      </w:pPr>
    </w:p>
    <w:p w14:paraId="35103D92" w14:textId="12FFC4C0" w:rsidR="00444B10" w:rsidRPr="001057B3" w:rsidRDefault="00620B05" w:rsidP="001057B3">
      <w:pPr>
        <w:pStyle w:val="ListParagraph"/>
        <w:numPr>
          <w:ilvl w:val="0"/>
          <w:numId w:val="2"/>
        </w:numPr>
        <w:ind w:left="1080" w:hanging="720"/>
        <w:rPr>
          <w:rFonts w:ascii="Times New Roman" w:hAnsi="Times New Roman" w:cs="Times New Roman"/>
          <w:sz w:val="24"/>
          <w:szCs w:val="24"/>
        </w:rPr>
      </w:pPr>
      <w:r w:rsidRPr="00300EC8">
        <w:rPr>
          <w:rFonts w:ascii="Times New Roman" w:hAnsi="Times New Roman" w:cs="Times New Roman"/>
          <w:sz w:val="24"/>
          <w:szCs w:val="24"/>
        </w:rPr>
        <w:t xml:space="preserve">SECTION </w:t>
      </w:r>
      <w:r w:rsidR="008A7428" w:rsidRPr="00300EC8">
        <w:rPr>
          <w:rFonts w:ascii="Times New Roman" w:hAnsi="Times New Roman" w:cs="Times New Roman"/>
          <w:sz w:val="24"/>
          <w:szCs w:val="24"/>
        </w:rPr>
        <w:t xml:space="preserve">17 </w:t>
      </w:r>
      <w:r w:rsidRPr="00300EC8">
        <w:rPr>
          <w:rFonts w:ascii="Times New Roman" w:hAnsi="Times New Roman" w:cs="Times New Roman"/>
          <w:sz w:val="24"/>
          <w:szCs w:val="24"/>
        </w:rPr>
        <w:t xml:space="preserve">updates the district reporting requirement to facilitate future </w:t>
      </w:r>
      <w:r w:rsidR="00B76B02" w:rsidRPr="00300EC8">
        <w:rPr>
          <w:rFonts w:ascii="Times New Roman" w:hAnsi="Times New Roman" w:cs="Times New Roman"/>
          <w:sz w:val="24"/>
          <w:szCs w:val="24"/>
        </w:rPr>
        <w:t>evaluations</w:t>
      </w:r>
      <w:r w:rsidRPr="00300EC8">
        <w:rPr>
          <w:rFonts w:ascii="Times New Roman" w:hAnsi="Times New Roman" w:cs="Times New Roman"/>
          <w:sz w:val="24"/>
          <w:szCs w:val="24"/>
        </w:rPr>
        <w:t xml:space="preserve"> of the adequacy of the foundation budget amounts.  </w:t>
      </w:r>
      <w:r w:rsidR="00625314" w:rsidRPr="00300EC8">
        <w:rPr>
          <w:rFonts w:ascii="Times New Roman" w:hAnsi="Times New Roman" w:cs="Times New Roman"/>
          <w:sz w:val="24"/>
          <w:szCs w:val="24"/>
        </w:rPr>
        <w:t>Under this proposed section</w:t>
      </w:r>
      <w:r w:rsidRPr="00300EC8">
        <w:rPr>
          <w:rFonts w:ascii="Times New Roman" w:hAnsi="Times New Roman" w:cs="Times New Roman"/>
          <w:sz w:val="24"/>
          <w:szCs w:val="24"/>
        </w:rPr>
        <w:t>, a d</w:t>
      </w:r>
      <w:r w:rsidR="008128B9" w:rsidRPr="00300EC8">
        <w:rPr>
          <w:rFonts w:ascii="Times New Roman" w:hAnsi="Times New Roman" w:cs="Times New Roman"/>
          <w:sz w:val="24"/>
          <w:szCs w:val="24"/>
        </w:rPr>
        <w:t>istrict</w:t>
      </w:r>
      <w:r w:rsidR="00AC79D3" w:rsidRPr="00300EC8">
        <w:rPr>
          <w:rFonts w:ascii="Times New Roman" w:hAnsi="Times New Roman" w:cs="Times New Roman"/>
          <w:sz w:val="24"/>
          <w:szCs w:val="24"/>
        </w:rPr>
        <w:t xml:space="preserve"> </w:t>
      </w:r>
      <w:r w:rsidRPr="00300EC8">
        <w:rPr>
          <w:rFonts w:ascii="Times New Roman" w:hAnsi="Times New Roman" w:cs="Times New Roman"/>
          <w:sz w:val="24"/>
          <w:szCs w:val="24"/>
        </w:rPr>
        <w:t xml:space="preserve">must </w:t>
      </w:r>
      <w:r w:rsidR="00AC79D3" w:rsidRPr="00300EC8">
        <w:rPr>
          <w:rFonts w:ascii="Times New Roman" w:hAnsi="Times New Roman" w:cs="Times New Roman"/>
          <w:sz w:val="24"/>
          <w:szCs w:val="24"/>
        </w:rPr>
        <w:t xml:space="preserve">report </w:t>
      </w:r>
      <w:r w:rsidR="008128B9" w:rsidRPr="00300EC8">
        <w:rPr>
          <w:rFonts w:ascii="Times New Roman" w:eastAsia="Times New Roman" w:hAnsi="Times New Roman"/>
          <w:color w:val="000000"/>
          <w:sz w:val="24"/>
          <w:szCs w:val="24"/>
        </w:rPr>
        <w:t>its expenditures and staffing for each</w:t>
      </w:r>
      <w:r w:rsidR="007F4B00" w:rsidRPr="00300EC8">
        <w:rPr>
          <w:rFonts w:ascii="Times New Roman" w:eastAsia="Times New Roman" w:hAnsi="Times New Roman"/>
          <w:color w:val="000000"/>
          <w:sz w:val="24"/>
          <w:szCs w:val="24"/>
        </w:rPr>
        <w:t xml:space="preserve"> foundation</w:t>
      </w:r>
      <w:r w:rsidR="008128B9" w:rsidRPr="00300EC8">
        <w:rPr>
          <w:rFonts w:ascii="Times New Roman" w:eastAsia="Times New Roman" w:hAnsi="Times New Roman"/>
          <w:color w:val="000000"/>
          <w:sz w:val="24"/>
          <w:szCs w:val="24"/>
        </w:rPr>
        <w:t xml:space="preserve"> </w:t>
      </w:r>
      <w:r w:rsidR="009655BB" w:rsidRPr="00300EC8">
        <w:rPr>
          <w:rFonts w:ascii="Times New Roman" w:eastAsia="Times New Roman" w:hAnsi="Times New Roman"/>
          <w:color w:val="000000"/>
          <w:sz w:val="24"/>
          <w:szCs w:val="24"/>
        </w:rPr>
        <w:t>functional category</w:t>
      </w:r>
      <w:r w:rsidR="007F4B00" w:rsidRPr="00300EC8">
        <w:rPr>
          <w:rFonts w:ascii="Times New Roman" w:eastAsia="Times New Roman" w:hAnsi="Times New Roman"/>
          <w:color w:val="000000"/>
          <w:sz w:val="24"/>
          <w:szCs w:val="24"/>
        </w:rPr>
        <w:t xml:space="preserve">, as </w:t>
      </w:r>
      <w:r w:rsidR="008A7428" w:rsidRPr="00300EC8">
        <w:rPr>
          <w:rFonts w:ascii="Times New Roman" w:eastAsia="Times New Roman" w:hAnsi="Times New Roman"/>
          <w:color w:val="000000"/>
          <w:sz w:val="24"/>
          <w:szCs w:val="24"/>
        </w:rPr>
        <w:t>identified</w:t>
      </w:r>
      <w:r w:rsidR="007F4B00" w:rsidRPr="00300EC8">
        <w:rPr>
          <w:rFonts w:ascii="Times New Roman" w:eastAsia="Times New Roman" w:hAnsi="Times New Roman"/>
          <w:color w:val="000000"/>
          <w:sz w:val="24"/>
          <w:szCs w:val="24"/>
        </w:rPr>
        <w:t xml:space="preserve"> in section 10,</w:t>
      </w:r>
      <w:r w:rsidR="008128B9" w:rsidRPr="00300EC8">
        <w:rPr>
          <w:rFonts w:ascii="Times New Roman" w:eastAsia="Times New Roman" w:hAnsi="Times New Roman"/>
          <w:color w:val="000000"/>
          <w:sz w:val="24"/>
          <w:szCs w:val="24"/>
        </w:rPr>
        <w:t xml:space="preserve"> </w:t>
      </w:r>
      <w:r w:rsidR="007F4B00" w:rsidRPr="00300EC8">
        <w:rPr>
          <w:rFonts w:ascii="Times New Roman" w:eastAsia="Times New Roman" w:hAnsi="Times New Roman"/>
          <w:color w:val="000000"/>
          <w:sz w:val="24"/>
          <w:szCs w:val="24"/>
        </w:rPr>
        <w:t>such as administration, pupil services, and operations and maintenance</w:t>
      </w:r>
      <w:r w:rsidR="008128B9" w:rsidRPr="00300EC8">
        <w:rPr>
          <w:rFonts w:ascii="Times New Roman" w:eastAsia="Times New Roman" w:hAnsi="Times New Roman"/>
          <w:color w:val="000000"/>
          <w:sz w:val="24"/>
          <w:szCs w:val="24"/>
        </w:rPr>
        <w:t>.  The Commissioner also may require districts to report on expenditures by program areas and enrollment categories.</w:t>
      </w:r>
      <w:r w:rsidR="001057B3">
        <w:rPr>
          <w:rFonts w:ascii="Times New Roman" w:eastAsia="Times New Roman" w:hAnsi="Times New Roman"/>
          <w:color w:val="000000"/>
          <w:sz w:val="24"/>
          <w:szCs w:val="24"/>
        </w:rPr>
        <w:t xml:space="preserve">  Additionally, this section </w:t>
      </w:r>
      <w:r w:rsidR="0035148B" w:rsidRPr="001057B3">
        <w:rPr>
          <w:rFonts w:ascii="Times New Roman" w:hAnsi="Times New Roman" w:cs="Times New Roman"/>
          <w:sz w:val="24"/>
          <w:szCs w:val="24"/>
        </w:rPr>
        <w:t xml:space="preserve">updates general law to </w:t>
      </w:r>
      <w:r w:rsidRPr="001057B3">
        <w:rPr>
          <w:rFonts w:ascii="Times New Roman" w:hAnsi="Times New Roman" w:cs="Times New Roman"/>
          <w:sz w:val="24"/>
          <w:szCs w:val="24"/>
        </w:rPr>
        <w:t>c</w:t>
      </w:r>
      <w:r w:rsidR="0035148B" w:rsidRPr="001057B3">
        <w:rPr>
          <w:rFonts w:ascii="Times New Roman" w:hAnsi="Times New Roman" w:cs="Times New Roman"/>
          <w:sz w:val="24"/>
          <w:szCs w:val="24"/>
        </w:rPr>
        <w:t>odify</w:t>
      </w:r>
      <w:r w:rsidR="00F646BD" w:rsidRPr="001057B3">
        <w:rPr>
          <w:rFonts w:ascii="Times New Roman" w:hAnsi="Times New Roman" w:cs="Times New Roman"/>
          <w:sz w:val="24"/>
          <w:szCs w:val="24"/>
        </w:rPr>
        <w:t xml:space="preserve"> </w:t>
      </w:r>
      <w:r w:rsidRPr="001057B3">
        <w:rPr>
          <w:rFonts w:ascii="Times New Roman" w:hAnsi="Times New Roman" w:cs="Times New Roman"/>
          <w:sz w:val="24"/>
          <w:szCs w:val="24"/>
        </w:rPr>
        <w:t xml:space="preserve">the </w:t>
      </w:r>
      <w:r w:rsidR="00444B10" w:rsidRPr="001057B3">
        <w:rPr>
          <w:rFonts w:ascii="Times New Roman" w:hAnsi="Times New Roman" w:cs="Times New Roman"/>
          <w:sz w:val="24"/>
          <w:szCs w:val="24"/>
        </w:rPr>
        <w:t>existing practice, establi</w:t>
      </w:r>
      <w:r w:rsidR="0035148B" w:rsidRPr="001057B3">
        <w:rPr>
          <w:rFonts w:ascii="Times New Roman" w:hAnsi="Times New Roman" w:cs="Times New Roman"/>
          <w:sz w:val="24"/>
          <w:szCs w:val="24"/>
        </w:rPr>
        <w:t>shed in the annual state budget process,</w:t>
      </w:r>
      <w:r w:rsidR="00444B10" w:rsidRPr="001057B3">
        <w:rPr>
          <w:rFonts w:ascii="Times New Roman" w:hAnsi="Times New Roman" w:cs="Times New Roman"/>
          <w:sz w:val="24"/>
          <w:szCs w:val="24"/>
        </w:rPr>
        <w:t xml:space="preserve"> of </w:t>
      </w:r>
      <w:r w:rsidR="00F646BD" w:rsidRPr="001057B3">
        <w:rPr>
          <w:rFonts w:ascii="Times New Roman" w:hAnsi="Times New Roman" w:cs="Times New Roman"/>
          <w:sz w:val="24"/>
          <w:szCs w:val="24"/>
        </w:rPr>
        <w:t>deduct</w:t>
      </w:r>
      <w:r w:rsidR="00444B10" w:rsidRPr="001057B3">
        <w:rPr>
          <w:rFonts w:ascii="Times New Roman" w:hAnsi="Times New Roman" w:cs="Times New Roman"/>
          <w:sz w:val="24"/>
          <w:szCs w:val="24"/>
        </w:rPr>
        <w:t>ing</w:t>
      </w:r>
      <w:r w:rsidR="00F646BD" w:rsidRPr="001057B3">
        <w:rPr>
          <w:rFonts w:ascii="Times New Roman" w:hAnsi="Times New Roman" w:cs="Times New Roman"/>
          <w:sz w:val="24"/>
          <w:szCs w:val="24"/>
        </w:rPr>
        <w:t xml:space="preserve"> school choice and charter school tuition f</w:t>
      </w:r>
      <w:r w:rsidR="00EE033D" w:rsidRPr="001057B3">
        <w:rPr>
          <w:rFonts w:ascii="Times New Roman" w:hAnsi="Times New Roman" w:cs="Times New Roman"/>
          <w:sz w:val="24"/>
          <w:szCs w:val="24"/>
        </w:rPr>
        <w:t>rom</w:t>
      </w:r>
      <w:r w:rsidR="00F646BD" w:rsidRPr="001057B3">
        <w:rPr>
          <w:rFonts w:ascii="Times New Roman" w:hAnsi="Times New Roman" w:cs="Times New Roman"/>
          <w:sz w:val="24"/>
          <w:szCs w:val="24"/>
        </w:rPr>
        <w:t xml:space="preserve"> chapter 70 aid payments</w:t>
      </w:r>
      <w:r w:rsidR="000807EC">
        <w:rPr>
          <w:rFonts w:ascii="Times New Roman" w:hAnsi="Times New Roman" w:cs="Times New Roman"/>
          <w:sz w:val="24"/>
          <w:szCs w:val="24"/>
        </w:rPr>
        <w:t>; l</w:t>
      </w:r>
      <w:r w:rsidR="0035148B" w:rsidRPr="001057B3">
        <w:rPr>
          <w:rFonts w:ascii="Times New Roman" w:hAnsi="Times New Roman" w:cs="Times New Roman"/>
          <w:sz w:val="24"/>
          <w:szCs w:val="24"/>
        </w:rPr>
        <w:t>ike other sections of the bill, th</w:t>
      </w:r>
      <w:r w:rsidR="000807EC">
        <w:rPr>
          <w:rFonts w:ascii="Times New Roman" w:hAnsi="Times New Roman" w:cs="Times New Roman"/>
          <w:sz w:val="24"/>
          <w:szCs w:val="24"/>
        </w:rPr>
        <w:t xml:space="preserve">is revision </w:t>
      </w:r>
      <w:r w:rsidR="00625314" w:rsidRPr="001057B3">
        <w:rPr>
          <w:rFonts w:ascii="Times New Roman" w:hAnsi="Times New Roman" w:cs="Times New Roman"/>
          <w:sz w:val="24"/>
          <w:szCs w:val="24"/>
        </w:rPr>
        <w:t xml:space="preserve">facilitates </w:t>
      </w:r>
      <w:r w:rsidR="00924CB5" w:rsidRPr="001057B3">
        <w:rPr>
          <w:rFonts w:ascii="Times New Roman" w:hAnsi="Times New Roman" w:cs="Times New Roman"/>
          <w:sz w:val="24"/>
          <w:szCs w:val="24"/>
        </w:rPr>
        <w:t xml:space="preserve">consistency, clarity, and transparency </w:t>
      </w:r>
      <w:r w:rsidR="00625314" w:rsidRPr="001057B3">
        <w:rPr>
          <w:rFonts w:ascii="Times New Roman" w:hAnsi="Times New Roman" w:cs="Times New Roman"/>
          <w:sz w:val="24"/>
          <w:szCs w:val="24"/>
        </w:rPr>
        <w:t xml:space="preserve">within </w:t>
      </w:r>
      <w:r w:rsidR="003E313A" w:rsidRPr="001057B3">
        <w:rPr>
          <w:rFonts w:ascii="Times New Roman" w:hAnsi="Times New Roman" w:cs="Times New Roman"/>
          <w:sz w:val="24"/>
          <w:szCs w:val="24"/>
        </w:rPr>
        <w:t xml:space="preserve">and across </w:t>
      </w:r>
      <w:r w:rsidR="00625314" w:rsidRPr="001057B3">
        <w:rPr>
          <w:rFonts w:ascii="Times New Roman" w:hAnsi="Times New Roman" w:cs="Times New Roman"/>
          <w:sz w:val="24"/>
          <w:szCs w:val="24"/>
        </w:rPr>
        <w:t>chapter 70, including with the enhancements to the school funding formula advanced by this bill.</w:t>
      </w:r>
    </w:p>
    <w:p w14:paraId="47BE0595" w14:textId="77777777" w:rsidR="00444B10" w:rsidRPr="00300EC8" w:rsidRDefault="00444B10" w:rsidP="00444B10">
      <w:pPr>
        <w:pStyle w:val="ListParagraph"/>
        <w:rPr>
          <w:rFonts w:ascii="Times New Roman" w:hAnsi="Times New Roman" w:cs="Times New Roman"/>
          <w:sz w:val="24"/>
          <w:szCs w:val="24"/>
        </w:rPr>
      </w:pPr>
    </w:p>
    <w:p w14:paraId="45074FD5" w14:textId="63EBCE6E" w:rsidR="00444B10" w:rsidRPr="00300EC8" w:rsidRDefault="00CA1A3C" w:rsidP="0035148B">
      <w:pPr>
        <w:pStyle w:val="ListParagraph"/>
        <w:numPr>
          <w:ilvl w:val="0"/>
          <w:numId w:val="2"/>
        </w:numPr>
        <w:ind w:left="1080" w:hanging="720"/>
        <w:rPr>
          <w:rFonts w:ascii="Times New Roman" w:hAnsi="Times New Roman" w:cs="Times New Roman"/>
          <w:sz w:val="24"/>
          <w:szCs w:val="24"/>
        </w:rPr>
      </w:pPr>
      <w:r w:rsidRPr="00300EC8">
        <w:rPr>
          <w:rFonts w:ascii="Times New Roman" w:hAnsi="Times New Roman" w:cs="Times New Roman"/>
          <w:sz w:val="24"/>
          <w:szCs w:val="24"/>
        </w:rPr>
        <w:t xml:space="preserve">SECTION </w:t>
      </w:r>
      <w:r w:rsidR="000807EC">
        <w:rPr>
          <w:rFonts w:ascii="Times New Roman" w:hAnsi="Times New Roman" w:cs="Times New Roman"/>
          <w:sz w:val="24"/>
          <w:szCs w:val="24"/>
        </w:rPr>
        <w:t>18</w:t>
      </w:r>
      <w:r w:rsidR="00444B10" w:rsidRPr="00300EC8">
        <w:rPr>
          <w:rFonts w:ascii="Times New Roman" w:hAnsi="Times New Roman" w:cs="Times New Roman"/>
          <w:sz w:val="24"/>
          <w:szCs w:val="24"/>
        </w:rPr>
        <w:t xml:space="preserve"> eliminates </w:t>
      </w:r>
      <w:r w:rsidR="0035148B" w:rsidRPr="00300EC8">
        <w:rPr>
          <w:rFonts w:ascii="Times New Roman" w:hAnsi="Times New Roman" w:cs="Times New Roman"/>
          <w:sz w:val="24"/>
          <w:szCs w:val="24"/>
        </w:rPr>
        <w:t xml:space="preserve">the </w:t>
      </w:r>
      <w:r w:rsidR="00444B10" w:rsidRPr="00300EC8">
        <w:rPr>
          <w:rFonts w:ascii="Times New Roman" w:hAnsi="Times New Roman" w:cs="Times New Roman"/>
          <w:sz w:val="24"/>
          <w:szCs w:val="24"/>
        </w:rPr>
        <w:t>provision</w:t>
      </w:r>
      <w:r w:rsidRPr="00300EC8">
        <w:rPr>
          <w:rFonts w:ascii="Times New Roman" w:hAnsi="Times New Roman" w:cs="Times New Roman"/>
          <w:sz w:val="24"/>
          <w:szCs w:val="24"/>
        </w:rPr>
        <w:t xml:space="preserve"> </w:t>
      </w:r>
      <w:r w:rsidR="0035148B" w:rsidRPr="00300EC8">
        <w:rPr>
          <w:rFonts w:ascii="Times New Roman" w:hAnsi="Times New Roman" w:cs="Times New Roman"/>
          <w:sz w:val="24"/>
          <w:szCs w:val="24"/>
        </w:rPr>
        <w:t xml:space="preserve">that established </w:t>
      </w:r>
      <w:r w:rsidRPr="00300EC8">
        <w:rPr>
          <w:rFonts w:ascii="Times New Roman" w:hAnsi="Times New Roman" w:cs="Times New Roman"/>
          <w:sz w:val="24"/>
          <w:szCs w:val="24"/>
        </w:rPr>
        <w:t xml:space="preserve">the original phase-in of the </w:t>
      </w:r>
      <w:r w:rsidR="00444B10" w:rsidRPr="00300EC8">
        <w:rPr>
          <w:rFonts w:ascii="Times New Roman" w:hAnsi="Times New Roman" w:cs="Times New Roman"/>
          <w:sz w:val="24"/>
          <w:szCs w:val="24"/>
        </w:rPr>
        <w:t xml:space="preserve">chapter 70 formula </w:t>
      </w:r>
      <w:r w:rsidR="0035148B" w:rsidRPr="00300EC8">
        <w:rPr>
          <w:rFonts w:ascii="Times New Roman" w:hAnsi="Times New Roman" w:cs="Times New Roman"/>
          <w:sz w:val="24"/>
          <w:szCs w:val="24"/>
        </w:rPr>
        <w:t>for fiscal years 1994 through 2000</w:t>
      </w:r>
      <w:r w:rsidRPr="00300EC8">
        <w:rPr>
          <w:rFonts w:ascii="Times New Roman" w:hAnsi="Times New Roman" w:cs="Times New Roman"/>
          <w:sz w:val="24"/>
          <w:szCs w:val="24"/>
        </w:rPr>
        <w:t>.</w:t>
      </w:r>
      <w:r w:rsidR="0035148B" w:rsidRPr="00300EC8">
        <w:rPr>
          <w:rFonts w:ascii="Times New Roman" w:hAnsi="Times New Roman" w:cs="Times New Roman"/>
          <w:sz w:val="24"/>
          <w:szCs w:val="24"/>
        </w:rPr>
        <w:t xml:space="preserve">  Like other sections of the bill, this section facilitates </w:t>
      </w:r>
      <w:r w:rsidR="00924CB5" w:rsidRPr="00300EC8">
        <w:rPr>
          <w:rFonts w:ascii="Times New Roman" w:hAnsi="Times New Roman" w:cs="Times New Roman"/>
          <w:sz w:val="24"/>
          <w:szCs w:val="24"/>
        </w:rPr>
        <w:t xml:space="preserve">consistency, clarity, and transparency </w:t>
      </w:r>
      <w:r w:rsidR="0035148B" w:rsidRPr="00300EC8">
        <w:rPr>
          <w:rFonts w:ascii="Times New Roman" w:hAnsi="Times New Roman" w:cs="Times New Roman"/>
          <w:sz w:val="24"/>
          <w:szCs w:val="24"/>
        </w:rPr>
        <w:t xml:space="preserve">within </w:t>
      </w:r>
      <w:r w:rsidR="003E313A" w:rsidRPr="00300EC8">
        <w:rPr>
          <w:rFonts w:ascii="Times New Roman" w:hAnsi="Times New Roman" w:cs="Times New Roman"/>
          <w:sz w:val="24"/>
          <w:szCs w:val="24"/>
        </w:rPr>
        <w:t xml:space="preserve">and across </w:t>
      </w:r>
      <w:r w:rsidR="0035148B" w:rsidRPr="00300EC8">
        <w:rPr>
          <w:rFonts w:ascii="Times New Roman" w:hAnsi="Times New Roman" w:cs="Times New Roman"/>
          <w:sz w:val="24"/>
          <w:szCs w:val="24"/>
        </w:rPr>
        <w:t>chapter 70, including with the enhancements to the school funding formula advanced by this bill.</w:t>
      </w:r>
    </w:p>
    <w:p w14:paraId="2A58DA7D" w14:textId="77777777" w:rsidR="00444B10" w:rsidRPr="00300EC8" w:rsidRDefault="00444B10" w:rsidP="00444B10">
      <w:pPr>
        <w:pStyle w:val="ListParagraph"/>
        <w:rPr>
          <w:rFonts w:ascii="Times New Roman" w:hAnsi="Times New Roman" w:cs="Times New Roman"/>
          <w:sz w:val="24"/>
          <w:szCs w:val="24"/>
        </w:rPr>
      </w:pPr>
    </w:p>
    <w:p w14:paraId="3FE2A82B" w14:textId="11E1ED24" w:rsidR="00444B10" w:rsidRPr="00300EC8" w:rsidRDefault="00446875" w:rsidP="00F84018">
      <w:pPr>
        <w:pStyle w:val="ListParagraph"/>
        <w:numPr>
          <w:ilvl w:val="0"/>
          <w:numId w:val="2"/>
        </w:numPr>
        <w:ind w:left="1080" w:hanging="720"/>
        <w:rPr>
          <w:rFonts w:ascii="Times New Roman" w:hAnsi="Times New Roman" w:cs="Times New Roman"/>
          <w:sz w:val="24"/>
          <w:szCs w:val="24"/>
        </w:rPr>
      </w:pPr>
      <w:r w:rsidRPr="00300EC8">
        <w:rPr>
          <w:rFonts w:ascii="Times New Roman" w:hAnsi="Times New Roman" w:cs="Times New Roman"/>
          <w:sz w:val="24"/>
          <w:szCs w:val="24"/>
        </w:rPr>
        <w:t xml:space="preserve">SECTION </w:t>
      </w:r>
      <w:r w:rsidR="000807EC">
        <w:rPr>
          <w:rFonts w:ascii="Times New Roman" w:hAnsi="Times New Roman" w:cs="Times New Roman"/>
          <w:sz w:val="24"/>
          <w:szCs w:val="24"/>
        </w:rPr>
        <w:t>19</w:t>
      </w:r>
      <w:r w:rsidR="008A7428" w:rsidRPr="00300EC8">
        <w:rPr>
          <w:rFonts w:ascii="Times New Roman" w:hAnsi="Times New Roman" w:cs="Times New Roman"/>
          <w:sz w:val="24"/>
          <w:szCs w:val="24"/>
        </w:rPr>
        <w:t xml:space="preserve"> </w:t>
      </w:r>
      <w:r w:rsidR="00444B10" w:rsidRPr="00300EC8">
        <w:rPr>
          <w:rFonts w:ascii="Times New Roman" w:hAnsi="Times New Roman" w:cs="Times New Roman"/>
          <w:sz w:val="24"/>
          <w:szCs w:val="24"/>
        </w:rPr>
        <w:t xml:space="preserve">replaces a provision regarding the potential underfunding of the chapter 70 program </w:t>
      </w:r>
      <w:r w:rsidR="00300EC8" w:rsidRPr="00300EC8">
        <w:rPr>
          <w:rFonts w:ascii="Times New Roman" w:hAnsi="Times New Roman" w:cs="Times New Roman"/>
          <w:sz w:val="24"/>
          <w:szCs w:val="24"/>
        </w:rPr>
        <w:t xml:space="preserve">during its initial years </w:t>
      </w:r>
      <w:r w:rsidR="00444B10" w:rsidRPr="00300EC8">
        <w:rPr>
          <w:rFonts w:ascii="Times New Roman" w:hAnsi="Times New Roman" w:cs="Times New Roman"/>
          <w:sz w:val="24"/>
          <w:szCs w:val="24"/>
        </w:rPr>
        <w:t>and clarifies that, in such a situation, priority shall be given to funding foundation aid.</w:t>
      </w:r>
      <w:r w:rsidR="00F84018" w:rsidRPr="00300EC8">
        <w:rPr>
          <w:rFonts w:ascii="Times New Roman" w:hAnsi="Times New Roman" w:cs="Times New Roman"/>
          <w:sz w:val="24"/>
          <w:szCs w:val="24"/>
        </w:rPr>
        <w:t xml:space="preserve">  Like other sections of the bill, this section facilitates </w:t>
      </w:r>
      <w:r w:rsidR="00924CB5" w:rsidRPr="00300EC8">
        <w:rPr>
          <w:rFonts w:ascii="Times New Roman" w:hAnsi="Times New Roman" w:cs="Times New Roman"/>
          <w:sz w:val="24"/>
          <w:szCs w:val="24"/>
        </w:rPr>
        <w:t xml:space="preserve">consistency, clarity, and transparency </w:t>
      </w:r>
      <w:r w:rsidR="00F84018" w:rsidRPr="00300EC8">
        <w:rPr>
          <w:rFonts w:ascii="Times New Roman" w:hAnsi="Times New Roman" w:cs="Times New Roman"/>
          <w:sz w:val="24"/>
          <w:szCs w:val="24"/>
        </w:rPr>
        <w:t>within and across chapter 70, including with the enhancements to the school funding formula advanced by this bill.</w:t>
      </w:r>
    </w:p>
    <w:p w14:paraId="7CC5F7C8" w14:textId="77777777" w:rsidR="00670DB2" w:rsidRPr="00300EC8" w:rsidRDefault="00670DB2" w:rsidP="00670DB2">
      <w:pPr>
        <w:pStyle w:val="ListParagraph"/>
        <w:rPr>
          <w:rFonts w:ascii="Times New Roman" w:hAnsi="Times New Roman" w:cs="Times New Roman"/>
          <w:sz w:val="24"/>
          <w:szCs w:val="24"/>
        </w:rPr>
      </w:pPr>
    </w:p>
    <w:p w14:paraId="4CF31852" w14:textId="4AD3589C" w:rsidR="00D95F8C" w:rsidRPr="00300EC8" w:rsidRDefault="00F84F56" w:rsidP="002A1900">
      <w:pPr>
        <w:pStyle w:val="ListParagraph"/>
        <w:numPr>
          <w:ilvl w:val="0"/>
          <w:numId w:val="2"/>
        </w:numPr>
        <w:ind w:left="1080" w:hanging="720"/>
        <w:rPr>
          <w:rFonts w:ascii="Times New Roman" w:hAnsi="Times New Roman" w:cs="Times New Roman"/>
          <w:sz w:val="24"/>
          <w:szCs w:val="24"/>
        </w:rPr>
      </w:pPr>
      <w:r w:rsidRPr="00300EC8">
        <w:rPr>
          <w:rFonts w:ascii="Times New Roman" w:hAnsi="Times New Roman" w:cs="Times New Roman"/>
          <w:sz w:val="24"/>
          <w:szCs w:val="24"/>
        </w:rPr>
        <w:t xml:space="preserve">SECTION </w:t>
      </w:r>
      <w:r w:rsidR="000807EC">
        <w:rPr>
          <w:rFonts w:ascii="Times New Roman" w:hAnsi="Times New Roman" w:cs="Times New Roman"/>
          <w:sz w:val="24"/>
          <w:szCs w:val="24"/>
        </w:rPr>
        <w:t>20</w:t>
      </w:r>
      <w:r w:rsidR="008A7428" w:rsidRPr="00300EC8">
        <w:rPr>
          <w:rFonts w:ascii="Times New Roman" w:hAnsi="Times New Roman" w:cs="Times New Roman"/>
          <w:sz w:val="24"/>
          <w:szCs w:val="24"/>
        </w:rPr>
        <w:t xml:space="preserve"> </w:t>
      </w:r>
      <w:r w:rsidR="00597F77" w:rsidRPr="00300EC8">
        <w:rPr>
          <w:rFonts w:ascii="Times New Roman" w:hAnsi="Times New Roman" w:cs="Times New Roman"/>
          <w:sz w:val="24"/>
          <w:szCs w:val="24"/>
        </w:rPr>
        <w:t xml:space="preserve">amends current law relating to regional school aid, which includes a sparsely funded regional bonus aid program, to create a new grant program that encourages and facilitates regionalization and other regional approaches in the rural </w:t>
      </w:r>
      <w:r w:rsidR="00597F77" w:rsidRPr="00300EC8">
        <w:rPr>
          <w:rFonts w:ascii="Times New Roman" w:hAnsi="Times New Roman" w:cs="Times New Roman"/>
          <w:sz w:val="24"/>
          <w:szCs w:val="24"/>
        </w:rPr>
        <w:lastRenderedPageBreak/>
        <w:t>areas of the Commonwealth to create efficien</w:t>
      </w:r>
      <w:r w:rsidR="008A5F52">
        <w:rPr>
          <w:rFonts w:ascii="Times New Roman" w:hAnsi="Times New Roman" w:cs="Times New Roman"/>
          <w:sz w:val="24"/>
          <w:szCs w:val="24"/>
        </w:rPr>
        <w:t xml:space="preserve">cies and improve effectiveness.  Funds from the public school regionalization fund </w:t>
      </w:r>
      <w:proofErr w:type="gramStart"/>
      <w:r w:rsidR="008A5F52">
        <w:rPr>
          <w:rFonts w:ascii="Times New Roman" w:hAnsi="Times New Roman" w:cs="Times New Roman"/>
          <w:sz w:val="24"/>
          <w:szCs w:val="24"/>
        </w:rPr>
        <w:t>can be expended</w:t>
      </w:r>
      <w:proofErr w:type="gramEnd"/>
      <w:r w:rsidR="008A5F52">
        <w:rPr>
          <w:rFonts w:ascii="Times New Roman" w:hAnsi="Times New Roman" w:cs="Times New Roman"/>
          <w:sz w:val="24"/>
          <w:szCs w:val="24"/>
        </w:rPr>
        <w:t xml:space="preserve"> to support these efforts.</w:t>
      </w:r>
    </w:p>
    <w:p w14:paraId="29112B66" w14:textId="77777777" w:rsidR="00597F77" w:rsidRPr="00300EC8" w:rsidRDefault="00597F77" w:rsidP="00597F77">
      <w:pPr>
        <w:rPr>
          <w:rFonts w:ascii="Times New Roman" w:hAnsi="Times New Roman" w:cs="Times New Roman"/>
          <w:sz w:val="24"/>
          <w:szCs w:val="24"/>
        </w:rPr>
      </w:pPr>
    </w:p>
    <w:p w14:paraId="3024FED8" w14:textId="54C29271" w:rsidR="00D95F8C" w:rsidRPr="00300EC8" w:rsidRDefault="00D95F8C" w:rsidP="001416DB">
      <w:pPr>
        <w:pStyle w:val="ListParagraph"/>
        <w:numPr>
          <w:ilvl w:val="0"/>
          <w:numId w:val="2"/>
        </w:numPr>
        <w:ind w:left="1080" w:hanging="720"/>
        <w:rPr>
          <w:rFonts w:ascii="Times New Roman" w:hAnsi="Times New Roman" w:cs="Times New Roman"/>
          <w:sz w:val="24"/>
          <w:szCs w:val="24"/>
        </w:rPr>
      </w:pPr>
      <w:r w:rsidRPr="00300EC8">
        <w:rPr>
          <w:rFonts w:ascii="Times New Roman" w:hAnsi="Times New Roman" w:cs="Times New Roman"/>
          <w:sz w:val="24"/>
          <w:szCs w:val="24"/>
        </w:rPr>
        <w:t xml:space="preserve">SECTION </w:t>
      </w:r>
      <w:r w:rsidR="000807EC">
        <w:rPr>
          <w:rFonts w:ascii="Times New Roman" w:hAnsi="Times New Roman" w:cs="Times New Roman"/>
          <w:sz w:val="24"/>
          <w:szCs w:val="24"/>
        </w:rPr>
        <w:t>21</w:t>
      </w:r>
      <w:r w:rsidR="00C023CE" w:rsidRPr="00300EC8">
        <w:rPr>
          <w:rFonts w:ascii="Times New Roman" w:hAnsi="Times New Roman" w:cs="Times New Roman"/>
          <w:sz w:val="24"/>
          <w:szCs w:val="24"/>
        </w:rPr>
        <w:t xml:space="preserve"> amends the </w:t>
      </w:r>
      <w:r w:rsidR="008705AE" w:rsidRPr="00300EC8">
        <w:rPr>
          <w:rFonts w:ascii="Times New Roman" w:hAnsi="Times New Roman" w:cs="Times New Roman"/>
          <w:sz w:val="24"/>
          <w:szCs w:val="24"/>
        </w:rPr>
        <w:t>charter school tuition calculation</w:t>
      </w:r>
      <w:r w:rsidR="00C023CE" w:rsidRPr="00300EC8">
        <w:rPr>
          <w:rFonts w:ascii="Times New Roman" w:hAnsi="Times New Roman" w:cs="Times New Roman"/>
          <w:sz w:val="24"/>
          <w:szCs w:val="24"/>
        </w:rPr>
        <w:t>.  Specifically, it places in general law a per pupil facilities component at $938</w:t>
      </w:r>
      <w:r w:rsidR="0042180B" w:rsidRPr="00300EC8">
        <w:rPr>
          <w:rFonts w:ascii="Times New Roman" w:hAnsi="Times New Roman" w:cs="Times New Roman"/>
          <w:sz w:val="24"/>
          <w:szCs w:val="24"/>
        </w:rPr>
        <w:t>, the first update in many years,</w:t>
      </w:r>
      <w:r w:rsidR="00C023CE" w:rsidRPr="00300EC8">
        <w:rPr>
          <w:rFonts w:ascii="Times New Roman" w:hAnsi="Times New Roman" w:cs="Times New Roman"/>
          <w:sz w:val="24"/>
          <w:szCs w:val="24"/>
        </w:rPr>
        <w:t xml:space="preserve"> and indexes it to inflation.  Additionally, the section aligns terminology to</w:t>
      </w:r>
      <w:r w:rsidR="00A91E1F" w:rsidRPr="00300EC8">
        <w:rPr>
          <w:rFonts w:ascii="Times New Roman" w:hAnsi="Times New Roman" w:cs="Times New Roman"/>
          <w:sz w:val="24"/>
          <w:szCs w:val="24"/>
        </w:rPr>
        <w:t xml:space="preserve"> </w:t>
      </w:r>
      <w:r w:rsidR="00C023CE" w:rsidRPr="00300EC8">
        <w:rPr>
          <w:rFonts w:ascii="Times New Roman" w:hAnsi="Times New Roman" w:cs="Times New Roman"/>
          <w:sz w:val="24"/>
          <w:szCs w:val="24"/>
        </w:rPr>
        <w:t>the revisions to the school funding provisions</w:t>
      </w:r>
      <w:r w:rsidR="00A4173C" w:rsidRPr="00300EC8">
        <w:rPr>
          <w:rFonts w:ascii="Times New Roman" w:hAnsi="Times New Roman" w:cs="Times New Roman"/>
          <w:sz w:val="24"/>
          <w:szCs w:val="24"/>
        </w:rPr>
        <w:t>.</w:t>
      </w:r>
    </w:p>
    <w:p w14:paraId="4CE94B15" w14:textId="77777777" w:rsidR="00D95F8C" w:rsidRPr="00300EC8" w:rsidRDefault="00D95F8C" w:rsidP="00D95F8C">
      <w:pPr>
        <w:pStyle w:val="ListParagraph"/>
        <w:rPr>
          <w:rFonts w:ascii="Times New Roman" w:hAnsi="Times New Roman" w:cs="Times New Roman"/>
          <w:sz w:val="24"/>
          <w:szCs w:val="24"/>
        </w:rPr>
      </w:pPr>
    </w:p>
    <w:p w14:paraId="05DD42F3" w14:textId="53D8749E" w:rsidR="009655BB" w:rsidRPr="00300EC8" w:rsidRDefault="000807EC" w:rsidP="009655BB">
      <w:pPr>
        <w:pStyle w:val="ListParagraph"/>
        <w:numPr>
          <w:ilvl w:val="0"/>
          <w:numId w:val="2"/>
        </w:numPr>
        <w:ind w:left="1080" w:hanging="720"/>
        <w:rPr>
          <w:rFonts w:ascii="Times New Roman" w:hAnsi="Times New Roman" w:cs="Times New Roman"/>
          <w:sz w:val="24"/>
          <w:szCs w:val="24"/>
        </w:rPr>
      </w:pPr>
      <w:r>
        <w:rPr>
          <w:rFonts w:ascii="Times New Roman" w:hAnsi="Times New Roman" w:cs="Times New Roman"/>
          <w:sz w:val="24"/>
          <w:szCs w:val="24"/>
        </w:rPr>
        <w:t>SECTION 22</w:t>
      </w:r>
      <w:r w:rsidR="00F84F56" w:rsidRPr="00300EC8">
        <w:rPr>
          <w:rFonts w:ascii="Times New Roman" w:hAnsi="Times New Roman" w:cs="Times New Roman"/>
          <w:sz w:val="24"/>
          <w:szCs w:val="24"/>
        </w:rPr>
        <w:t xml:space="preserve"> </w:t>
      </w:r>
      <w:r w:rsidR="00C023CE" w:rsidRPr="00300EC8">
        <w:rPr>
          <w:rFonts w:ascii="Times New Roman" w:hAnsi="Times New Roman" w:cs="Times New Roman"/>
          <w:sz w:val="24"/>
          <w:szCs w:val="24"/>
        </w:rPr>
        <w:t xml:space="preserve">amends the </w:t>
      </w:r>
      <w:r w:rsidR="00A5018C" w:rsidRPr="00300EC8">
        <w:rPr>
          <w:rFonts w:ascii="Times New Roman" w:hAnsi="Times New Roman" w:cs="Times New Roman"/>
          <w:sz w:val="24"/>
          <w:szCs w:val="24"/>
        </w:rPr>
        <w:t xml:space="preserve">program </w:t>
      </w:r>
      <w:r w:rsidR="00C023CE" w:rsidRPr="00300EC8">
        <w:rPr>
          <w:rFonts w:ascii="Times New Roman" w:hAnsi="Times New Roman" w:cs="Times New Roman"/>
          <w:sz w:val="24"/>
          <w:szCs w:val="24"/>
        </w:rPr>
        <w:t xml:space="preserve">used to reimburse school districts for </w:t>
      </w:r>
      <w:r w:rsidR="009655BB" w:rsidRPr="00300EC8">
        <w:rPr>
          <w:rFonts w:ascii="Times New Roman" w:hAnsi="Times New Roman" w:cs="Times New Roman"/>
          <w:sz w:val="24"/>
          <w:szCs w:val="24"/>
        </w:rPr>
        <w:t xml:space="preserve">increases in </w:t>
      </w:r>
      <w:r w:rsidR="00F84F56" w:rsidRPr="00300EC8">
        <w:rPr>
          <w:rFonts w:ascii="Times New Roman" w:hAnsi="Times New Roman" w:cs="Times New Roman"/>
          <w:sz w:val="24"/>
          <w:szCs w:val="24"/>
        </w:rPr>
        <w:t>charter school tuition</w:t>
      </w:r>
      <w:r w:rsidR="00C023CE" w:rsidRPr="00300EC8">
        <w:rPr>
          <w:rFonts w:ascii="Times New Roman" w:hAnsi="Times New Roman" w:cs="Times New Roman"/>
          <w:sz w:val="24"/>
          <w:szCs w:val="24"/>
        </w:rPr>
        <w:t xml:space="preserve">.  Specifically, it reestablishes a </w:t>
      </w:r>
      <w:r w:rsidR="00F84F56" w:rsidRPr="00300EC8">
        <w:rPr>
          <w:rFonts w:ascii="Times New Roman" w:hAnsi="Times New Roman" w:cs="Times New Roman"/>
          <w:sz w:val="24"/>
          <w:szCs w:val="24"/>
        </w:rPr>
        <w:t>three-year 100%/60%/40% schedule</w:t>
      </w:r>
      <w:r w:rsidR="00A5018C" w:rsidRPr="00300EC8">
        <w:rPr>
          <w:rFonts w:ascii="Times New Roman" w:hAnsi="Times New Roman" w:cs="Times New Roman"/>
          <w:sz w:val="24"/>
          <w:szCs w:val="24"/>
        </w:rPr>
        <w:t xml:space="preserve"> (a sending district receives </w:t>
      </w:r>
      <w:r w:rsidR="00C023CE" w:rsidRPr="00300EC8">
        <w:rPr>
          <w:rFonts w:ascii="Times New Roman" w:hAnsi="Times New Roman" w:cs="Times New Roman"/>
          <w:sz w:val="24"/>
          <w:szCs w:val="24"/>
        </w:rPr>
        <w:t xml:space="preserve">a </w:t>
      </w:r>
      <w:r w:rsidR="00A5018C" w:rsidRPr="00300EC8">
        <w:rPr>
          <w:rFonts w:ascii="Times New Roman" w:hAnsi="Times New Roman" w:cs="Times New Roman"/>
          <w:sz w:val="24"/>
          <w:szCs w:val="24"/>
        </w:rPr>
        <w:t>100% reimbursement of an increase in charter school tuition in the first year, 60% of that increase in the second year, and 40% of the increase in the third year)</w:t>
      </w:r>
      <w:r w:rsidR="00C023CE" w:rsidRPr="00300EC8">
        <w:rPr>
          <w:rFonts w:ascii="Times New Roman" w:hAnsi="Times New Roman" w:cs="Times New Roman"/>
          <w:sz w:val="24"/>
          <w:szCs w:val="24"/>
        </w:rPr>
        <w:t xml:space="preserve">.  </w:t>
      </w:r>
      <w:r w:rsidR="009655BB" w:rsidRPr="00300EC8">
        <w:rPr>
          <w:rFonts w:ascii="Times New Roman" w:hAnsi="Times New Roman" w:cs="Times New Roman"/>
          <w:sz w:val="24"/>
          <w:szCs w:val="24"/>
        </w:rPr>
        <w:t>It further focuses transitional aid on actual increases in charter enrollments from the sending districts rather than simply higher tuition payments from the district.  The revised program also provides a minimal level of state support for charter tuition payments for districts with tuition costs in excess of 9% of their net school spending.  The established minimum will be linked to average state support of foundation budgets statewide.</w:t>
      </w:r>
    </w:p>
    <w:p w14:paraId="7CE24257" w14:textId="77777777" w:rsidR="0042180B" w:rsidRPr="00300EC8" w:rsidRDefault="0042180B" w:rsidP="009655BB">
      <w:pPr>
        <w:rPr>
          <w:rFonts w:ascii="Times New Roman" w:hAnsi="Times New Roman" w:cs="Times New Roman"/>
          <w:sz w:val="24"/>
          <w:szCs w:val="24"/>
        </w:rPr>
      </w:pPr>
    </w:p>
    <w:p w14:paraId="5D5FE6B3" w14:textId="3C6804A6" w:rsidR="00D95F8C" w:rsidRPr="00300EC8" w:rsidRDefault="00D95F8C" w:rsidP="0042180B">
      <w:pPr>
        <w:pStyle w:val="ListParagraph"/>
        <w:numPr>
          <w:ilvl w:val="0"/>
          <w:numId w:val="2"/>
        </w:numPr>
        <w:ind w:left="1080" w:hanging="720"/>
        <w:rPr>
          <w:rFonts w:ascii="Times New Roman" w:hAnsi="Times New Roman" w:cs="Times New Roman"/>
          <w:sz w:val="24"/>
          <w:szCs w:val="24"/>
        </w:rPr>
      </w:pPr>
      <w:r w:rsidRPr="00300EC8">
        <w:rPr>
          <w:rFonts w:ascii="Times New Roman" w:hAnsi="Times New Roman" w:cs="Times New Roman"/>
          <w:sz w:val="24"/>
          <w:szCs w:val="24"/>
        </w:rPr>
        <w:t>S</w:t>
      </w:r>
      <w:r w:rsidR="000807EC">
        <w:rPr>
          <w:rFonts w:ascii="Times New Roman" w:hAnsi="Times New Roman" w:cs="Times New Roman"/>
          <w:sz w:val="24"/>
          <w:szCs w:val="24"/>
        </w:rPr>
        <w:t>ECTION 23</w:t>
      </w:r>
      <w:r w:rsidR="00C023CE" w:rsidRPr="00300EC8">
        <w:rPr>
          <w:rFonts w:ascii="Times New Roman" w:hAnsi="Times New Roman" w:cs="Times New Roman"/>
          <w:sz w:val="24"/>
          <w:szCs w:val="24"/>
        </w:rPr>
        <w:t xml:space="preserve"> directs the Commissioner to study the feasibility of established tiered foundation budget rates for career and vocational programs which would enable </w:t>
      </w:r>
      <w:r w:rsidR="005844E0" w:rsidRPr="00300EC8">
        <w:rPr>
          <w:rFonts w:ascii="Times New Roman" w:hAnsi="Times New Roman" w:cs="Times New Roman"/>
          <w:sz w:val="24"/>
          <w:szCs w:val="24"/>
        </w:rPr>
        <w:t xml:space="preserve">more expensive programs </w:t>
      </w:r>
      <w:r w:rsidR="00C023CE" w:rsidRPr="00300EC8">
        <w:rPr>
          <w:rFonts w:ascii="Times New Roman" w:hAnsi="Times New Roman" w:cs="Times New Roman"/>
          <w:sz w:val="24"/>
          <w:szCs w:val="24"/>
        </w:rPr>
        <w:t xml:space="preserve">to </w:t>
      </w:r>
      <w:r w:rsidR="005844E0" w:rsidRPr="00300EC8">
        <w:rPr>
          <w:rFonts w:ascii="Times New Roman" w:hAnsi="Times New Roman" w:cs="Times New Roman"/>
          <w:sz w:val="24"/>
          <w:szCs w:val="24"/>
        </w:rPr>
        <w:t xml:space="preserve">receive higher levels of funding and less expensive programs </w:t>
      </w:r>
      <w:r w:rsidR="00C023CE" w:rsidRPr="00300EC8">
        <w:rPr>
          <w:rFonts w:ascii="Times New Roman" w:hAnsi="Times New Roman" w:cs="Times New Roman"/>
          <w:sz w:val="24"/>
          <w:szCs w:val="24"/>
        </w:rPr>
        <w:t xml:space="preserve">to </w:t>
      </w:r>
      <w:r w:rsidR="005844E0" w:rsidRPr="00300EC8">
        <w:rPr>
          <w:rFonts w:ascii="Times New Roman" w:hAnsi="Times New Roman" w:cs="Times New Roman"/>
          <w:sz w:val="24"/>
          <w:szCs w:val="24"/>
        </w:rPr>
        <w:t xml:space="preserve">receive </w:t>
      </w:r>
      <w:r w:rsidR="00C023CE" w:rsidRPr="00300EC8">
        <w:rPr>
          <w:rFonts w:ascii="Times New Roman" w:hAnsi="Times New Roman" w:cs="Times New Roman"/>
          <w:sz w:val="24"/>
          <w:szCs w:val="24"/>
        </w:rPr>
        <w:t xml:space="preserve">funding </w:t>
      </w:r>
      <w:r w:rsidR="005844E0" w:rsidRPr="00300EC8">
        <w:rPr>
          <w:rFonts w:ascii="Times New Roman" w:hAnsi="Times New Roman" w:cs="Times New Roman"/>
          <w:sz w:val="24"/>
          <w:szCs w:val="24"/>
        </w:rPr>
        <w:t xml:space="preserve">commensurate with their costs. </w:t>
      </w:r>
      <w:r w:rsidR="00C023CE" w:rsidRPr="00300EC8">
        <w:rPr>
          <w:rFonts w:ascii="Times New Roman" w:hAnsi="Times New Roman" w:cs="Times New Roman"/>
          <w:sz w:val="24"/>
          <w:szCs w:val="24"/>
        </w:rPr>
        <w:t xml:space="preserve"> </w:t>
      </w:r>
      <w:r w:rsidR="005844E0" w:rsidRPr="00300EC8">
        <w:rPr>
          <w:rFonts w:ascii="Times New Roman" w:hAnsi="Times New Roman" w:cs="Times New Roman"/>
          <w:sz w:val="24"/>
          <w:szCs w:val="24"/>
        </w:rPr>
        <w:t>The study will also consider whether to propose a separate school choice tuition rate for vocational programs.</w:t>
      </w:r>
    </w:p>
    <w:p w14:paraId="17FC087E" w14:textId="77777777" w:rsidR="00D95F8C" w:rsidRPr="00300EC8" w:rsidRDefault="00D95F8C" w:rsidP="00D95F8C">
      <w:pPr>
        <w:pStyle w:val="ListParagraph"/>
        <w:rPr>
          <w:rFonts w:ascii="Times New Roman" w:hAnsi="Times New Roman" w:cs="Times New Roman"/>
          <w:sz w:val="24"/>
          <w:szCs w:val="24"/>
        </w:rPr>
      </w:pPr>
    </w:p>
    <w:p w14:paraId="38680B40" w14:textId="45EB1426" w:rsidR="007A23FE" w:rsidRDefault="00A4173C" w:rsidP="007A23FE">
      <w:pPr>
        <w:pStyle w:val="ListParagraph"/>
        <w:numPr>
          <w:ilvl w:val="0"/>
          <w:numId w:val="2"/>
        </w:numPr>
        <w:ind w:left="1080" w:hanging="720"/>
        <w:rPr>
          <w:rFonts w:ascii="Times New Roman" w:hAnsi="Times New Roman" w:cs="Times New Roman"/>
          <w:sz w:val="24"/>
          <w:szCs w:val="24"/>
        </w:rPr>
      </w:pPr>
      <w:r w:rsidRPr="00300EC8">
        <w:rPr>
          <w:rFonts w:ascii="Times New Roman" w:hAnsi="Times New Roman" w:cs="Times New Roman"/>
          <w:sz w:val="24"/>
          <w:szCs w:val="24"/>
        </w:rPr>
        <w:t xml:space="preserve">SECTION </w:t>
      </w:r>
      <w:r w:rsidR="008A7428" w:rsidRPr="00300EC8">
        <w:rPr>
          <w:rFonts w:ascii="Times New Roman" w:hAnsi="Times New Roman" w:cs="Times New Roman"/>
          <w:sz w:val="24"/>
          <w:szCs w:val="24"/>
        </w:rPr>
        <w:t>2</w:t>
      </w:r>
      <w:r w:rsidR="000807EC">
        <w:rPr>
          <w:rFonts w:ascii="Times New Roman" w:hAnsi="Times New Roman" w:cs="Times New Roman"/>
          <w:sz w:val="24"/>
          <w:szCs w:val="24"/>
        </w:rPr>
        <w:t>4</w:t>
      </w:r>
      <w:r w:rsidR="00D95F8C" w:rsidRPr="00300EC8">
        <w:rPr>
          <w:rFonts w:ascii="Times New Roman" w:hAnsi="Times New Roman" w:cs="Times New Roman"/>
          <w:sz w:val="24"/>
          <w:szCs w:val="24"/>
        </w:rPr>
        <w:t xml:space="preserve"> e</w:t>
      </w:r>
      <w:r w:rsidRPr="00300EC8">
        <w:rPr>
          <w:rFonts w:ascii="Times New Roman" w:hAnsi="Times New Roman" w:cs="Times New Roman"/>
          <w:sz w:val="24"/>
          <w:szCs w:val="24"/>
        </w:rPr>
        <w:t xml:space="preserve">stablishes a special commission to study and make recommendations concerning the long-term fiscal health of rural school districts in the Commonwealth </w:t>
      </w:r>
      <w:r w:rsidR="00C023CE" w:rsidRPr="00300EC8">
        <w:rPr>
          <w:rFonts w:ascii="Times New Roman" w:hAnsi="Times New Roman" w:cs="Times New Roman"/>
          <w:sz w:val="24"/>
          <w:szCs w:val="24"/>
        </w:rPr>
        <w:t xml:space="preserve">that face </w:t>
      </w:r>
      <w:r w:rsidRPr="00300EC8">
        <w:rPr>
          <w:rFonts w:ascii="Times New Roman" w:hAnsi="Times New Roman" w:cs="Times New Roman"/>
          <w:sz w:val="24"/>
          <w:szCs w:val="24"/>
        </w:rPr>
        <w:t xml:space="preserve">or that may face declining student enrollment.  </w:t>
      </w:r>
    </w:p>
    <w:p w14:paraId="13B08C58" w14:textId="77777777" w:rsidR="007A23FE" w:rsidRPr="007A23FE" w:rsidRDefault="007A23FE" w:rsidP="007A23FE">
      <w:pPr>
        <w:pStyle w:val="ListParagraph"/>
        <w:rPr>
          <w:rFonts w:ascii="Times New Roman" w:hAnsi="Times New Roman"/>
          <w:sz w:val="24"/>
          <w:szCs w:val="24"/>
        </w:rPr>
      </w:pPr>
    </w:p>
    <w:p w14:paraId="4657DCD5" w14:textId="1BC8C2F3" w:rsidR="00C023CE" w:rsidRPr="007A23FE" w:rsidRDefault="007A23FE" w:rsidP="007A23FE">
      <w:pPr>
        <w:pStyle w:val="ListParagraph"/>
        <w:numPr>
          <w:ilvl w:val="0"/>
          <w:numId w:val="2"/>
        </w:numPr>
        <w:ind w:left="1080" w:hanging="720"/>
        <w:rPr>
          <w:rFonts w:ascii="Times New Roman" w:hAnsi="Times New Roman" w:cs="Times New Roman"/>
          <w:sz w:val="24"/>
          <w:szCs w:val="24"/>
        </w:rPr>
      </w:pPr>
      <w:r>
        <w:rPr>
          <w:rFonts w:ascii="Times New Roman" w:hAnsi="Times New Roman"/>
          <w:sz w:val="24"/>
          <w:szCs w:val="24"/>
        </w:rPr>
        <w:t>SECTION 2</w:t>
      </w:r>
      <w:r w:rsidR="000807EC">
        <w:rPr>
          <w:rFonts w:ascii="Times New Roman" w:hAnsi="Times New Roman"/>
          <w:sz w:val="24"/>
          <w:szCs w:val="24"/>
        </w:rPr>
        <w:t>5</w:t>
      </w:r>
      <w:r w:rsidRPr="007A23FE">
        <w:rPr>
          <w:rFonts w:ascii="Times New Roman" w:hAnsi="Times New Roman"/>
          <w:sz w:val="24"/>
          <w:szCs w:val="24"/>
        </w:rPr>
        <w:t> directs the use of any increased appropriations available for the transitional and supplemental assistance components of the charter reimbursement program, as authorized under the provisions of section 2</w:t>
      </w:r>
      <w:r w:rsidR="00640532">
        <w:rPr>
          <w:rFonts w:ascii="Times New Roman" w:hAnsi="Times New Roman"/>
          <w:sz w:val="24"/>
          <w:szCs w:val="24"/>
        </w:rPr>
        <w:t>2</w:t>
      </w:r>
      <w:r w:rsidRPr="007A23FE">
        <w:rPr>
          <w:rFonts w:ascii="Times New Roman" w:hAnsi="Times New Roman"/>
          <w:sz w:val="24"/>
          <w:szCs w:val="24"/>
        </w:rPr>
        <w:t xml:space="preserve">, to support movement of both of these elements of the program towards full funding at an equal pace. </w:t>
      </w:r>
      <w:r>
        <w:rPr>
          <w:rFonts w:ascii="Times New Roman" w:hAnsi="Times New Roman"/>
          <w:sz w:val="24"/>
          <w:szCs w:val="24"/>
        </w:rPr>
        <w:t xml:space="preserve"> </w:t>
      </w:r>
      <w:r w:rsidRPr="007A23FE">
        <w:rPr>
          <w:rFonts w:ascii="Times New Roman" w:hAnsi="Times New Roman"/>
          <w:sz w:val="24"/>
          <w:szCs w:val="24"/>
        </w:rPr>
        <w:t>The language is designed to be transitional and is specific to increases provided over the next three fiscal years</w:t>
      </w:r>
      <w:r w:rsidR="00AA09F4">
        <w:rPr>
          <w:rFonts w:ascii="Times New Roman" w:hAnsi="Times New Roman"/>
          <w:sz w:val="24"/>
          <w:szCs w:val="24"/>
        </w:rPr>
        <w:t>.</w:t>
      </w:r>
    </w:p>
    <w:p w14:paraId="30617AC0" w14:textId="77777777" w:rsidR="007A23FE" w:rsidRDefault="007A23FE" w:rsidP="007A23FE">
      <w:pPr>
        <w:pStyle w:val="ListParagraph"/>
        <w:ind w:left="1080"/>
        <w:rPr>
          <w:rFonts w:ascii="Times New Roman" w:hAnsi="Times New Roman" w:cs="Times New Roman"/>
          <w:sz w:val="24"/>
          <w:szCs w:val="24"/>
        </w:rPr>
      </w:pPr>
    </w:p>
    <w:p w14:paraId="4A9EBA24" w14:textId="5EF16269" w:rsidR="00C023CE" w:rsidRPr="00300EC8" w:rsidRDefault="00C023CE" w:rsidP="00C023CE">
      <w:pPr>
        <w:pStyle w:val="ListParagraph"/>
        <w:numPr>
          <w:ilvl w:val="0"/>
          <w:numId w:val="2"/>
        </w:numPr>
        <w:ind w:left="1080" w:hanging="720"/>
        <w:rPr>
          <w:rFonts w:ascii="Times New Roman" w:hAnsi="Times New Roman" w:cs="Times New Roman"/>
          <w:sz w:val="24"/>
          <w:szCs w:val="24"/>
        </w:rPr>
      </w:pPr>
      <w:r w:rsidRPr="00300EC8">
        <w:rPr>
          <w:rFonts w:ascii="Times New Roman" w:hAnsi="Times New Roman" w:cs="Times New Roman"/>
          <w:sz w:val="24"/>
          <w:szCs w:val="24"/>
        </w:rPr>
        <w:t>SECTION 2</w:t>
      </w:r>
      <w:r w:rsidR="000807EC">
        <w:rPr>
          <w:rFonts w:ascii="Times New Roman" w:hAnsi="Times New Roman" w:cs="Times New Roman"/>
          <w:sz w:val="24"/>
          <w:szCs w:val="24"/>
        </w:rPr>
        <w:t>6</w:t>
      </w:r>
      <w:r w:rsidRPr="00300EC8">
        <w:rPr>
          <w:rFonts w:ascii="Times New Roman" w:hAnsi="Times New Roman" w:cs="Times New Roman"/>
          <w:sz w:val="24"/>
          <w:szCs w:val="24"/>
        </w:rPr>
        <w:t xml:space="preserve"> establishes the effective date of all sections as </w:t>
      </w:r>
      <w:r w:rsidR="001057B3">
        <w:rPr>
          <w:rFonts w:ascii="Times New Roman" w:hAnsi="Times New Roman" w:cs="Times New Roman"/>
          <w:sz w:val="24"/>
          <w:szCs w:val="24"/>
        </w:rPr>
        <w:t>July 1, 2019</w:t>
      </w:r>
      <w:r w:rsidRPr="00300EC8">
        <w:rPr>
          <w:rFonts w:ascii="Times New Roman" w:hAnsi="Times New Roman" w:cs="Times New Roman"/>
          <w:sz w:val="24"/>
          <w:szCs w:val="24"/>
        </w:rPr>
        <w:t>.</w:t>
      </w:r>
    </w:p>
    <w:sectPr w:rsidR="00C023CE" w:rsidRPr="00300EC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B8A4A" w14:textId="77777777" w:rsidR="00E006CC" w:rsidRDefault="00E006CC" w:rsidP="00D8588E">
      <w:pPr>
        <w:spacing w:line="240" w:lineRule="auto"/>
      </w:pPr>
      <w:r>
        <w:separator/>
      </w:r>
    </w:p>
  </w:endnote>
  <w:endnote w:type="continuationSeparator" w:id="0">
    <w:p w14:paraId="395BD8D1" w14:textId="77777777" w:rsidR="00E006CC" w:rsidRDefault="00E006CC" w:rsidP="00D858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91657316"/>
      <w:docPartObj>
        <w:docPartGallery w:val="Page Numbers (Bottom of Page)"/>
        <w:docPartUnique/>
      </w:docPartObj>
    </w:sdtPr>
    <w:sdtEndPr>
      <w:rPr>
        <w:noProof/>
      </w:rPr>
    </w:sdtEndPr>
    <w:sdtContent>
      <w:p w14:paraId="55BD911F" w14:textId="583FF72B" w:rsidR="00082DAF" w:rsidRPr="008128B9" w:rsidRDefault="00082DAF">
        <w:pPr>
          <w:pStyle w:val="Footer"/>
          <w:jc w:val="center"/>
          <w:rPr>
            <w:rFonts w:ascii="Times New Roman" w:hAnsi="Times New Roman" w:cs="Times New Roman"/>
            <w:sz w:val="24"/>
            <w:szCs w:val="24"/>
          </w:rPr>
        </w:pPr>
        <w:r w:rsidRPr="008128B9">
          <w:rPr>
            <w:rFonts w:ascii="Times New Roman" w:hAnsi="Times New Roman" w:cs="Times New Roman"/>
            <w:sz w:val="24"/>
            <w:szCs w:val="24"/>
          </w:rPr>
          <w:fldChar w:fldCharType="begin"/>
        </w:r>
        <w:r w:rsidRPr="008128B9">
          <w:rPr>
            <w:rFonts w:ascii="Times New Roman" w:hAnsi="Times New Roman" w:cs="Times New Roman"/>
            <w:sz w:val="24"/>
            <w:szCs w:val="24"/>
          </w:rPr>
          <w:instrText xml:space="preserve"> PAGE   \* MERGEFORMAT </w:instrText>
        </w:r>
        <w:r w:rsidRPr="008128B9">
          <w:rPr>
            <w:rFonts w:ascii="Times New Roman" w:hAnsi="Times New Roman" w:cs="Times New Roman"/>
            <w:sz w:val="24"/>
            <w:szCs w:val="24"/>
          </w:rPr>
          <w:fldChar w:fldCharType="separate"/>
        </w:r>
        <w:r w:rsidR="008D15F5">
          <w:rPr>
            <w:rFonts w:ascii="Times New Roman" w:hAnsi="Times New Roman" w:cs="Times New Roman"/>
            <w:noProof/>
            <w:sz w:val="24"/>
            <w:szCs w:val="24"/>
          </w:rPr>
          <w:t>5</w:t>
        </w:r>
        <w:r w:rsidRPr="008128B9">
          <w:rPr>
            <w:rFonts w:ascii="Times New Roman" w:hAnsi="Times New Roman" w:cs="Times New Roman"/>
            <w:noProof/>
            <w:sz w:val="24"/>
            <w:szCs w:val="24"/>
          </w:rPr>
          <w:fldChar w:fldCharType="end"/>
        </w:r>
      </w:p>
    </w:sdtContent>
  </w:sdt>
  <w:p w14:paraId="64753158" w14:textId="77777777" w:rsidR="00082DAF" w:rsidRPr="008128B9" w:rsidRDefault="00082DAF">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3D8B7" w14:textId="77777777" w:rsidR="00E006CC" w:rsidRDefault="00E006CC" w:rsidP="00D8588E">
      <w:pPr>
        <w:spacing w:line="240" w:lineRule="auto"/>
      </w:pPr>
      <w:r>
        <w:separator/>
      </w:r>
    </w:p>
  </w:footnote>
  <w:footnote w:type="continuationSeparator" w:id="0">
    <w:p w14:paraId="63890EE9" w14:textId="77777777" w:rsidR="00E006CC" w:rsidRDefault="00E006CC" w:rsidP="00D8588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F18FA"/>
    <w:multiLevelType w:val="hybridMultilevel"/>
    <w:tmpl w:val="81FAC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E60873"/>
    <w:multiLevelType w:val="hybridMultilevel"/>
    <w:tmpl w:val="B4128A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52F"/>
    <w:rsid w:val="000045C9"/>
    <w:rsid w:val="00006629"/>
    <w:rsid w:val="000507F8"/>
    <w:rsid w:val="00060C48"/>
    <w:rsid w:val="000612ED"/>
    <w:rsid w:val="00065E4B"/>
    <w:rsid w:val="000807EC"/>
    <w:rsid w:val="00082DAF"/>
    <w:rsid w:val="001057B3"/>
    <w:rsid w:val="00120C0C"/>
    <w:rsid w:val="001236B9"/>
    <w:rsid w:val="001416DB"/>
    <w:rsid w:val="001452A9"/>
    <w:rsid w:val="00152C74"/>
    <w:rsid w:val="0015682B"/>
    <w:rsid w:val="00190B28"/>
    <w:rsid w:val="001B652E"/>
    <w:rsid w:val="001D4DB4"/>
    <w:rsid w:val="001E42C5"/>
    <w:rsid w:val="001E5CD9"/>
    <w:rsid w:val="001E6D7E"/>
    <w:rsid w:val="0020635C"/>
    <w:rsid w:val="00216B30"/>
    <w:rsid w:val="00220D77"/>
    <w:rsid w:val="00234C7E"/>
    <w:rsid w:val="00237B41"/>
    <w:rsid w:val="00285309"/>
    <w:rsid w:val="002920B0"/>
    <w:rsid w:val="002C1B1C"/>
    <w:rsid w:val="002C48AE"/>
    <w:rsid w:val="002C5285"/>
    <w:rsid w:val="002E2E4C"/>
    <w:rsid w:val="00300EC8"/>
    <w:rsid w:val="0035148B"/>
    <w:rsid w:val="003519B6"/>
    <w:rsid w:val="00392621"/>
    <w:rsid w:val="003D4B62"/>
    <w:rsid w:val="003D7CE4"/>
    <w:rsid w:val="003E0620"/>
    <w:rsid w:val="003E313A"/>
    <w:rsid w:val="003F23AA"/>
    <w:rsid w:val="003F54EC"/>
    <w:rsid w:val="0040056D"/>
    <w:rsid w:val="00412760"/>
    <w:rsid w:val="0042180B"/>
    <w:rsid w:val="0044193E"/>
    <w:rsid w:val="00444B10"/>
    <w:rsid w:val="00446875"/>
    <w:rsid w:val="00497A28"/>
    <w:rsid w:val="004C75FD"/>
    <w:rsid w:val="004D7416"/>
    <w:rsid w:val="004E43B9"/>
    <w:rsid w:val="004F2066"/>
    <w:rsid w:val="00500406"/>
    <w:rsid w:val="00500EDB"/>
    <w:rsid w:val="005542E6"/>
    <w:rsid w:val="00567746"/>
    <w:rsid w:val="005844E0"/>
    <w:rsid w:val="0059131A"/>
    <w:rsid w:val="0059359C"/>
    <w:rsid w:val="00597F77"/>
    <w:rsid w:val="005E7791"/>
    <w:rsid w:val="00620B05"/>
    <w:rsid w:val="00625314"/>
    <w:rsid w:val="00640532"/>
    <w:rsid w:val="0065032E"/>
    <w:rsid w:val="00670DB2"/>
    <w:rsid w:val="0067792F"/>
    <w:rsid w:val="00690F98"/>
    <w:rsid w:val="006A18C4"/>
    <w:rsid w:val="006B78E2"/>
    <w:rsid w:val="006C1B7C"/>
    <w:rsid w:val="006C1F38"/>
    <w:rsid w:val="006D512E"/>
    <w:rsid w:val="007164AC"/>
    <w:rsid w:val="007255C2"/>
    <w:rsid w:val="007A23FE"/>
    <w:rsid w:val="007B206D"/>
    <w:rsid w:val="007E10F2"/>
    <w:rsid w:val="007E7F4E"/>
    <w:rsid w:val="007F4B00"/>
    <w:rsid w:val="0081036C"/>
    <w:rsid w:val="008128B9"/>
    <w:rsid w:val="00821D9B"/>
    <w:rsid w:val="0082457E"/>
    <w:rsid w:val="00836EFA"/>
    <w:rsid w:val="00846C1F"/>
    <w:rsid w:val="008705AE"/>
    <w:rsid w:val="00885F93"/>
    <w:rsid w:val="008911D6"/>
    <w:rsid w:val="008A5F52"/>
    <w:rsid w:val="008A7428"/>
    <w:rsid w:val="008B1F3B"/>
    <w:rsid w:val="008B426D"/>
    <w:rsid w:val="008D15F5"/>
    <w:rsid w:val="008D55B5"/>
    <w:rsid w:val="008D6B3C"/>
    <w:rsid w:val="008D6D3E"/>
    <w:rsid w:val="008D7E7E"/>
    <w:rsid w:val="00900B97"/>
    <w:rsid w:val="00924CB5"/>
    <w:rsid w:val="009655BB"/>
    <w:rsid w:val="0097445E"/>
    <w:rsid w:val="009A7D0A"/>
    <w:rsid w:val="009C3EC3"/>
    <w:rsid w:val="009E2630"/>
    <w:rsid w:val="009F63DC"/>
    <w:rsid w:val="00A002E5"/>
    <w:rsid w:val="00A305F2"/>
    <w:rsid w:val="00A37A79"/>
    <w:rsid w:val="00A41494"/>
    <w:rsid w:val="00A4173C"/>
    <w:rsid w:val="00A5018C"/>
    <w:rsid w:val="00A721A3"/>
    <w:rsid w:val="00A80617"/>
    <w:rsid w:val="00A91E1F"/>
    <w:rsid w:val="00A9230F"/>
    <w:rsid w:val="00A93BAC"/>
    <w:rsid w:val="00AA09F4"/>
    <w:rsid w:val="00AC79D3"/>
    <w:rsid w:val="00AD2E53"/>
    <w:rsid w:val="00AE157E"/>
    <w:rsid w:val="00AF38C3"/>
    <w:rsid w:val="00AF3AFA"/>
    <w:rsid w:val="00AF6821"/>
    <w:rsid w:val="00B04969"/>
    <w:rsid w:val="00B3078E"/>
    <w:rsid w:val="00B76B02"/>
    <w:rsid w:val="00B816F8"/>
    <w:rsid w:val="00B86B75"/>
    <w:rsid w:val="00BF5C9C"/>
    <w:rsid w:val="00C023CE"/>
    <w:rsid w:val="00C12D67"/>
    <w:rsid w:val="00C2003C"/>
    <w:rsid w:val="00C2352F"/>
    <w:rsid w:val="00C303FB"/>
    <w:rsid w:val="00C64251"/>
    <w:rsid w:val="00C65EA4"/>
    <w:rsid w:val="00C82C99"/>
    <w:rsid w:val="00CA1A3C"/>
    <w:rsid w:val="00CF0CA6"/>
    <w:rsid w:val="00CF2650"/>
    <w:rsid w:val="00CF7AB4"/>
    <w:rsid w:val="00D05084"/>
    <w:rsid w:val="00D1725A"/>
    <w:rsid w:val="00D2519D"/>
    <w:rsid w:val="00D25890"/>
    <w:rsid w:val="00D84B7B"/>
    <w:rsid w:val="00D8588E"/>
    <w:rsid w:val="00D95F8C"/>
    <w:rsid w:val="00E006CC"/>
    <w:rsid w:val="00E74631"/>
    <w:rsid w:val="00E93406"/>
    <w:rsid w:val="00E974BA"/>
    <w:rsid w:val="00EA0BF9"/>
    <w:rsid w:val="00ED34E4"/>
    <w:rsid w:val="00EE033D"/>
    <w:rsid w:val="00EF69C9"/>
    <w:rsid w:val="00F11DEA"/>
    <w:rsid w:val="00F54720"/>
    <w:rsid w:val="00F646BD"/>
    <w:rsid w:val="00F70DDE"/>
    <w:rsid w:val="00F81993"/>
    <w:rsid w:val="00F84018"/>
    <w:rsid w:val="00F84F56"/>
    <w:rsid w:val="00FB6BDE"/>
    <w:rsid w:val="00FE200A"/>
    <w:rsid w:val="00FE7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989A1"/>
  <w15:chartTrackingRefBased/>
  <w15:docId w15:val="{F391CCA6-B3EA-4069-9689-BA79DE07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15F5"/>
    <w:pPr>
      <w:jc w:val="center"/>
      <w:outlineLvl w:val="0"/>
    </w:pPr>
    <w:rPr>
      <w:rFonts w:ascii="Times New Roman"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3B9"/>
    <w:pPr>
      <w:ind w:left="720"/>
      <w:contextualSpacing/>
    </w:pPr>
  </w:style>
  <w:style w:type="paragraph" w:styleId="BalloonText">
    <w:name w:val="Balloon Text"/>
    <w:basedOn w:val="Normal"/>
    <w:link w:val="BalloonTextChar"/>
    <w:uiPriority w:val="99"/>
    <w:semiHidden/>
    <w:unhideWhenUsed/>
    <w:rsid w:val="004E43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3B9"/>
    <w:rPr>
      <w:rFonts w:ascii="Segoe UI" w:hAnsi="Segoe UI" w:cs="Segoe UI"/>
      <w:sz w:val="18"/>
      <w:szCs w:val="18"/>
    </w:rPr>
  </w:style>
  <w:style w:type="character" w:styleId="CommentReference">
    <w:name w:val="annotation reference"/>
    <w:basedOn w:val="DefaultParagraphFont"/>
    <w:uiPriority w:val="99"/>
    <w:semiHidden/>
    <w:unhideWhenUsed/>
    <w:rsid w:val="00C65EA4"/>
    <w:rPr>
      <w:sz w:val="16"/>
      <w:szCs w:val="16"/>
    </w:rPr>
  </w:style>
  <w:style w:type="paragraph" w:styleId="CommentText">
    <w:name w:val="annotation text"/>
    <w:basedOn w:val="Normal"/>
    <w:link w:val="CommentTextChar"/>
    <w:uiPriority w:val="99"/>
    <w:semiHidden/>
    <w:unhideWhenUsed/>
    <w:rsid w:val="00C65EA4"/>
    <w:pPr>
      <w:spacing w:line="240" w:lineRule="auto"/>
    </w:pPr>
    <w:rPr>
      <w:sz w:val="20"/>
      <w:szCs w:val="20"/>
    </w:rPr>
  </w:style>
  <w:style w:type="character" w:customStyle="1" w:styleId="CommentTextChar">
    <w:name w:val="Comment Text Char"/>
    <w:basedOn w:val="DefaultParagraphFont"/>
    <w:link w:val="CommentText"/>
    <w:uiPriority w:val="99"/>
    <w:semiHidden/>
    <w:rsid w:val="00C65EA4"/>
    <w:rPr>
      <w:sz w:val="20"/>
      <w:szCs w:val="20"/>
    </w:rPr>
  </w:style>
  <w:style w:type="paragraph" w:styleId="CommentSubject">
    <w:name w:val="annotation subject"/>
    <w:basedOn w:val="CommentText"/>
    <w:next w:val="CommentText"/>
    <w:link w:val="CommentSubjectChar"/>
    <w:uiPriority w:val="99"/>
    <w:semiHidden/>
    <w:unhideWhenUsed/>
    <w:rsid w:val="00C65EA4"/>
    <w:rPr>
      <w:b/>
      <w:bCs/>
    </w:rPr>
  </w:style>
  <w:style w:type="character" w:customStyle="1" w:styleId="CommentSubjectChar">
    <w:name w:val="Comment Subject Char"/>
    <w:basedOn w:val="CommentTextChar"/>
    <w:link w:val="CommentSubject"/>
    <w:uiPriority w:val="99"/>
    <w:semiHidden/>
    <w:rsid w:val="00C65EA4"/>
    <w:rPr>
      <w:b/>
      <w:bCs/>
      <w:sz w:val="20"/>
      <w:szCs w:val="20"/>
    </w:rPr>
  </w:style>
  <w:style w:type="paragraph" w:styleId="Header">
    <w:name w:val="header"/>
    <w:basedOn w:val="Normal"/>
    <w:link w:val="HeaderChar"/>
    <w:uiPriority w:val="99"/>
    <w:unhideWhenUsed/>
    <w:rsid w:val="00D8588E"/>
    <w:pPr>
      <w:tabs>
        <w:tab w:val="center" w:pos="4680"/>
        <w:tab w:val="right" w:pos="9360"/>
      </w:tabs>
      <w:spacing w:line="240" w:lineRule="auto"/>
    </w:pPr>
  </w:style>
  <w:style w:type="character" w:customStyle="1" w:styleId="HeaderChar">
    <w:name w:val="Header Char"/>
    <w:basedOn w:val="DefaultParagraphFont"/>
    <w:link w:val="Header"/>
    <w:uiPriority w:val="99"/>
    <w:rsid w:val="00D8588E"/>
  </w:style>
  <w:style w:type="paragraph" w:styleId="Footer">
    <w:name w:val="footer"/>
    <w:basedOn w:val="Normal"/>
    <w:link w:val="FooterChar"/>
    <w:uiPriority w:val="99"/>
    <w:unhideWhenUsed/>
    <w:rsid w:val="00D8588E"/>
    <w:pPr>
      <w:tabs>
        <w:tab w:val="center" w:pos="4680"/>
        <w:tab w:val="right" w:pos="9360"/>
      </w:tabs>
      <w:spacing w:line="240" w:lineRule="auto"/>
    </w:pPr>
  </w:style>
  <w:style w:type="character" w:customStyle="1" w:styleId="FooterChar">
    <w:name w:val="Footer Char"/>
    <w:basedOn w:val="DefaultParagraphFont"/>
    <w:link w:val="Footer"/>
    <w:uiPriority w:val="99"/>
    <w:rsid w:val="00D8588E"/>
  </w:style>
  <w:style w:type="paragraph" w:styleId="NormalWeb">
    <w:name w:val="Normal (Web)"/>
    <w:basedOn w:val="Normal"/>
    <w:uiPriority w:val="99"/>
    <w:semiHidden/>
    <w:unhideWhenUsed/>
    <w:rsid w:val="0081036C"/>
    <w:pPr>
      <w:spacing w:after="150"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D15F5"/>
    <w:pPr>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uiPriority w:val="10"/>
    <w:rsid w:val="008D15F5"/>
    <w:rPr>
      <w:rFonts w:ascii="Times New Roman" w:eastAsia="Times New Roman" w:hAnsi="Times New Roman" w:cs="Times New Roman"/>
      <w:b/>
      <w:sz w:val="24"/>
      <w:szCs w:val="24"/>
    </w:rPr>
  </w:style>
  <w:style w:type="character" w:customStyle="1" w:styleId="Heading1Char">
    <w:name w:val="Heading 1 Char"/>
    <w:basedOn w:val="DefaultParagraphFont"/>
    <w:link w:val="Heading1"/>
    <w:uiPriority w:val="9"/>
    <w:rsid w:val="008D15F5"/>
    <w:rPr>
      <w:rFonts w:ascii="Times New Roman" w:hAnsi="Times New Roman" w:cs="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260434">
      <w:bodyDiv w:val="1"/>
      <w:marLeft w:val="0"/>
      <w:marRight w:val="0"/>
      <w:marTop w:val="0"/>
      <w:marBottom w:val="0"/>
      <w:divBdr>
        <w:top w:val="none" w:sz="0" w:space="0" w:color="auto"/>
        <w:left w:val="none" w:sz="0" w:space="0" w:color="auto"/>
        <w:bottom w:val="none" w:sz="0" w:space="0" w:color="auto"/>
        <w:right w:val="none" w:sz="0" w:space="0" w:color="auto"/>
      </w:divBdr>
    </w:div>
    <w:div w:id="743067783">
      <w:bodyDiv w:val="1"/>
      <w:marLeft w:val="0"/>
      <w:marRight w:val="0"/>
      <w:marTop w:val="0"/>
      <w:marBottom w:val="0"/>
      <w:divBdr>
        <w:top w:val="none" w:sz="0" w:space="0" w:color="auto"/>
        <w:left w:val="none" w:sz="0" w:space="0" w:color="auto"/>
        <w:bottom w:val="none" w:sz="0" w:space="0" w:color="auto"/>
        <w:right w:val="none" w:sz="0" w:space="0" w:color="auto"/>
      </w:divBdr>
    </w:div>
    <w:div w:id="851259171">
      <w:bodyDiv w:val="1"/>
      <w:marLeft w:val="0"/>
      <w:marRight w:val="0"/>
      <w:marTop w:val="0"/>
      <w:marBottom w:val="0"/>
      <w:divBdr>
        <w:top w:val="none" w:sz="0" w:space="0" w:color="auto"/>
        <w:left w:val="none" w:sz="0" w:space="0" w:color="auto"/>
        <w:bottom w:val="none" w:sz="0" w:space="0" w:color="auto"/>
        <w:right w:val="none" w:sz="0" w:space="0" w:color="auto"/>
      </w:divBdr>
    </w:div>
    <w:div w:id="1309020751">
      <w:bodyDiv w:val="1"/>
      <w:marLeft w:val="0"/>
      <w:marRight w:val="0"/>
      <w:marTop w:val="0"/>
      <w:marBottom w:val="0"/>
      <w:divBdr>
        <w:top w:val="none" w:sz="0" w:space="0" w:color="auto"/>
        <w:left w:val="none" w:sz="0" w:space="0" w:color="auto"/>
        <w:bottom w:val="none" w:sz="0" w:space="0" w:color="auto"/>
        <w:right w:val="none" w:sz="0" w:space="0" w:color="auto"/>
      </w:divBdr>
    </w:div>
    <w:div w:id="1432435829">
      <w:bodyDiv w:val="1"/>
      <w:marLeft w:val="0"/>
      <w:marRight w:val="0"/>
      <w:marTop w:val="0"/>
      <w:marBottom w:val="0"/>
      <w:divBdr>
        <w:top w:val="none" w:sz="0" w:space="0" w:color="auto"/>
        <w:left w:val="none" w:sz="0" w:space="0" w:color="auto"/>
        <w:bottom w:val="none" w:sz="0" w:space="0" w:color="auto"/>
        <w:right w:val="none" w:sz="0" w:space="0" w:color="auto"/>
      </w:divBdr>
    </w:div>
    <w:div w:id="1620330555">
      <w:bodyDiv w:val="1"/>
      <w:marLeft w:val="0"/>
      <w:marRight w:val="0"/>
      <w:marTop w:val="0"/>
      <w:marBottom w:val="0"/>
      <w:divBdr>
        <w:top w:val="none" w:sz="0" w:space="0" w:color="auto"/>
        <w:left w:val="none" w:sz="0" w:space="0" w:color="auto"/>
        <w:bottom w:val="none" w:sz="0" w:space="0" w:color="auto"/>
        <w:right w:val="none" w:sz="0" w:space="0" w:color="auto"/>
      </w:divBdr>
    </w:div>
    <w:div w:id="1999311095">
      <w:bodyDiv w:val="1"/>
      <w:marLeft w:val="0"/>
      <w:marRight w:val="0"/>
      <w:marTop w:val="0"/>
      <w:marBottom w:val="0"/>
      <w:divBdr>
        <w:top w:val="none" w:sz="0" w:space="0" w:color="auto"/>
        <w:left w:val="none" w:sz="0" w:space="0" w:color="auto"/>
        <w:bottom w:val="none" w:sz="0" w:space="0" w:color="auto"/>
        <w:right w:val="none" w:sz="0" w:space="0" w:color="auto"/>
      </w:divBdr>
      <w:divsChild>
        <w:div w:id="949701250">
          <w:marLeft w:val="0"/>
          <w:marRight w:val="0"/>
          <w:marTop w:val="0"/>
          <w:marBottom w:val="0"/>
          <w:divBdr>
            <w:top w:val="none" w:sz="0" w:space="0" w:color="auto"/>
            <w:left w:val="none" w:sz="0" w:space="0" w:color="auto"/>
            <w:bottom w:val="none" w:sz="0" w:space="0" w:color="auto"/>
            <w:right w:val="none" w:sz="0" w:space="0" w:color="auto"/>
          </w:divBdr>
          <w:divsChild>
            <w:div w:id="1512524980">
              <w:marLeft w:val="0"/>
              <w:marRight w:val="0"/>
              <w:marTop w:val="0"/>
              <w:marBottom w:val="0"/>
              <w:divBdr>
                <w:top w:val="none" w:sz="0" w:space="0" w:color="auto"/>
                <w:left w:val="none" w:sz="0" w:space="0" w:color="auto"/>
                <w:bottom w:val="none" w:sz="0" w:space="0" w:color="auto"/>
                <w:right w:val="none" w:sz="0" w:space="0" w:color="auto"/>
              </w:divBdr>
              <w:divsChild>
                <w:div w:id="1812598997">
                  <w:marLeft w:val="0"/>
                  <w:marRight w:val="0"/>
                  <w:marTop w:val="0"/>
                  <w:marBottom w:val="0"/>
                  <w:divBdr>
                    <w:top w:val="none" w:sz="0" w:space="0" w:color="auto"/>
                    <w:left w:val="none" w:sz="0" w:space="0" w:color="auto"/>
                    <w:bottom w:val="none" w:sz="0" w:space="0" w:color="auto"/>
                    <w:right w:val="none" w:sz="0" w:space="0" w:color="auto"/>
                  </w:divBdr>
                  <w:divsChild>
                    <w:div w:id="1331759187">
                      <w:marLeft w:val="-225"/>
                      <w:marRight w:val="-225"/>
                      <w:marTop w:val="0"/>
                      <w:marBottom w:val="0"/>
                      <w:divBdr>
                        <w:top w:val="none" w:sz="0" w:space="0" w:color="auto"/>
                        <w:left w:val="none" w:sz="0" w:space="0" w:color="auto"/>
                        <w:bottom w:val="none" w:sz="0" w:space="0" w:color="auto"/>
                        <w:right w:val="none" w:sz="0" w:space="0" w:color="auto"/>
                      </w:divBdr>
                      <w:divsChild>
                        <w:div w:id="1299218119">
                          <w:marLeft w:val="0"/>
                          <w:marRight w:val="0"/>
                          <w:marTop w:val="0"/>
                          <w:marBottom w:val="0"/>
                          <w:divBdr>
                            <w:top w:val="none" w:sz="0" w:space="0" w:color="auto"/>
                            <w:left w:val="none" w:sz="0" w:space="0" w:color="auto"/>
                            <w:bottom w:val="none" w:sz="0" w:space="0" w:color="auto"/>
                            <w:right w:val="none" w:sz="0" w:space="0" w:color="auto"/>
                          </w:divBdr>
                          <w:divsChild>
                            <w:div w:id="658114412">
                              <w:marLeft w:val="-225"/>
                              <w:marRight w:val="-225"/>
                              <w:marTop w:val="0"/>
                              <w:marBottom w:val="0"/>
                              <w:divBdr>
                                <w:top w:val="none" w:sz="0" w:space="0" w:color="auto"/>
                                <w:left w:val="none" w:sz="0" w:space="0" w:color="auto"/>
                                <w:bottom w:val="none" w:sz="0" w:space="0" w:color="auto"/>
                                <w:right w:val="none" w:sz="0" w:space="0" w:color="auto"/>
                              </w:divBdr>
                              <w:divsChild>
                                <w:div w:id="29775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DESE-231-48295</_dlc_DocId>
    <_dlc_DocIdUrl xmlns="733efe1c-5bbe-4968-87dc-d400e65c879f">
      <Url>https://sharepoint.doemass.org/ese/webteam/cps/_layouts/DocIdRedir.aspx?ID=DESE-231-48295</Url>
      <Description>DESE-231-48295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4D6E9-066C-4572-A1D6-1120B62A71F9}">
  <ds:schemaRefs>
    <ds:schemaRef ds:uri="http://schemas.microsoft.com/sharepoint/events"/>
  </ds:schemaRefs>
</ds:datastoreItem>
</file>

<file path=customXml/itemProps2.xml><?xml version="1.0" encoding="utf-8"?>
<ds:datastoreItem xmlns:ds="http://schemas.openxmlformats.org/officeDocument/2006/customXml" ds:itemID="{1658A7D2-7FE5-4E0D-B2DA-210CFA38F220}">
  <ds:schemaRefs>
    <ds:schemaRef ds:uri="http://schemas.microsoft.com/sharepoint/v3/contenttype/forms"/>
  </ds:schemaRefs>
</ds:datastoreItem>
</file>

<file path=customXml/itemProps3.xml><?xml version="1.0" encoding="utf-8"?>
<ds:datastoreItem xmlns:ds="http://schemas.openxmlformats.org/officeDocument/2006/customXml" ds:itemID="{4291A21D-E2C8-4FD2-B520-D8F28C5201F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9651416A-8154-43D6-9411-FF373457A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B7DADD-7C29-4C1D-AC64-81945E64E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2050</Words>
  <Characters>11687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An Act to Promote Equity and Excellence in Education Section by Section Analysis</vt:lpstr>
    </vt:vector>
  </TitlesOfParts>
  <Company/>
  <LinksUpToDate>false</LinksUpToDate>
  <CharactersWithSpaces>13710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Act to Promote Equity and Excellence in Education Section by Section Analysis</dc:title>
  <dc:subject/>
  <dc:creator>DESE</dc:creator>
  <cp:keywords/>
  <dc:description/>
  <cp:lastModifiedBy>Zou, Dong (EOE)</cp:lastModifiedBy>
  <cp:revision>3</cp:revision>
  <cp:lastPrinted>2019-01-11T18:59:00Z</cp:lastPrinted>
  <dcterms:created xsi:type="dcterms:W3CDTF">2019-01-24T20:02:00Z</dcterms:created>
  <dcterms:modified xsi:type="dcterms:W3CDTF">2019-01-24T22:10:00Z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24 2019</vt:lpwstr>
  </property>
</Properties>
</file>