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50B95" w14:textId="77777777" w:rsidR="00DA6A70" w:rsidRPr="00AF1CFD" w:rsidRDefault="00DA6A70" w:rsidP="00DA6A70">
      <w:pPr>
        <w:pStyle w:val="BodyText"/>
        <w:rPr>
          <w:rFonts w:ascii="Aptos" w:hAnsi="Aptos"/>
        </w:rPr>
      </w:pPr>
      <w:r w:rsidRPr="00AF1CFD">
        <w:rPr>
          <w:rFonts w:ascii="Aptos" w:hAnsi="Aptos"/>
        </w:rPr>
        <w:t xml:space="preserve">While DESE strongly believes that effective educators demonstrate all skills outlined in the PSTs, teachers will deepen and advance these skills throughout the course of their careers. Considering this, these Guidelines differentiate the levels of mastery that candidates must develop for each element by the time they complete their Initial teacher preparation program and are endorsed for licensure. </w:t>
      </w:r>
    </w:p>
    <w:p w14:paraId="2D3A2A7F" w14:textId="77777777" w:rsidR="00DA6A70" w:rsidRPr="00AF1CFD" w:rsidRDefault="00DA6A70" w:rsidP="00DA6A70">
      <w:pPr>
        <w:pStyle w:val="BodyText"/>
        <w:rPr>
          <w:rFonts w:ascii="Aptos" w:hAnsi="Aptos"/>
        </w:rPr>
      </w:pPr>
      <w:r w:rsidRPr="00AF1CFD">
        <w:rPr>
          <w:rFonts w:ascii="Aptos" w:hAnsi="Aptos"/>
        </w:rPr>
        <w:t>To determine the levels of practice for the updated PST elements, DESE gathered survey feedback from nearly 200 representatives from educator preparation programs and PK-12 districts across Massachusetts. DESE also convened a working group of educator preparation program leaders and faculty, program supervisors, supervising practitioners, recent completers, and other PK-12 representatives to inform the updated PST practice levels. Updates were also informed by ongoing research on teacher quality and impact in Massachusetts</w:t>
      </w:r>
      <w:r w:rsidRPr="00AF1CFD">
        <w:rPr>
          <w:rStyle w:val="FootnoteReference"/>
          <w:rFonts w:ascii="Aptos" w:hAnsi="Aptos"/>
        </w:rPr>
        <w:footnoteReference w:id="2"/>
      </w:r>
      <w:r w:rsidRPr="00AF1CFD">
        <w:rPr>
          <w:rFonts w:ascii="Aptos" w:hAnsi="Aptos"/>
        </w:rPr>
        <w:t xml:space="preserve"> and the research base showing the importance and developmental trajectory of specific evidence-based skills that foster culturally and linguistically sustaining practices in beginning teachers. </w:t>
      </w:r>
    </w:p>
    <w:p w14:paraId="2B7D1C09" w14:textId="77777777" w:rsidR="00DA6A70" w:rsidRPr="00AF1CFD" w:rsidRDefault="00DA6A70" w:rsidP="00DA6A70">
      <w:pPr>
        <w:pStyle w:val="BodyText"/>
        <w:rPr>
          <w:rFonts w:ascii="Aptos" w:hAnsi="Aptos"/>
        </w:rPr>
      </w:pPr>
      <w:r w:rsidRPr="00AF1CFD">
        <w:rPr>
          <w:rFonts w:ascii="Aptos" w:hAnsi="Aptos"/>
        </w:rPr>
        <w:t>The chart below defines each level of practice and what it means for teacher candidates during their preparation. Each level of practice builds on the level(s) preceding it:</w:t>
      </w:r>
    </w:p>
    <w:tbl>
      <w:tblPr>
        <w:tblW w:w="13680" w:type="dxa"/>
        <w:tblInd w:w="-185" w:type="dxa"/>
        <w:tbl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insideH w:val="single" w:sz="8" w:space="0" w:color="0F4761" w:themeColor="accent1" w:themeShade="BF"/>
          <w:insideV w:val="single" w:sz="8" w:space="0" w:color="0F4761" w:themeColor="accent1" w:themeShade="BF"/>
        </w:tblBorders>
        <w:tblLayout w:type="fixed"/>
        <w:tblCellMar>
          <w:left w:w="115" w:type="dxa"/>
          <w:right w:w="115" w:type="dxa"/>
        </w:tblCellMar>
        <w:tblLook w:val="0400" w:firstRow="0" w:lastRow="0" w:firstColumn="0" w:lastColumn="0" w:noHBand="0" w:noVBand="1"/>
      </w:tblPr>
      <w:tblGrid>
        <w:gridCol w:w="1710"/>
        <w:gridCol w:w="7054"/>
        <w:gridCol w:w="4916"/>
      </w:tblGrid>
      <w:tr w:rsidR="00DA6A70" w:rsidRPr="009C4F9A" w14:paraId="28A1F6A2" w14:textId="77777777" w:rsidTr="00DE2F19">
        <w:trPr>
          <w:trHeight w:val="503"/>
        </w:trPr>
        <w:tc>
          <w:tcPr>
            <w:tcW w:w="1710" w:type="dxa"/>
            <w:shd w:val="clear" w:color="auto" w:fill="EDF7FD"/>
            <w:vAlign w:val="center"/>
          </w:tcPr>
          <w:p w14:paraId="79A94D33" w14:textId="77777777" w:rsidR="00DA6A70" w:rsidRPr="00AF1CFD" w:rsidRDefault="00DA6A70" w:rsidP="00180809">
            <w:pPr>
              <w:jc w:val="center"/>
              <w:rPr>
                <w:rFonts w:ascii="Aptos" w:hAnsi="Aptos"/>
                <w:b/>
              </w:rPr>
            </w:pPr>
            <w:r w:rsidRPr="00AF1CFD">
              <w:rPr>
                <w:rFonts w:ascii="Aptos" w:hAnsi="Aptos"/>
                <w:b/>
              </w:rPr>
              <w:t>Level</w:t>
            </w:r>
          </w:p>
        </w:tc>
        <w:tc>
          <w:tcPr>
            <w:tcW w:w="7054" w:type="dxa"/>
            <w:shd w:val="clear" w:color="auto" w:fill="EDF7FD"/>
            <w:vAlign w:val="center"/>
          </w:tcPr>
          <w:p w14:paraId="6F0385C0" w14:textId="77777777" w:rsidR="00DA6A70" w:rsidRPr="00AF1CFD" w:rsidRDefault="00DA6A70" w:rsidP="00180809">
            <w:pPr>
              <w:jc w:val="center"/>
              <w:rPr>
                <w:rFonts w:ascii="Aptos" w:hAnsi="Aptos"/>
                <w:b/>
              </w:rPr>
            </w:pPr>
            <w:r w:rsidRPr="00AF1CFD">
              <w:rPr>
                <w:rFonts w:ascii="Aptos" w:hAnsi="Aptos"/>
                <w:b/>
              </w:rPr>
              <w:t>Expectation for Candidates</w:t>
            </w:r>
          </w:p>
        </w:tc>
        <w:tc>
          <w:tcPr>
            <w:tcW w:w="4916" w:type="dxa"/>
            <w:shd w:val="clear" w:color="auto" w:fill="EDF7FD"/>
            <w:vAlign w:val="center"/>
          </w:tcPr>
          <w:p w14:paraId="752F0A10" w14:textId="77777777" w:rsidR="00DA6A70" w:rsidRPr="00AF1CFD" w:rsidRDefault="00000000" w:rsidP="00180809">
            <w:pPr>
              <w:jc w:val="center"/>
              <w:rPr>
                <w:rFonts w:ascii="Aptos" w:hAnsi="Aptos"/>
                <w:b/>
              </w:rPr>
            </w:pPr>
            <w:sdt>
              <w:sdtPr>
                <w:rPr>
                  <w:rFonts w:ascii="Aptos" w:hAnsi="Aptos"/>
                </w:rPr>
                <w:tag w:val="goog_rdk_5"/>
                <w:id w:val="309147573"/>
              </w:sdtPr>
              <w:sdtContent/>
            </w:sdt>
            <w:sdt>
              <w:sdtPr>
                <w:rPr>
                  <w:rFonts w:ascii="Aptos" w:hAnsi="Aptos"/>
                </w:rPr>
                <w:tag w:val="goog_rdk_6"/>
                <w:id w:val="2002839114"/>
              </w:sdtPr>
              <w:sdtContent/>
            </w:sdt>
            <w:r w:rsidR="00DA6A70" w:rsidRPr="00AF1CFD">
              <w:rPr>
                <w:rFonts w:ascii="Aptos" w:hAnsi="Aptos"/>
                <w:b/>
              </w:rPr>
              <w:t>Examples</w:t>
            </w:r>
          </w:p>
        </w:tc>
      </w:tr>
      <w:tr w:rsidR="00DA6A70" w:rsidRPr="009C4F9A" w14:paraId="61DF98A2" w14:textId="77777777" w:rsidTr="00180809">
        <w:trPr>
          <w:trHeight w:val="300"/>
        </w:trPr>
        <w:tc>
          <w:tcPr>
            <w:tcW w:w="1710" w:type="dxa"/>
            <w:vAlign w:val="center"/>
          </w:tcPr>
          <w:p w14:paraId="687F7134" w14:textId="77777777" w:rsidR="00DA6A70" w:rsidRPr="00AF1CFD" w:rsidRDefault="00DA6A70" w:rsidP="00180809">
            <w:pPr>
              <w:jc w:val="center"/>
              <w:rPr>
                <w:rFonts w:ascii="Aptos" w:hAnsi="Aptos"/>
              </w:rPr>
            </w:pPr>
            <w:r w:rsidRPr="00AF1CFD">
              <w:rPr>
                <w:rFonts w:ascii="Aptos" w:hAnsi="Aptos"/>
              </w:rPr>
              <w:t>Introduce</w:t>
            </w:r>
          </w:p>
        </w:tc>
        <w:tc>
          <w:tcPr>
            <w:tcW w:w="7054" w:type="dxa"/>
            <w:vAlign w:val="center"/>
          </w:tcPr>
          <w:p w14:paraId="7C26B53F" w14:textId="77777777" w:rsidR="00DA6A70" w:rsidRPr="00AF1CFD" w:rsidRDefault="00DA6A70" w:rsidP="00180809">
            <w:pPr>
              <w:rPr>
                <w:rFonts w:ascii="Aptos" w:hAnsi="Aptos"/>
                <w:color w:val="000000"/>
              </w:rPr>
            </w:pPr>
            <w:bookmarkStart w:id="0" w:name="_heading=h.3j2qqm3" w:colFirst="0" w:colLast="0"/>
            <w:bookmarkEnd w:id="0"/>
            <w:r w:rsidRPr="00AF1CFD">
              <w:rPr>
                <w:rFonts w:ascii="Aptos" w:hAnsi="Aptos"/>
                <w:color w:val="000000"/>
              </w:rPr>
              <w:t xml:space="preserve">Candidates </w:t>
            </w:r>
            <w:r w:rsidRPr="00AF1CFD">
              <w:rPr>
                <w:rFonts w:ascii="Aptos" w:hAnsi="Aptos"/>
                <w:b/>
                <w:i/>
                <w:color w:val="000000"/>
              </w:rPr>
              <w:t>exhibit a foundational understanding</w:t>
            </w:r>
            <w:r w:rsidRPr="00AF1CFD">
              <w:rPr>
                <w:rFonts w:ascii="Aptos" w:hAnsi="Aptos"/>
                <w:color w:val="000000"/>
              </w:rPr>
              <w:t xml:space="preserve"> of key concepts and skills through coursework and/or in early field-based experiences.</w:t>
            </w:r>
          </w:p>
        </w:tc>
        <w:tc>
          <w:tcPr>
            <w:tcW w:w="4916" w:type="dxa"/>
            <w:vAlign w:val="center"/>
          </w:tcPr>
          <w:p w14:paraId="74043E86" w14:textId="77777777" w:rsidR="00DA6A70" w:rsidRPr="00AF1CFD" w:rsidRDefault="00DA6A70" w:rsidP="00180809">
            <w:pPr>
              <w:rPr>
                <w:rFonts w:ascii="Aptos" w:hAnsi="Aptos"/>
                <w:color w:val="000000"/>
              </w:rPr>
            </w:pPr>
            <w:r w:rsidRPr="00AF1CFD">
              <w:rPr>
                <w:rFonts w:ascii="Aptos" w:hAnsi="Aptos"/>
                <w:color w:val="000000"/>
              </w:rPr>
              <w:t>Readings, observations, assignments, or assessments that expose candidates to the theoretical and practical aspects of the element</w:t>
            </w:r>
          </w:p>
        </w:tc>
      </w:tr>
      <w:tr w:rsidR="00DA6A70" w:rsidRPr="009C4F9A" w14:paraId="38E5C257" w14:textId="77777777" w:rsidTr="00180809">
        <w:trPr>
          <w:trHeight w:val="300"/>
        </w:trPr>
        <w:tc>
          <w:tcPr>
            <w:tcW w:w="1710" w:type="dxa"/>
            <w:vAlign w:val="center"/>
          </w:tcPr>
          <w:p w14:paraId="59EF65BA" w14:textId="77777777" w:rsidR="00DA6A70" w:rsidRPr="00AF1CFD" w:rsidRDefault="00DA6A70" w:rsidP="00180809">
            <w:pPr>
              <w:jc w:val="center"/>
              <w:rPr>
                <w:rFonts w:ascii="Aptos" w:hAnsi="Aptos"/>
              </w:rPr>
            </w:pPr>
            <w:r w:rsidRPr="00AF1CFD">
              <w:rPr>
                <w:rFonts w:ascii="Aptos" w:hAnsi="Aptos"/>
              </w:rPr>
              <w:t>Practice</w:t>
            </w:r>
          </w:p>
        </w:tc>
        <w:tc>
          <w:tcPr>
            <w:tcW w:w="7054" w:type="dxa"/>
            <w:vAlign w:val="center"/>
          </w:tcPr>
          <w:p w14:paraId="501E7978" w14:textId="77777777" w:rsidR="00DA6A70" w:rsidRPr="00AF1CFD" w:rsidRDefault="00DA6A70" w:rsidP="00180809">
            <w:pPr>
              <w:rPr>
                <w:rFonts w:ascii="Aptos" w:hAnsi="Aptos"/>
                <w:color w:val="000000"/>
              </w:rPr>
            </w:pPr>
            <w:r w:rsidRPr="00AF1CFD">
              <w:rPr>
                <w:rFonts w:ascii="Aptos" w:hAnsi="Aptos"/>
                <w:color w:val="000000" w:themeColor="text1"/>
              </w:rPr>
              <w:t xml:space="preserve">Candidates are introduced to and then </w:t>
            </w:r>
            <w:r w:rsidRPr="00AF1CFD">
              <w:rPr>
                <w:rFonts w:ascii="Aptos" w:hAnsi="Aptos"/>
                <w:b/>
                <w:i/>
                <w:color w:val="000000" w:themeColor="text1"/>
              </w:rPr>
              <w:t>actively engage in opportunities to apply</w:t>
            </w:r>
            <w:r w:rsidRPr="00AF1CFD">
              <w:rPr>
                <w:rFonts w:ascii="Aptos" w:hAnsi="Aptos"/>
                <w:color w:val="000000" w:themeColor="text1"/>
              </w:rPr>
              <w:t xml:space="preserve"> the concepts and skills they have learned. They have opportunities to practice these skills, be observed by instructors or field supervisors, and obtain feedback.  </w:t>
            </w:r>
          </w:p>
        </w:tc>
        <w:tc>
          <w:tcPr>
            <w:tcW w:w="4916" w:type="dxa"/>
            <w:vAlign w:val="center"/>
          </w:tcPr>
          <w:p w14:paraId="3C26D5D3" w14:textId="77777777" w:rsidR="00DA6A70" w:rsidRPr="00AF1CFD" w:rsidRDefault="00DA6A70" w:rsidP="00180809">
            <w:pPr>
              <w:rPr>
                <w:rFonts w:ascii="Aptos" w:hAnsi="Aptos"/>
                <w:color w:val="000000"/>
              </w:rPr>
            </w:pPr>
            <w:r w:rsidRPr="00AF1CFD">
              <w:rPr>
                <w:rFonts w:ascii="Aptos" w:hAnsi="Aptos"/>
              </w:rPr>
              <w:t xml:space="preserve">Opportunities in coursework and/or field-based experiences: Simulations, rehearsals, role plays; one-on-one, small group, or whole group instruction in field placements; planning and data meetings; engagement with the school community </w:t>
            </w:r>
          </w:p>
        </w:tc>
      </w:tr>
      <w:tr w:rsidR="00DA6A70" w:rsidRPr="009C4F9A" w14:paraId="44141490" w14:textId="77777777" w:rsidTr="00180809">
        <w:trPr>
          <w:trHeight w:val="300"/>
        </w:trPr>
        <w:tc>
          <w:tcPr>
            <w:tcW w:w="1710" w:type="dxa"/>
            <w:vAlign w:val="center"/>
          </w:tcPr>
          <w:p w14:paraId="615D5068" w14:textId="77777777" w:rsidR="00DA6A70" w:rsidRPr="00AF1CFD" w:rsidRDefault="00DA6A70" w:rsidP="00180809">
            <w:pPr>
              <w:jc w:val="center"/>
              <w:rPr>
                <w:rFonts w:ascii="Aptos" w:hAnsi="Aptos"/>
              </w:rPr>
            </w:pPr>
            <w:r w:rsidRPr="00AF1CFD">
              <w:rPr>
                <w:rFonts w:ascii="Aptos" w:hAnsi="Aptos"/>
              </w:rPr>
              <w:lastRenderedPageBreak/>
              <w:t>Demonstrate</w:t>
            </w:r>
          </w:p>
        </w:tc>
        <w:tc>
          <w:tcPr>
            <w:tcW w:w="7054" w:type="dxa"/>
            <w:vAlign w:val="center"/>
          </w:tcPr>
          <w:p w14:paraId="53E28696" w14:textId="77777777" w:rsidR="00DA6A70" w:rsidRPr="00AF1CFD" w:rsidRDefault="00DA6A70" w:rsidP="00180809">
            <w:pPr>
              <w:rPr>
                <w:rFonts w:ascii="Aptos" w:hAnsi="Aptos"/>
                <w:color w:val="000000"/>
              </w:rPr>
            </w:pPr>
            <w:r w:rsidRPr="00AF1CFD">
              <w:rPr>
                <w:rFonts w:ascii="Aptos" w:hAnsi="Aptos"/>
                <w:color w:val="000000" w:themeColor="text1"/>
              </w:rPr>
              <w:t xml:space="preserve">Candidates practice and are ultimately able to </w:t>
            </w:r>
            <w:r w:rsidRPr="00AF1CFD">
              <w:rPr>
                <w:rFonts w:ascii="Aptos" w:hAnsi="Aptos"/>
                <w:b/>
                <w:i/>
                <w:color w:val="000000" w:themeColor="text1"/>
              </w:rPr>
              <w:t xml:space="preserve">demonstrate proficiency </w:t>
            </w:r>
            <w:r w:rsidRPr="00AF1CFD">
              <w:rPr>
                <w:rFonts w:ascii="Aptos" w:hAnsi="Aptos"/>
                <w:color w:val="000000" w:themeColor="text1"/>
              </w:rPr>
              <w:t xml:space="preserve">in the concepts and skills they have acquired. They </w:t>
            </w:r>
            <w:proofErr w:type="gramStart"/>
            <w:r w:rsidRPr="00AF1CFD">
              <w:rPr>
                <w:rFonts w:ascii="Aptos" w:hAnsi="Aptos"/>
                <w:color w:val="000000" w:themeColor="text1"/>
              </w:rPr>
              <w:t>are able to</w:t>
            </w:r>
            <w:proofErr w:type="gramEnd"/>
            <w:r w:rsidRPr="00AF1CFD">
              <w:rPr>
                <w:rFonts w:ascii="Aptos" w:hAnsi="Aptos"/>
                <w:color w:val="000000" w:themeColor="text1"/>
              </w:rPr>
              <w:t xml:space="preserve"> apply their knowledge and skills in various situations, including in field-based experiences. Their application of the concepts and skills meets established standards. </w:t>
            </w:r>
            <w:r w:rsidRPr="00AF1CFD">
              <w:rPr>
                <w:rFonts w:ascii="Aptos" w:hAnsi="Aptos"/>
                <w:b/>
                <w:color w:val="000000" w:themeColor="text1"/>
              </w:rPr>
              <w:t xml:space="preserve">They </w:t>
            </w:r>
            <w:proofErr w:type="gramStart"/>
            <w:r w:rsidRPr="00AF1CFD">
              <w:rPr>
                <w:rFonts w:ascii="Aptos" w:hAnsi="Aptos"/>
                <w:b/>
                <w:color w:val="000000" w:themeColor="text1"/>
              </w:rPr>
              <w:t>are able to</w:t>
            </w:r>
            <w:proofErr w:type="gramEnd"/>
            <w:r w:rsidRPr="00AF1CFD">
              <w:rPr>
                <w:rFonts w:ascii="Aptos" w:hAnsi="Aptos"/>
                <w:b/>
                <w:color w:val="000000" w:themeColor="text1"/>
              </w:rPr>
              <w:t xml:space="preserve"> demonstrate the concepts and skills without the need for significant guidance or support, though they may still be developing the scope and consistency expected for the Essential Elements. </w:t>
            </w:r>
          </w:p>
          <w:p w14:paraId="34521C68" w14:textId="77777777" w:rsidR="00DA6A70" w:rsidRPr="00AF1CFD" w:rsidRDefault="00DA6A70" w:rsidP="00180809">
            <w:pPr>
              <w:rPr>
                <w:rFonts w:ascii="Aptos" w:hAnsi="Aptos"/>
              </w:rPr>
            </w:pPr>
          </w:p>
        </w:tc>
        <w:tc>
          <w:tcPr>
            <w:tcW w:w="4916" w:type="dxa"/>
            <w:vAlign w:val="center"/>
          </w:tcPr>
          <w:p w14:paraId="4D189B8B" w14:textId="77777777" w:rsidR="00DA6A70" w:rsidRPr="00AF1CFD" w:rsidRDefault="00DA6A70" w:rsidP="00180809">
            <w:pPr>
              <w:rPr>
                <w:rFonts w:ascii="Aptos" w:hAnsi="Aptos"/>
                <w:color w:val="000000"/>
              </w:rPr>
            </w:pPr>
            <w:r w:rsidRPr="00AF1CFD">
              <w:rPr>
                <w:rFonts w:ascii="Aptos" w:hAnsi="Aptos"/>
                <w:i/>
                <w:iCs/>
              </w:rPr>
              <w:t>These should build on prior opportunities to practice and receive feedback</w:t>
            </w:r>
            <w:r w:rsidRPr="00AF1CFD">
              <w:rPr>
                <w:rFonts w:ascii="Aptos" w:hAnsi="Aptos"/>
              </w:rPr>
              <w:t>: One-on-one, small group, or whole group instruction in field placements; planning and data meetings; engagement with school community</w:t>
            </w:r>
          </w:p>
        </w:tc>
      </w:tr>
      <w:tr w:rsidR="00DA6A70" w:rsidRPr="009C4F9A" w14:paraId="2C18884D" w14:textId="77777777" w:rsidTr="00180809">
        <w:trPr>
          <w:trHeight w:val="300"/>
        </w:trPr>
        <w:tc>
          <w:tcPr>
            <w:tcW w:w="1710" w:type="dxa"/>
            <w:vAlign w:val="center"/>
          </w:tcPr>
          <w:p w14:paraId="5165B5D3" w14:textId="77777777" w:rsidR="00DA6A70" w:rsidRPr="00AF1CFD" w:rsidRDefault="00DA6A70" w:rsidP="00180809">
            <w:pPr>
              <w:jc w:val="center"/>
              <w:rPr>
                <w:rFonts w:ascii="Aptos" w:hAnsi="Aptos"/>
              </w:rPr>
            </w:pPr>
            <w:r w:rsidRPr="00AF1CFD">
              <w:rPr>
                <w:rFonts w:ascii="Aptos" w:hAnsi="Aptos"/>
              </w:rPr>
              <w:t>Essential Elements</w:t>
            </w:r>
          </w:p>
        </w:tc>
        <w:tc>
          <w:tcPr>
            <w:tcW w:w="7054" w:type="dxa"/>
            <w:vAlign w:val="center"/>
          </w:tcPr>
          <w:p w14:paraId="45FD2D81" w14:textId="77777777" w:rsidR="00DA6A70" w:rsidRPr="00AF1CFD" w:rsidRDefault="00DA6A70" w:rsidP="00180809">
            <w:pPr>
              <w:rPr>
                <w:rFonts w:ascii="Aptos" w:hAnsi="Aptos"/>
                <w:color w:val="000000"/>
              </w:rPr>
            </w:pPr>
            <w:r w:rsidRPr="00AF1CFD">
              <w:rPr>
                <w:rFonts w:ascii="Aptos" w:hAnsi="Aptos"/>
                <w:color w:val="000000" w:themeColor="text1"/>
              </w:rPr>
              <w:t xml:space="preserve">A subset of elements at the “demonstrate” level have been identified as the Essential Elements. These are the practices and skills assessed through the Candidate Assessment of Performance (CAP). Each Essential Element was selected in part because the knowledge and skills it describes serve as an umbrella to other elements within the PSTs (See </w:t>
            </w:r>
            <w:hyperlink w:anchor="_Appendix_C:_Crosswalk" w:history="1">
              <w:r w:rsidRPr="00AF1CFD">
                <w:rPr>
                  <w:rStyle w:val="Hyperlink"/>
                  <w:rFonts w:ascii="Aptos" w:hAnsi="Aptos"/>
                </w:rPr>
                <w:t>Appendix C</w:t>
              </w:r>
            </w:hyperlink>
            <w:r w:rsidRPr="00AF1CFD">
              <w:rPr>
                <w:rFonts w:ascii="Aptos" w:hAnsi="Aptos"/>
                <w:color w:val="000000" w:themeColor="text1"/>
              </w:rPr>
              <w:t xml:space="preserve">). Candidates must meet the established readiness thresholds for quality, scope, and consistency for each Essential Element to be deemed “ready to teach” during their practicum (see </w:t>
            </w:r>
            <w:hyperlink r:id="rId10" w:history="1">
              <w:r w:rsidRPr="00AF1CFD">
                <w:rPr>
                  <w:rStyle w:val="Hyperlink"/>
                  <w:rFonts w:ascii="Aptos" w:hAnsi="Aptos"/>
                </w:rPr>
                <w:t>2024 Guidelines for the Candidate Assessment of Performance</w:t>
              </w:r>
            </w:hyperlink>
            <w:r w:rsidRPr="00AF1CFD">
              <w:rPr>
                <w:rFonts w:ascii="Aptos" w:hAnsi="Aptos"/>
                <w:color w:val="000000" w:themeColor="text1"/>
              </w:rPr>
              <w:t>).</w:t>
            </w:r>
          </w:p>
        </w:tc>
        <w:tc>
          <w:tcPr>
            <w:tcW w:w="4916" w:type="dxa"/>
            <w:vAlign w:val="center"/>
          </w:tcPr>
          <w:p w14:paraId="1CC77D24" w14:textId="77777777" w:rsidR="00DA6A70" w:rsidRPr="00AF1CFD" w:rsidRDefault="00DA6A70" w:rsidP="00180809">
            <w:pPr>
              <w:rPr>
                <w:rFonts w:ascii="Aptos" w:hAnsi="Aptos"/>
              </w:rPr>
            </w:pPr>
            <w:r w:rsidRPr="00AF1CFD">
              <w:rPr>
                <w:rFonts w:ascii="Aptos" w:hAnsi="Aptos"/>
              </w:rPr>
              <w:t>Building on opportunities to practice and demonstrate these elements in coursework and field-based experiences, the Essential Elements should be demonstrated in appropriate settings during a candidate’s practicum experience.</w:t>
            </w:r>
          </w:p>
        </w:tc>
      </w:tr>
    </w:tbl>
    <w:p w14:paraId="4431AA9E" w14:textId="77777777" w:rsidR="00DA6A70" w:rsidRDefault="00DA6A70" w:rsidP="00DA6A70">
      <w:pPr>
        <w:rPr>
          <w:rFonts w:ascii="Aptos" w:hAnsi="Aptos"/>
        </w:rPr>
      </w:pPr>
    </w:p>
    <w:p w14:paraId="406B5587" w14:textId="77777777" w:rsidR="00DA6A70" w:rsidRPr="00AF1CFD" w:rsidRDefault="00DA6A70" w:rsidP="00DA6A70">
      <w:pPr>
        <w:rPr>
          <w:rFonts w:ascii="Aptos" w:hAnsi="Aptos"/>
        </w:rPr>
      </w:pPr>
      <w:r w:rsidRPr="76B7CB14">
        <w:rPr>
          <w:rFonts w:ascii="Aptos" w:hAnsi="Aptos"/>
        </w:rPr>
        <w:t>These</w:t>
      </w:r>
      <w:r w:rsidRPr="00AF1CFD">
        <w:rPr>
          <w:rFonts w:ascii="Aptos" w:hAnsi="Aptos"/>
        </w:rPr>
        <w:t xml:space="preserve"> levels do not suggest a hierarchy for the elements</w:t>
      </w:r>
      <w:r w:rsidRPr="76B7CB14">
        <w:rPr>
          <w:rFonts w:ascii="Aptos" w:hAnsi="Aptos"/>
        </w:rPr>
        <w:t>, but rather a trajectory of learning and development.</w:t>
      </w:r>
      <w:r w:rsidRPr="00AF1CFD">
        <w:rPr>
          <w:rFonts w:ascii="Aptos" w:hAnsi="Aptos"/>
        </w:rPr>
        <w:t xml:space="preserve"> Candidates should experience thoughtful exposure to </w:t>
      </w:r>
      <w:r w:rsidRPr="76B7CB14">
        <w:rPr>
          <w:rFonts w:ascii="Aptos" w:hAnsi="Aptos"/>
        </w:rPr>
        <w:t>all elements</w:t>
      </w:r>
      <w:r w:rsidRPr="00AF1CFD">
        <w:rPr>
          <w:rFonts w:ascii="Aptos" w:hAnsi="Aptos"/>
        </w:rPr>
        <w:t xml:space="preserve"> and have appropriate opportunities to practice or demonstrate those that have been determined as most critical for success in meeting the needs of all students as beginning teachers, particularly those from systemically marginalized groups and communities.</w:t>
      </w:r>
    </w:p>
    <w:p w14:paraId="7B929DD7" w14:textId="18B3DBE7" w:rsidR="007D688D" w:rsidRPr="00DA6A70" w:rsidRDefault="007D688D">
      <w:pPr>
        <w:rPr>
          <w:rFonts w:ascii="Aptos" w:hAnsi="Aptos"/>
          <w:b/>
          <w:color w:val="0E2841" w:themeColor="text2"/>
          <w:sz w:val="32"/>
          <w:szCs w:val="48"/>
        </w:rPr>
      </w:pPr>
    </w:p>
    <w:sectPr w:rsidR="007D688D" w:rsidRPr="00DA6A70" w:rsidSect="00DA6A70">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BC26" w14:textId="77777777" w:rsidR="00F13C32" w:rsidRDefault="00F13C32" w:rsidP="00DA6A70">
      <w:pPr>
        <w:spacing w:line="240" w:lineRule="auto"/>
      </w:pPr>
      <w:r>
        <w:separator/>
      </w:r>
    </w:p>
  </w:endnote>
  <w:endnote w:type="continuationSeparator" w:id="0">
    <w:p w14:paraId="5FE5BB40" w14:textId="77777777" w:rsidR="00F13C32" w:rsidRDefault="00F13C32" w:rsidP="00DA6A70">
      <w:pPr>
        <w:spacing w:line="240" w:lineRule="auto"/>
      </w:pPr>
      <w:r>
        <w:continuationSeparator/>
      </w:r>
    </w:p>
  </w:endnote>
  <w:endnote w:type="continuationNotice" w:id="1">
    <w:p w14:paraId="3277A383" w14:textId="77777777" w:rsidR="00F13C32" w:rsidRDefault="00F13C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2274DEB4" w14:paraId="79D174D8" w14:textId="77777777" w:rsidTr="2274DEB4">
      <w:trPr>
        <w:trHeight w:val="300"/>
      </w:trPr>
      <w:tc>
        <w:tcPr>
          <w:tcW w:w="4320" w:type="dxa"/>
        </w:tcPr>
        <w:p w14:paraId="1F88A288" w14:textId="79804B3F" w:rsidR="2274DEB4" w:rsidRDefault="2274DEB4" w:rsidP="2274DEB4">
          <w:pPr>
            <w:pStyle w:val="Header"/>
            <w:ind w:left="-115"/>
          </w:pPr>
        </w:p>
      </w:tc>
      <w:tc>
        <w:tcPr>
          <w:tcW w:w="4320" w:type="dxa"/>
        </w:tcPr>
        <w:p w14:paraId="6C375AA0" w14:textId="602D26AC" w:rsidR="2274DEB4" w:rsidRDefault="2274DEB4" w:rsidP="2274DEB4">
          <w:pPr>
            <w:pStyle w:val="Header"/>
            <w:jc w:val="center"/>
          </w:pPr>
        </w:p>
      </w:tc>
      <w:tc>
        <w:tcPr>
          <w:tcW w:w="4320" w:type="dxa"/>
        </w:tcPr>
        <w:p w14:paraId="6B8F4022" w14:textId="7E9D2A1F" w:rsidR="2274DEB4" w:rsidRDefault="2274DEB4" w:rsidP="2274DEB4">
          <w:pPr>
            <w:pStyle w:val="Header"/>
            <w:ind w:right="-115"/>
            <w:jc w:val="right"/>
          </w:pPr>
        </w:p>
      </w:tc>
    </w:tr>
  </w:tbl>
  <w:p w14:paraId="20F755FD" w14:textId="563BEEAC" w:rsidR="2274DEB4" w:rsidRDefault="2274DEB4" w:rsidP="2274D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A2805" w14:textId="77777777" w:rsidR="00F13C32" w:rsidRDefault="00F13C32" w:rsidP="00DA6A70">
      <w:pPr>
        <w:spacing w:line="240" w:lineRule="auto"/>
      </w:pPr>
      <w:r>
        <w:separator/>
      </w:r>
    </w:p>
  </w:footnote>
  <w:footnote w:type="continuationSeparator" w:id="0">
    <w:p w14:paraId="653EE5CE" w14:textId="77777777" w:rsidR="00F13C32" w:rsidRDefault="00F13C32" w:rsidP="00DA6A70">
      <w:pPr>
        <w:spacing w:line="240" w:lineRule="auto"/>
      </w:pPr>
      <w:r>
        <w:continuationSeparator/>
      </w:r>
    </w:p>
  </w:footnote>
  <w:footnote w:type="continuationNotice" w:id="1">
    <w:p w14:paraId="42E79FB2" w14:textId="77777777" w:rsidR="00F13C32" w:rsidRDefault="00F13C32">
      <w:pPr>
        <w:spacing w:line="240" w:lineRule="auto"/>
      </w:pPr>
    </w:p>
  </w:footnote>
  <w:footnote w:id="2">
    <w:p w14:paraId="71CC8CB9" w14:textId="0B3C8DD5" w:rsidR="005C7FE0" w:rsidRPr="00DA6A70" w:rsidRDefault="005C7FE0" w:rsidP="005C7FE0">
      <w:pPr>
        <w:rPr>
          <w:sz w:val="20"/>
          <w:szCs w:val="20"/>
        </w:rPr>
      </w:pPr>
      <w:r>
        <w:rPr>
          <w:rStyle w:val="FootnoteReference"/>
          <w:sz w:val="20"/>
          <w:szCs w:val="20"/>
        </w:rPr>
        <w:t>*</w:t>
      </w:r>
      <w:r>
        <w:rPr>
          <w:sz w:val="20"/>
          <w:szCs w:val="20"/>
        </w:rPr>
        <w:t xml:space="preserve"> </w:t>
      </w:r>
      <w:r w:rsidRPr="00DA6A70">
        <w:rPr>
          <w:sz w:val="20"/>
          <w:szCs w:val="20"/>
        </w:rPr>
        <w:t xml:space="preserve"> This Quick Reference Guide is taken directly from the </w:t>
      </w:r>
      <w:hyperlink r:id="rId1" w:history="1">
        <w:r w:rsidRPr="00DA6A70">
          <w:rPr>
            <w:rStyle w:val="Hyperlink"/>
            <w:sz w:val="20"/>
            <w:szCs w:val="20"/>
          </w:rPr>
          <w:t>2024 Guidelines for Professional Standards for Teachers</w:t>
        </w:r>
      </w:hyperlink>
      <w:r w:rsidRPr="00DA6A70">
        <w:rPr>
          <w:sz w:val="20"/>
          <w:szCs w:val="20"/>
        </w:rPr>
        <w:t>. Please see the Guidelines for additional information.</w:t>
      </w:r>
    </w:p>
    <w:p w14:paraId="19C1ECD7" w14:textId="29C56E3C" w:rsidR="00DA6A70" w:rsidRDefault="00DA6A70" w:rsidP="00DA6A70">
      <w:pPr>
        <w:pStyle w:val="FootnoteText"/>
      </w:pPr>
      <w:r>
        <w:rPr>
          <w:rStyle w:val="FootnoteReference"/>
        </w:rPr>
        <w:footnoteRef/>
      </w:r>
      <w:r>
        <w:t xml:space="preserve"> See the </w:t>
      </w:r>
      <w:hyperlink r:id="rId2" w:history="1">
        <w:r w:rsidRPr="007856B3">
          <w:rPr>
            <w:rStyle w:val="Hyperlink"/>
          </w:rPr>
          <w:t>Continuous Improvement</w:t>
        </w:r>
      </w:hyperlink>
      <w:r>
        <w:t xml:space="preserve"> page on DESE’s Educator Preparation website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9BAB" w14:textId="18580B6B" w:rsidR="00A60938" w:rsidRDefault="00A60938" w:rsidP="2274DEB4">
    <w:pPr>
      <w:pStyle w:val="Heading1"/>
      <w:ind w:right="3060"/>
      <w:rPr>
        <w:rFonts w:ascii="Aptos" w:hAnsi="Aptos"/>
        <w:b/>
        <w:bCs/>
        <w:color w:val="1A4785"/>
        <w:sz w:val="32"/>
        <w:szCs w:val="32"/>
      </w:rPr>
    </w:pPr>
    <w:r w:rsidRPr="00845596">
      <w:rPr>
        <w:rFonts w:ascii="Aptos" w:hAnsi="Aptos"/>
        <w:b/>
        <w:bCs/>
        <w:noProof/>
        <w:color w:val="0E4588"/>
        <w:sz w:val="32"/>
        <w:szCs w:val="32"/>
      </w:rPr>
      <w:drawing>
        <wp:anchor distT="0" distB="0" distL="114300" distR="114300" simplePos="0" relativeHeight="251659264" behindDoc="0" locked="0" layoutInCell="1" allowOverlap="1" wp14:anchorId="70D9B73C" wp14:editId="1F5C0E34">
          <wp:simplePos x="0" y="0"/>
          <wp:positionH relativeFrom="margin">
            <wp:posOffset>6251575</wp:posOffset>
          </wp:positionH>
          <wp:positionV relativeFrom="paragraph">
            <wp:posOffset>-3810</wp:posOffset>
          </wp:positionV>
          <wp:extent cx="2063750" cy="589328"/>
          <wp:effectExtent l="0" t="0" r="0" b="0"/>
          <wp:wrapNone/>
          <wp:docPr id="1405266663"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2274DEB4" w:rsidRPr="2274DEB4">
      <w:rPr>
        <w:rFonts w:ascii="Aptos" w:hAnsi="Aptos"/>
        <w:b/>
        <w:bCs/>
        <w:color w:val="1A4785"/>
        <w:sz w:val="32"/>
        <w:szCs w:val="32"/>
      </w:rPr>
      <w:t>Quick Reference Guide: Differentiated Practice Levels</w:t>
    </w:r>
  </w:p>
  <w:p w14:paraId="614C115B" w14:textId="0F50CC97" w:rsidR="001A4854" w:rsidRPr="0036541D" w:rsidRDefault="001A4854" w:rsidP="001A4854"/>
  <w:p w14:paraId="0619B217" w14:textId="77777777" w:rsidR="00845596" w:rsidRPr="00845596" w:rsidRDefault="00845596" w:rsidP="008455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70"/>
    <w:rsid w:val="0005428C"/>
    <w:rsid w:val="000B5224"/>
    <w:rsid w:val="00103DF4"/>
    <w:rsid w:val="00180809"/>
    <w:rsid w:val="001A4854"/>
    <w:rsid w:val="001D61BF"/>
    <w:rsid w:val="00254BC6"/>
    <w:rsid w:val="00290178"/>
    <w:rsid w:val="00297F59"/>
    <w:rsid w:val="00315D1A"/>
    <w:rsid w:val="00346EC4"/>
    <w:rsid w:val="0036541D"/>
    <w:rsid w:val="003C2CDB"/>
    <w:rsid w:val="0041062B"/>
    <w:rsid w:val="004534FB"/>
    <w:rsid w:val="00553E81"/>
    <w:rsid w:val="005C7FE0"/>
    <w:rsid w:val="006D0D6E"/>
    <w:rsid w:val="007D688D"/>
    <w:rsid w:val="00845596"/>
    <w:rsid w:val="0086539C"/>
    <w:rsid w:val="00A60938"/>
    <w:rsid w:val="00A65147"/>
    <w:rsid w:val="00B369BB"/>
    <w:rsid w:val="00B87A2B"/>
    <w:rsid w:val="00C33FFA"/>
    <w:rsid w:val="00C93463"/>
    <w:rsid w:val="00D43EB2"/>
    <w:rsid w:val="00DA6A70"/>
    <w:rsid w:val="00DD0BFA"/>
    <w:rsid w:val="00DE2F19"/>
    <w:rsid w:val="00EE3557"/>
    <w:rsid w:val="00F13C32"/>
    <w:rsid w:val="00F1453F"/>
    <w:rsid w:val="00F517EF"/>
    <w:rsid w:val="00FA0773"/>
    <w:rsid w:val="2274DEB4"/>
    <w:rsid w:val="36E6D3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FA62"/>
  <w15:chartTrackingRefBased/>
  <w15:docId w15:val="{85F0C406-1D33-48AC-8F1C-33BC28F5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70"/>
    <w:pPr>
      <w:spacing w:after="0" w:line="276" w:lineRule="auto"/>
    </w:pPr>
    <w:rPr>
      <w:rFonts w:asciiTheme="majorHAnsi" w:eastAsia="Calibri" w:hAnsiTheme="majorHAnsi" w:cs="Calibri"/>
      <w:kern w:val="0"/>
      <w14:ligatures w14:val="none"/>
    </w:rPr>
  </w:style>
  <w:style w:type="paragraph" w:styleId="Heading1">
    <w:name w:val="heading 1"/>
    <w:basedOn w:val="Normal"/>
    <w:next w:val="Normal"/>
    <w:link w:val="Heading1Char"/>
    <w:uiPriority w:val="9"/>
    <w:qFormat/>
    <w:rsid w:val="00DA6A70"/>
    <w:pPr>
      <w:keepNext/>
      <w:keepLines/>
      <w:spacing w:before="360" w:after="80" w:line="259" w:lineRule="auto"/>
      <w:outlineLvl w:val="0"/>
    </w:pPr>
    <w:rPr>
      <w:rFonts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DA6A70"/>
    <w:pPr>
      <w:keepNext/>
      <w:keepLines/>
      <w:spacing w:before="160" w:after="80" w:line="259" w:lineRule="auto"/>
      <w:outlineLvl w:val="1"/>
    </w:pPr>
    <w:rPr>
      <w:rFonts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6A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6A70"/>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6A70"/>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6A7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6A7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6A7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6A7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A70"/>
    <w:rPr>
      <w:rFonts w:eastAsiaTheme="majorEastAsia" w:cstheme="majorBidi"/>
      <w:color w:val="272727" w:themeColor="text1" w:themeTint="D8"/>
    </w:rPr>
  </w:style>
  <w:style w:type="paragraph" w:styleId="Title">
    <w:name w:val="Title"/>
    <w:basedOn w:val="Normal"/>
    <w:next w:val="Normal"/>
    <w:link w:val="TitleChar"/>
    <w:uiPriority w:val="10"/>
    <w:qFormat/>
    <w:rsid w:val="00DA6A70"/>
    <w:pPr>
      <w:spacing w:after="80" w:line="240" w:lineRule="auto"/>
      <w:contextualSpacing/>
    </w:pPr>
    <w:rPr>
      <w:rFonts w:eastAsiaTheme="majorEastAsia"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6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A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6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A7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A6A70"/>
    <w:rPr>
      <w:i/>
      <w:iCs/>
      <w:color w:val="404040" w:themeColor="text1" w:themeTint="BF"/>
    </w:rPr>
  </w:style>
  <w:style w:type="paragraph" w:styleId="ListParagraph">
    <w:name w:val="List Paragraph"/>
    <w:basedOn w:val="Normal"/>
    <w:uiPriority w:val="34"/>
    <w:qFormat/>
    <w:rsid w:val="00DA6A7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A6A70"/>
    <w:rPr>
      <w:i/>
      <w:iCs/>
      <w:color w:val="0F4761" w:themeColor="accent1" w:themeShade="BF"/>
    </w:rPr>
  </w:style>
  <w:style w:type="paragraph" w:styleId="IntenseQuote">
    <w:name w:val="Intense Quote"/>
    <w:basedOn w:val="Normal"/>
    <w:next w:val="Normal"/>
    <w:link w:val="IntenseQuoteChar"/>
    <w:uiPriority w:val="30"/>
    <w:qFormat/>
    <w:rsid w:val="00DA6A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6A70"/>
    <w:rPr>
      <w:i/>
      <w:iCs/>
      <w:color w:val="0F4761" w:themeColor="accent1" w:themeShade="BF"/>
    </w:rPr>
  </w:style>
  <w:style w:type="character" w:styleId="IntenseReference">
    <w:name w:val="Intense Reference"/>
    <w:basedOn w:val="DefaultParagraphFont"/>
    <w:uiPriority w:val="32"/>
    <w:qFormat/>
    <w:rsid w:val="00DA6A70"/>
    <w:rPr>
      <w:b/>
      <w:bCs/>
      <w:smallCaps/>
      <w:color w:val="0F4761" w:themeColor="accent1" w:themeShade="BF"/>
      <w:spacing w:val="5"/>
    </w:rPr>
  </w:style>
  <w:style w:type="paragraph" w:styleId="FootnoteText">
    <w:name w:val="footnote text"/>
    <w:basedOn w:val="Normal"/>
    <w:link w:val="FootnoteTextChar"/>
    <w:uiPriority w:val="99"/>
    <w:unhideWhenUsed/>
    <w:rsid w:val="00DA6A70"/>
    <w:pPr>
      <w:spacing w:line="240" w:lineRule="auto"/>
    </w:pPr>
    <w:rPr>
      <w:sz w:val="20"/>
      <w:szCs w:val="20"/>
    </w:rPr>
  </w:style>
  <w:style w:type="character" w:customStyle="1" w:styleId="FootnoteTextChar">
    <w:name w:val="Footnote Text Char"/>
    <w:basedOn w:val="DefaultParagraphFont"/>
    <w:link w:val="FootnoteText"/>
    <w:uiPriority w:val="99"/>
    <w:rsid w:val="00DA6A70"/>
    <w:rPr>
      <w:rFonts w:asciiTheme="majorHAnsi" w:eastAsia="Calibri" w:hAnsiTheme="majorHAnsi" w:cs="Calibri"/>
      <w:kern w:val="0"/>
      <w:sz w:val="20"/>
      <w:szCs w:val="20"/>
      <w14:ligatures w14:val="none"/>
    </w:rPr>
  </w:style>
  <w:style w:type="character" w:styleId="FootnoteReference">
    <w:name w:val="footnote reference"/>
    <w:basedOn w:val="DefaultParagraphFont"/>
    <w:uiPriority w:val="99"/>
    <w:unhideWhenUsed/>
    <w:rsid w:val="00DA6A70"/>
    <w:rPr>
      <w:vertAlign w:val="superscript"/>
    </w:rPr>
  </w:style>
  <w:style w:type="character" w:styleId="Hyperlink">
    <w:name w:val="Hyperlink"/>
    <w:basedOn w:val="DefaultParagraphFont"/>
    <w:uiPriority w:val="99"/>
    <w:unhideWhenUsed/>
    <w:rsid w:val="00DA6A70"/>
    <w:rPr>
      <w:color w:val="467886" w:themeColor="hyperlink"/>
      <w:u w:val="single"/>
    </w:rPr>
  </w:style>
  <w:style w:type="paragraph" w:styleId="BodyText">
    <w:name w:val="Body Text"/>
    <w:basedOn w:val="Normal"/>
    <w:link w:val="BodyTextChar"/>
    <w:uiPriority w:val="1"/>
    <w:qFormat/>
    <w:rsid w:val="00DA6A70"/>
    <w:pPr>
      <w:widowControl w:val="0"/>
      <w:autoSpaceDE w:val="0"/>
      <w:autoSpaceDN w:val="0"/>
      <w:spacing w:before="120" w:after="120"/>
    </w:pPr>
    <w:rPr>
      <w:rFonts w:ascii="Calibri" w:hAnsi="Calibri"/>
      <w:szCs w:val="24"/>
    </w:rPr>
  </w:style>
  <w:style w:type="character" w:customStyle="1" w:styleId="BodyTextChar">
    <w:name w:val="Body Text Char"/>
    <w:basedOn w:val="DefaultParagraphFont"/>
    <w:link w:val="BodyText"/>
    <w:uiPriority w:val="1"/>
    <w:rsid w:val="00DA6A70"/>
    <w:rPr>
      <w:rFonts w:ascii="Calibri" w:eastAsia="Calibri" w:hAnsi="Calibri" w:cs="Calibri"/>
      <w:kern w:val="0"/>
      <w:szCs w:val="24"/>
      <w14:ligatures w14:val="none"/>
    </w:rPr>
  </w:style>
  <w:style w:type="character" w:styleId="UnresolvedMention">
    <w:name w:val="Unresolved Mention"/>
    <w:basedOn w:val="DefaultParagraphFont"/>
    <w:uiPriority w:val="99"/>
    <w:semiHidden/>
    <w:unhideWhenUsed/>
    <w:rsid w:val="00DA6A70"/>
    <w:rPr>
      <w:color w:val="605E5C"/>
      <w:shd w:val="clear" w:color="auto" w:fill="E1DFDD"/>
    </w:rPr>
  </w:style>
  <w:style w:type="paragraph" w:styleId="Header">
    <w:name w:val="header"/>
    <w:basedOn w:val="Normal"/>
    <w:link w:val="HeaderChar"/>
    <w:uiPriority w:val="99"/>
    <w:unhideWhenUsed/>
    <w:rsid w:val="00254BC6"/>
    <w:pPr>
      <w:tabs>
        <w:tab w:val="center" w:pos="4680"/>
        <w:tab w:val="right" w:pos="9360"/>
      </w:tabs>
      <w:spacing w:line="240" w:lineRule="auto"/>
    </w:pPr>
  </w:style>
  <w:style w:type="character" w:customStyle="1" w:styleId="HeaderChar">
    <w:name w:val="Header Char"/>
    <w:basedOn w:val="DefaultParagraphFont"/>
    <w:link w:val="Header"/>
    <w:uiPriority w:val="99"/>
    <w:rsid w:val="00254BC6"/>
    <w:rPr>
      <w:rFonts w:asciiTheme="majorHAnsi" w:eastAsia="Calibri" w:hAnsiTheme="majorHAnsi" w:cs="Calibri"/>
      <w:kern w:val="0"/>
      <w14:ligatures w14:val="none"/>
    </w:rPr>
  </w:style>
  <w:style w:type="paragraph" w:styleId="Footer">
    <w:name w:val="footer"/>
    <w:basedOn w:val="Normal"/>
    <w:link w:val="FooterChar"/>
    <w:uiPriority w:val="99"/>
    <w:unhideWhenUsed/>
    <w:rsid w:val="00254BC6"/>
    <w:pPr>
      <w:tabs>
        <w:tab w:val="center" w:pos="4680"/>
        <w:tab w:val="right" w:pos="9360"/>
      </w:tabs>
      <w:spacing w:line="240" w:lineRule="auto"/>
    </w:pPr>
  </w:style>
  <w:style w:type="character" w:customStyle="1" w:styleId="FooterChar">
    <w:name w:val="Footer Char"/>
    <w:basedOn w:val="DefaultParagraphFont"/>
    <w:link w:val="Footer"/>
    <w:uiPriority w:val="99"/>
    <w:rsid w:val="00254BC6"/>
    <w:rPr>
      <w:rFonts w:asciiTheme="majorHAnsi" w:eastAsia="Calibri" w:hAnsiTheme="majorHAnsi" w:cs="Calibri"/>
      <w:kern w:val="0"/>
      <w14:ligatures w14:val="none"/>
    </w:rPr>
  </w:style>
  <w:style w:type="character" w:styleId="CommentReference">
    <w:name w:val="annotation reference"/>
    <w:basedOn w:val="DefaultParagraphFont"/>
    <w:uiPriority w:val="99"/>
    <w:semiHidden/>
    <w:unhideWhenUsed/>
    <w:rsid w:val="00180809"/>
    <w:rPr>
      <w:sz w:val="16"/>
      <w:szCs w:val="16"/>
    </w:rPr>
  </w:style>
  <w:style w:type="paragraph" w:styleId="CommentText">
    <w:name w:val="annotation text"/>
    <w:basedOn w:val="Normal"/>
    <w:link w:val="CommentTextChar"/>
    <w:uiPriority w:val="99"/>
    <w:unhideWhenUsed/>
    <w:rsid w:val="00180809"/>
    <w:pPr>
      <w:spacing w:line="240" w:lineRule="auto"/>
    </w:pPr>
    <w:rPr>
      <w:sz w:val="20"/>
      <w:szCs w:val="20"/>
    </w:rPr>
  </w:style>
  <w:style w:type="character" w:customStyle="1" w:styleId="CommentTextChar">
    <w:name w:val="Comment Text Char"/>
    <w:basedOn w:val="DefaultParagraphFont"/>
    <w:link w:val="CommentText"/>
    <w:uiPriority w:val="99"/>
    <w:rsid w:val="00180809"/>
    <w:rPr>
      <w:rFonts w:asciiTheme="majorHAnsi" w:eastAsia="Calibri" w:hAnsiTheme="majorHAns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0809"/>
    <w:rPr>
      <w:b/>
      <w:bCs/>
    </w:rPr>
  </w:style>
  <w:style w:type="character" w:customStyle="1" w:styleId="CommentSubjectChar">
    <w:name w:val="Comment Subject Char"/>
    <w:basedOn w:val="CommentTextChar"/>
    <w:link w:val="CommentSubject"/>
    <w:uiPriority w:val="99"/>
    <w:semiHidden/>
    <w:rsid w:val="00180809"/>
    <w:rPr>
      <w:rFonts w:asciiTheme="majorHAnsi" w:eastAsia="Calibri" w:hAnsiTheme="majorHAnsi" w:cs="Calibri"/>
      <w:b/>
      <w:bCs/>
      <w:kern w:val="0"/>
      <w:sz w:val="20"/>
      <w:szCs w:val="2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oe.mass.edu/edprep/resources/guidelines-advisori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edprep/domains/improvement/slds.html" TargetMode="External"/><Relationship Id="rId1" Type="http://schemas.openxmlformats.org/officeDocument/2006/relationships/hyperlink" Target="https://www.doe.mass.edu/edprep/resources/guidelines-advisories/pst-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8C22A-79F7-40BE-87CA-66CD5BB8AE14}">
  <ds:schemaRefs>
    <ds:schemaRef ds:uri="http://schemas.openxmlformats.org/officeDocument/2006/bibliography"/>
  </ds:schemaRefs>
</ds:datastoreItem>
</file>

<file path=customXml/itemProps2.xml><?xml version="1.0" encoding="utf-8"?>
<ds:datastoreItem xmlns:ds="http://schemas.openxmlformats.org/officeDocument/2006/customXml" ds:itemID="{6418CF0C-88C4-4BD9-807D-1E6D54CE9B7D}">
  <ds:schemaRefs>
    <ds:schemaRef ds:uri="http://schemas.microsoft.com/sharepoint/v3/contenttype/forms"/>
  </ds:schemaRefs>
</ds:datastoreItem>
</file>

<file path=customXml/itemProps3.xml><?xml version="1.0" encoding="utf-8"?>
<ds:datastoreItem xmlns:ds="http://schemas.openxmlformats.org/officeDocument/2006/customXml" ds:itemID="{1BAB16F1-3640-486B-BDA0-3422E26F4AC4}">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4.xml><?xml version="1.0" encoding="utf-8"?>
<ds:datastoreItem xmlns:ds="http://schemas.openxmlformats.org/officeDocument/2006/customXml" ds:itemID="{5E6AEC34-DD7A-4D75-9EC5-E4465B3EE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Differentiated Practice Levels</dc:title>
  <dc:subject/>
  <dc:creator>DESE</dc:creator>
  <cp:keywords/>
  <dc:description/>
  <cp:lastModifiedBy>Zou, Dong (EOE)</cp:lastModifiedBy>
  <cp:revision>9</cp:revision>
  <dcterms:created xsi:type="dcterms:W3CDTF">2024-10-23T17:36:00Z</dcterms:created>
  <dcterms:modified xsi:type="dcterms:W3CDTF">2024-10-28T21:04:00Z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28 2024 12:00AM</vt:lpwstr>
  </property>
</Properties>
</file>