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842B" w14:textId="77777777" w:rsidR="00CA19B4" w:rsidRPr="00200779" w:rsidRDefault="00CC7E4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2D83C2B" w14:textId="77777777" w:rsidR="00CA19B4" w:rsidRDefault="00CA19B4" w:rsidP="00CA19B4">
      <w:pPr>
        <w:jc w:val="center"/>
        <w:rPr>
          <w:rFonts w:ascii="Times New Roman" w:hAnsi="Times New Roman" w:cs="Times New Roman"/>
          <w:sz w:val="24"/>
          <w:szCs w:val="24"/>
        </w:rPr>
      </w:pPr>
    </w:p>
    <w:p w14:paraId="3C88E93B" w14:textId="77777777" w:rsidR="00CA19B4" w:rsidRDefault="00CC7E4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B684B55" w14:textId="77777777" w:rsidR="00CA19B4" w:rsidRDefault="00CA19B4" w:rsidP="00CA19B4">
      <w:pPr>
        <w:rPr>
          <w:rFonts w:ascii="Times New Roman" w:hAnsi="Times New Roman" w:cs="Times New Roman"/>
          <w:sz w:val="20"/>
          <w:szCs w:val="20"/>
        </w:rPr>
      </w:pPr>
    </w:p>
    <w:p w14:paraId="1B1EF6FD" w14:textId="77777777" w:rsidR="00CA19B4" w:rsidRDefault="00CA19B4" w:rsidP="00CA19B4">
      <w:pPr>
        <w:rPr>
          <w:rFonts w:ascii="Times New Roman" w:hAnsi="Times New Roman" w:cs="Times New Roman"/>
          <w:sz w:val="20"/>
          <w:szCs w:val="20"/>
        </w:rPr>
      </w:pPr>
    </w:p>
    <w:p w14:paraId="0DF60C2C" w14:textId="77777777" w:rsidR="00CA19B4" w:rsidRPr="00B63138" w:rsidRDefault="00CC7E4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Norton</w:t>
      </w:r>
      <w:proofErr w:type="gramEnd"/>
      <w:r w:rsidRPr="00B63138">
        <w:rPr>
          <w:rFonts w:ascii="Times New Roman" w:hAnsi="Times New Roman" w:cs="Times New Roman"/>
          <w:b/>
          <w:sz w:val="20"/>
          <w:szCs w:val="20"/>
        </w:rPr>
        <w:t xml:space="preserve"> Public Schools</w:t>
      </w:r>
      <w:bookmarkEnd w:id="0"/>
    </w:p>
    <w:p w14:paraId="333DB9AB" w14:textId="77777777" w:rsidR="00CA19B4" w:rsidRDefault="00CA19B4" w:rsidP="00CA19B4">
      <w:pPr>
        <w:rPr>
          <w:rFonts w:ascii="Times New Roman" w:hAnsi="Times New Roman" w:cs="Times New Roman"/>
          <w:sz w:val="20"/>
          <w:szCs w:val="20"/>
        </w:rPr>
      </w:pPr>
    </w:p>
    <w:p w14:paraId="6208AC1C" w14:textId="77777777" w:rsidR="00CA19B4" w:rsidRDefault="00CC7E4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/24/2025</w:t>
      </w:r>
      <w:bookmarkEnd w:id="1"/>
    </w:p>
    <w:p w14:paraId="01BFA9F5" w14:textId="77777777" w:rsidR="00CA19B4" w:rsidRDefault="00CA19B4" w:rsidP="00CA19B4">
      <w:pPr>
        <w:rPr>
          <w:rFonts w:ascii="Times New Roman" w:hAnsi="Times New Roman" w:cs="Times New Roman"/>
          <w:sz w:val="20"/>
          <w:szCs w:val="20"/>
        </w:rPr>
      </w:pPr>
    </w:p>
    <w:p w14:paraId="30E7D22E" w14:textId="77777777" w:rsidR="00CA19B4" w:rsidRDefault="00CC7E4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/06/2025</w:t>
      </w:r>
      <w:bookmarkEnd w:id="2"/>
    </w:p>
    <w:p w14:paraId="4876EEB4" w14:textId="77777777" w:rsidR="00CA19B4" w:rsidRDefault="00CC7E4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04/05/2025</w:t>
      </w:r>
      <w:bookmarkEnd w:id="3"/>
    </w:p>
    <w:p w14:paraId="15B03E85" w14:textId="77777777" w:rsidR="00CA19B4" w:rsidRDefault="00CA19B4" w:rsidP="00CA19B4">
      <w:pPr>
        <w:pBdr>
          <w:bottom w:val="single" w:sz="12" w:space="1" w:color="auto"/>
        </w:pBdr>
        <w:rPr>
          <w:rFonts w:ascii="Times New Roman" w:hAnsi="Times New Roman" w:cs="Times New Roman"/>
          <w:sz w:val="20"/>
          <w:szCs w:val="20"/>
        </w:rPr>
      </w:pPr>
    </w:p>
    <w:p w14:paraId="255B209A" w14:textId="77777777" w:rsidR="00CA19B4" w:rsidRDefault="00CC7E4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3FE74D6" w14:textId="77777777" w:rsidR="00CA19B4" w:rsidRDefault="00CA19B4" w:rsidP="00CA19B4">
      <w:pPr>
        <w:rPr>
          <w:rFonts w:ascii="Times New Roman" w:hAnsi="Times New Roman" w:cs="Times New Roman"/>
          <w:sz w:val="20"/>
          <w:szCs w:val="20"/>
        </w:rPr>
      </w:pPr>
    </w:p>
    <w:p w14:paraId="43D4F4C2" w14:textId="77777777" w:rsidR="00CA19B4" w:rsidRPr="00223718" w:rsidRDefault="00CC7E4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BBE8719" w14:textId="77777777" w:rsidR="00CA19B4" w:rsidRDefault="00CA19B4" w:rsidP="00CA19B4">
      <w:pPr>
        <w:rPr>
          <w:rFonts w:ascii="Times New Roman" w:hAnsi="Times New Roman" w:cs="Times New Roman"/>
          <w:sz w:val="20"/>
          <w:szCs w:val="20"/>
        </w:rPr>
      </w:pPr>
    </w:p>
    <w:p w14:paraId="3751B501" w14:textId="77777777" w:rsidR="00CA19B4" w:rsidRDefault="00CC7E4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499C8EB" w14:textId="77777777" w:rsidR="00CA19B4" w:rsidRDefault="00CA19B4" w:rsidP="00CA19B4">
      <w:pPr>
        <w:ind w:left="720"/>
        <w:rPr>
          <w:rFonts w:ascii="Times New Roman" w:hAnsi="Times New Roman" w:cs="Times New Roman"/>
          <w:sz w:val="20"/>
          <w:szCs w:val="20"/>
        </w:rPr>
      </w:pPr>
    </w:p>
    <w:bookmarkStart w:id="4" w:name="CHK_SBP"/>
    <w:p w14:paraId="2ABDCC3E"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E513D71" w14:textId="77777777" w:rsidR="00CA19B4" w:rsidRDefault="00CC7E4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DAEE681"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9CD9D28"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012ED82"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12E763C"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E7AA5C0" w14:textId="77777777" w:rsidR="00CA19B4" w:rsidRDefault="00CA19B4" w:rsidP="00CA19B4">
      <w:pPr>
        <w:rPr>
          <w:rFonts w:ascii="Times New Roman" w:hAnsi="Times New Roman" w:cs="Times New Roman"/>
          <w:sz w:val="20"/>
          <w:szCs w:val="20"/>
        </w:rPr>
      </w:pPr>
    </w:p>
    <w:p w14:paraId="22359B4E" w14:textId="77777777" w:rsidR="00CA19B4" w:rsidRDefault="00CC7E4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D93D008" w14:textId="77777777" w:rsidR="00CA19B4" w:rsidRDefault="00CA19B4" w:rsidP="00CA19B4">
      <w:pPr>
        <w:ind w:left="720"/>
        <w:rPr>
          <w:rFonts w:ascii="Times New Roman" w:hAnsi="Times New Roman" w:cs="Times New Roman"/>
          <w:sz w:val="20"/>
          <w:szCs w:val="20"/>
        </w:rPr>
      </w:pPr>
    </w:p>
    <w:bookmarkStart w:id="10" w:name="CHK_CEP"/>
    <w:p w14:paraId="2AA0B4CD" w14:textId="77777777" w:rsidR="00CA19B4" w:rsidRDefault="00CC7E4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244D38B" w14:textId="77777777" w:rsidR="00CA19B4" w:rsidRDefault="00CC7E4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57468BE" w14:textId="77777777" w:rsidR="00CA19B4" w:rsidRDefault="00CC7E4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DE31491" w14:textId="77777777" w:rsidR="00CA19B4" w:rsidRDefault="00CC7E4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B98ECD2" w14:textId="77777777" w:rsidR="00CA19B4" w:rsidRDefault="00CA19B4" w:rsidP="00CA19B4">
      <w:pPr>
        <w:rPr>
          <w:rFonts w:ascii="Times New Roman" w:hAnsi="Times New Roman" w:cs="Times New Roman"/>
          <w:sz w:val="20"/>
          <w:szCs w:val="20"/>
        </w:rPr>
      </w:pPr>
    </w:p>
    <w:p w14:paraId="74C20EBA" w14:textId="77777777" w:rsidR="00CA19B4" w:rsidRPr="00D6151F" w:rsidRDefault="00CC7E4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BBD8A0" w14:textId="77777777" w:rsidR="00CA19B4" w:rsidRDefault="00CA19B4" w:rsidP="00CA19B4">
      <w:pPr>
        <w:rPr>
          <w:rFonts w:ascii="Times New Roman" w:hAnsi="Times New Roman" w:cs="Times New Roman"/>
          <w:sz w:val="20"/>
          <w:szCs w:val="20"/>
        </w:rPr>
      </w:pPr>
    </w:p>
    <w:p w14:paraId="6872510F" w14:textId="77777777" w:rsidR="00CA19B4" w:rsidRDefault="00CC7E4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49C8B9D" w14:textId="77777777" w:rsidR="00CA19B4" w:rsidRDefault="00CC7E4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4A4AD60" w14:textId="77777777" w:rsidR="00CA19B4" w:rsidRDefault="00CA19B4" w:rsidP="00CA19B4">
      <w:pPr>
        <w:ind w:firstLine="720"/>
        <w:rPr>
          <w:rFonts w:ascii="Times New Roman" w:hAnsi="Times New Roman" w:cs="Times New Roman"/>
          <w:sz w:val="20"/>
          <w:szCs w:val="20"/>
        </w:rPr>
      </w:pPr>
    </w:p>
    <w:p w14:paraId="3C9BFD37" w14:textId="77777777" w:rsidR="00CA19B4" w:rsidRDefault="00CC7E4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74DE971"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3017250" w14:textId="77777777" w:rsidR="00A53CEA" w:rsidRDefault="00A53CEA" w:rsidP="00A53CEA">
      <w:pPr>
        <w:ind w:firstLine="720"/>
        <w:rPr>
          <w:rFonts w:ascii="Times New Roman" w:hAnsi="Times New Roman" w:cs="Times New Roman"/>
          <w:sz w:val="20"/>
          <w:szCs w:val="20"/>
        </w:rPr>
      </w:pPr>
    </w:p>
    <w:p w14:paraId="398B2DDF" w14:textId="77777777" w:rsidR="00A53CEA" w:rsidRPr="00C61944" w:rsidRDefault="00CC7E4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12FDA" w14:paraId="5890FD04" w14:textId="77777777" w:rsidTr="008175F8">
        <w:trPr>
          <w:trHeight w:val="37"/>
        </w:trPr>
        <w:tc>
          <w:tcPr>
            <w:tcW w:w="8545" w:type="dxa"/>
            <w:shd w:val="clear" w:color="auto" w:fill="31849B"/>
          </w:tcPr>
          <w:p w14:paraId="2B6B9071" w14:textId="77777777" w:rsidR="00A53CEA" w:rsidRPr="005B0132" w:rsidRDefault="00CC7E40" w:rsidP="008175F8">
            <w:pPr>
              <w:rPr>
                <w:rFonts w:asciiTheme="minorHAnsi" w:hAnsiTheme="minorHAnsi" w:cstheme="minorHAnsi"/>
                <w:b/>
                <w:i/>
                <w:color w:val="DBE5F1" w:themeColor="accent1" w:themeTint="33"/>
                <w:sz w:val="32"/>
                <w:szCs w:val="20"/>
              </w:rPr>
            </w:pPr>
            <w:r>
              <w:t>Meal Patterns and Nutritional Quality</w:t>
            </w:r>
          </w:p>
        </w:tc>
      </w:tr>
      <w:tr w:rsidR="00412FDA" w14:paraId="46EB8C90" w14:textId="77777777" w:rsidTr="008175F8">
        <w:trPr>
          <w:trHeight w:val="37"/>
        </w:trPr>
        <w:tc>
          <w:tcPr>
            <w:tcW w:w="8545" w:type="dxa"/>
            <w:shd w:val="clear" w:color="auto" w:fill="D9D9D9"/>
          </w:tcPr>
          <w:p w14:paraId="4D47649C" w14:textId="77777777" w:rsidR="00A53CEA" w:rsidRPr="0076532F" w:rsidRDefault="00CC7E40" w:rsidP="008175F8">
            <w:pPr>
              <w:rPr>
                <w:rFonts w:ascii="Times New Roman" w:hAnsi="Times New Roman" w:cs="Times New Roman"/>
                <w:b/>
                <w:sz w:val="20"/>
                <w:szCs w:val="20"/>
              </w:rPr>
            </w:pPr>
            <w:r>
              <w:t>Meal Components &amp; Quantities- Lunch Program</w:t>
            </w:r>
          </w:p>
        </w:tc>
      </w:tr>
      <w:tr w:rsidR="00412FDA" w14:paraId="1C946793" w14:textId="77777777" w:rsidTr="008175F8">
        <w:trPr>
          <w:trHeight w:val="37"/>
        </w:trPr>
        <w:tc>
          <w:tcPr>
            <w:tcW w:w="8545" w:type="dxa"/>
            <w:shd w:val="clear" w:color="auto" w:fill="auto"/>
          </w:tcPr>
          <w:p w14:paraId="557C4CA0"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412FDA" w14:paraId="7A847D0D" w14:textId="77777777" w:rsidTr="008175F8">
        <w:trPr>
          <w:trHeight w:val="37"/>
        </w:trPr>
        <w:tc>
          <w:tcPr>
            <w:tcW w:w="8545" w:type="dxa"/>
            <w:shd w:val="clear" w:color="auto" w:fill="31849B"/>
          </w:tcPr>
          <w:p w14:paraId="045636E4" w14:textId="77777777" w:rsidR="00A53CEA" w:rsidRPr="005B0132" w:rsidRDefault="00CC7E40" w:rsidP="008175F8">
            <w:pPr>
              <w:rPr>
                <w:rFonts w:asciiTheme="minorHAnsi" w:hAnsiTheme="minorHAnsi" w:cstheme="minorHAnsi"/>
                <w:b/>
                <w:i/>
                <w:color w:val="DBE5F1" w:themeColor="accent1" w:themeTint="33"/>
                <w:sz w:val="32"/>
                <w:szCs w:val="20"/>
              </w:rPr>
            </w:pPr>
            <w:r>
              <w:t>School Nutrition Environment</w:t>
            </w:r>
          </w:p>
        </w:tc>
      </w:tr>
      <w:tr w:rsidR="00412FDA" w14:paraId="6A91DF05" w14:textId="77777777" w:rsidTr="008175F8">
        <w:trPr>
          <w:trHeight w:val="37"/>
        </w:trPr>
        <w:tc>
          <w:tcPr>
            <w:tcW w:w="8545" w:type="dxa"/>
            <w:shd w:val="clear" w:color="auto" w:fill="D9D9D9"/>
          </w:tcPr>
          <w:p w14:paraId="47BE4CB7" w14:textId="77777777" w:rsidR="00A53CEA" w:rsidRPr="0076532F" w:rsidRDefault="00CC7E40" w:rsidP="008175F8">
            <w:pPr>
              <w:rPr>
                <w:rFonts w:ascii="Times New Roman" w:hAnsi="Times New Roman" w:cs="Times New Roman"/>
                <w:b/>
                <w:sz w:val="20"/>
                <w:szCs w:val="20"/>
              </w:rPr>
            </w:pPr>
            <w:r>
              <w:t>Food Safety</w:t>
            </w:r>
          </w:p>
        </w:tc>
      </w:tr>
      <w:tr w:rsidR="00412FDA" w14:paraId="37899611" w14:textId="77777777" w:rsidTr="008175F8">
        <w:trPr>
          <w:trHeight w:val="37"/>
        </w:trPr>
        <w:tc>
          <w:tcPr>
            <w:tcW w:w="8545" w:type="dxa"/>
            <w:shd w:val="clear" w:color="auto" w:fill="auto"/>
          </w:tcPr>
          <w:p w14:paraId="7925BB26"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412FDA" w14:paraId="531AED47" w14:textId="77777777" w:rsidTr="008175F8">
        <w:trPr>
          <w:trHeight w:val="37"/>
        </w:trPr>
        <w:tc>
          <w:tcPr>
            <w:tcW w:w="8545" w:type="dxa"/>
            <w:shd w:val="clear" w:color="auto" w:fill="auto"/>
          </w:tcPr>
          <w:p w14:paraId="344EEE5B"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412FDA" w14:paraId="644A0BA8" w14:textId="77777777" w:rsidTr="008175F8">
        <w:trPr>
          <w:trHeight w:val="37"/>
        </w:trPr>
        <w:tc>
          <w:tcPr>
            <w:tcW w:w="8545" w:type="dxa"/>
            <w:shd w:val="clear" w:color="auto" w:fill="D9D9D9"/>
          </w:tcPr>
          <w:p w14:paraId="4B0D9CED" w14:textId="77777777" w:rsidR="00A53CEA" w:rsidRPr="0076532F" w:rsidRDefault="00CC7E40" w:rsidP="008175F8">
            <w:pPr>
              <w:rPr>
                <w:rFonts w:ascii="Times New Roman" w:hAnsi="Times New Roman" w:cs="Times New Roman"/>
                <w:b/>
                <w:sz w:val="20"/>
                <w:szCs w:val="20"/>
              </w:rPr>
            </w:pPr>
            <w:r>
              <w:t>Local School Wellness Policy</w:t>
            </w:r>
          </w:p>
        </w:tc>
      </w:tr>
      <w:tr w:rsidR="00412FDA" w14:paraId="3FB00DCC" w14:textId="77777777" w:rsidTr="008175F8">
        <w:trPr>
          <w:trHeight w:val="37"/>
        </w:trPr>
        <w:tc>
          <w:tcPr>
            <w:tcW w:w="8545" w:type="dxa"/>
            <w:shd w:val="clear" w:color="auto" w:fill="auto"/>
          </w:tcPr>
          <w:p w14:paraId="07AE2AE3"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412FDA" w14:paraId="19395520" w14:textId="77777777" w:rsidTr="008175F8">
        <w:trPr>
          <w:trHeight w:val="37"/>
        </w:trPr>
        <w:tc>
          <w:tcPr>
            <w:tcW w:w="8545" w:type="dxa"/>
            <w:shd w:val="clear" w:color="auto" w:fill="31849B"/>
          </w:tcPr>
          <w:p w14:paraId="600E21F3" w14:textId="77777777" w:rsidR="00A53CEA" w:rsidRPr="005B0132" w:rsidRDefault="00CC7E40" w:rsidP="008175F8">
            <w:pPr>
              <w:rPr>
                <w:rFonts w:asciiTheme="minorHAnsi" w:hAnsiTheme="minorHAnsi" w:cstheme="minorHAnsi"/>
                <w:b/>
                <w:i/>
                <w:color w:val="DBE5F1" w:themeColor="accent1" w:themeTint="33"/>
                <w:sz w:val="32"/>
                <w:szCs w:val="20"/>
              </w:rPr>
            </w:pPr>
            <w:r>
              <w:t>Civil Rights</w:t>
            </w:r>
          </w:p>
        </w:tc>
      </w:tr>
      <w:tr w:rsidR="00412FDA" w14:paraId="17AE443D" w14:textId="77777777" w:rsidTr="008175F8">
        <w:trPr>
          <w:trHeight w:val="37"/>
        </w:trPr>
        <w:tc>
          <w:tcPr>
            <w:tcW w:w="8545" w:type="dxa"/>
            <w:shd w:val="clear" w:color="auto" w:fill="auto"/>
          </w:tcPr>
          <w:p w14:paraId="47836B0A"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412FDA" w14:paraId="2DC629B7" w14:textId="77777777" w:rsidTr="008175F8">
        <w:trPr>
          <w:trHeight w:val="37"/>
        </w:trPr>
        <w:tc>
          <w:tcPr>
            <w:tcW w:w="8545" w:type="dxa"/>
            <w:shd w:val="clear" w:color="auto" w:fill="auto"/>
          </w:tcPr>
          <w:p w14:paraId="137C9754" w14:textId="77777777" w:rsidR="00A53CEA" w:rsidRPr="005B0132" w:rsidRDefault="00CC7E4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63B0DCD" w14:textId="77777777" w:rsidR="00A53CEA" w:rsidRPr="00223718" w:rsidRDefault="00A53CEA" w:rsidP="00A53CEA">
      <w:pPr>
        <w:rPr>
          <w:rFonts w:ascii="Times New Roman" w:hAnsi="Times New Roman" w:cs="Times New Roman"/>
          <w:sz w:val="20"/>
          <w:szCs w:val="20"/>
        </w:rPr>
      </w:pPr>
    </w:p>
    <w:p w14:paraId="428D2D6A" w14:textId="77777777" w:rsidR="00A53CEA" w:rsidRDefault="00A53CEA" w:rsidP="00A53CEA"/>
    <w:p w14:paraId="3D14215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12FDA" w14:paraId="34C53343" w14:textId="77777777" w:rsidTr="00A708A7">
        <w:trPr>
          <w:trHeight w:val="37"/>
        </w:trPr>
        <w:tc>
          <w:tcPr>
            <w:tcW w:w="8545" w:type="dxa"/>
            <w:shd w:val="clear" w:color="auto" w:fill="31849B"/>
          </w:tcPr>
          <w:p w14:paraId="484FB450" w14:textId="77777777" w:rsidR="00E2351D" w:rsidRPr="00143483" w:rsidRDefault="00CC7E40" w:rsidP="00A708A7">
            <w:pPr>
              <w:rPr>
                <w:rFonts w:ascii="Times New Roman" w:hAnsi="Times New Roman" w:cs="Times New Roman"/>
                <w:b/>
                <w:i/>
                <w:color w:val="auto"/>
                <w:sz w:val="24"/>
                <w:szCs w:val="24"/>
              </w:rPr>
            </w:pPr>
            <w:r w:rsidRPr="00143483">
              <w:rPr>
                <w:rFonts w:ascii="Times New Roman" w:hAnsi="Times New Roman" w:cs="Times New Roman"/>
                <w:b/>
                <w:i/>
                <w:color w:val="auto"/>
                <w:sz w:val="24"/>
                <w:szCs w:val="24"/>
              </w:rPr>
              <w:lastRenderedPageBreak/>
              <w:t>Noteworthy Observations</w:t>
            </w:r>
          </w:p>
        </w:tc>
      </w:tr>
      <w:tr w:rsidR="00412FDA" w14:paraId="66772665" w14:textId="77777777" w:rsidTr="00A708A7">
        <w:trPr>
          <w:trHeight w:val="37"/>
        </w:trPr>
        <w:tc>
          <w:tcPr>
            <w:tcW w:w="8545" w:type="dxa"/>
            <w:shd w:val="clear" w:color="auto" w:fill="auto"/>
          </w:tcPr>
          <w:p w14:paraId="0C4C4EC9" w14:textId="77777777" w:rsidR="00E2351D" w:rsidRPr="00935CAD" w:rsidRDefault="00CC7E40" w:rsidP="00A708A7">
            <w:pPr>
              <w:rPr>
                <w:rFonts w:ascii="Times New Roman" w:hAnsi="Times New Roman" w:cs="Times New Roman"/>
                <w:sz w:val="20"/>
                <w:szCs w:val="20"/>
              </w:rPr>
            </w:pPr>
            <w:r>
              <w:t xml:space="preserve">The Review Team found the following noteworthy items: The staff were a pleasure to work with. They are great with the students coming </w:t>
            </w:r>
            <w:proofErr w:type="gramStart"/>
            <w:r>
              <w:t>through</w:t>
            </w:r>
            <w:proofErr w:type="gramEnd"/>
            <w:r>
              <w:t xml:space="preserve"> the line, helping them with their numbers and greeting them by name. Overall, great job by all.</w:t>
            </w:r>
          </w:p>
        </w:tc>
      </w:tr>
    </w:tbl>
    <w:p w14:paraId="0408E56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182C" w14:textId="77777777" w:rsidR="00D84222" w:rsidRDefault="00D84222">
      <w:r>
        <w:separator/>
      </w:r>
    </w:p>
  </w:endnote>
  <w:endnote w:type="continuationSeparator" w:id="0">
    <w:p w14:paraId="6ECD4918" w14:textId="77777777" w:rsidR="00D84222" w:rsidRDefault="00D8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45E6" w14:textId="77777777" w:rsidR="007713F1" w:rsidRDefault="00CC7E4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C6959C6"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CDD3" w14:textId="77777777" w:rsidR="0037068A" w:rsidRDefault="00CC7E4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314E82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DCE6" w14:textId="77777777" w:rsidR="00D84222" w:rsidRDefault="00D84222">
      <w:r>
        <w:separator/>
      </w:r>
    </w:p>
  </w:footnote>
  <w:footnote w:type="continuationSeparator" w:id="0">
    <w:p w14:paraId="1A6A068C" w14:textId="77777777" w:rsidR="00D84222" w:rsidRDefault="00D8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1B26640">
      <w:start w:val="1"/>
      <w:numFmt w:val="bullet"/>
      <w:lvlText w:val=""/>
      <w:lvlJc w:val="left"/>
      <w:pPr>
        <w:ind w:left="720" w:hanging="360"/>
      </w:pPr>
      <w:rPr>
        <w:rFonts w:ascii="Symbol" w:hAnsi="Symbol" w:hint="default"/>
      </w:rPr>
    </w:lvl>
    <w:lvl w:ilvl="1" w:tplc="3B78D7DA" w:tentative="1">
      <w:start w:val="1"/>
      <w:numFmt w:val="bullet"/>
      <w:lvlText w:val="o"/>
      <w:lvlJc w:val="left"/>
      <w:pPr>
        <w:ind w:left="1440" w:hanging="360"/>
      </w:pPr>
      <w:rPr>
        <w:rFonts w:ascii="Courier New" w:hAnsi="Courier New" w:cs="Courier New" w:hint="default"/>
      </w:rPr>
    </w:lvl>
    <w:lvl w:ilvl="2" w:tplc="6BA89EA2" w:tentative="1">
      <w:start w:val="1"/>
      <w:numFmt w:val="bullet"/>
      <w:lvlText w:val=""/>
      <w:lvlJc w:val="left"/>
      <w:pPr>
        <w:ind w:left="2160" w:hanging="360"/>
      </w:pPr>
      <w:rPr>
        <w:rFonts w:ascii="Wingdings" w:hAnsi="Wingdings" w:hint="default"/>
      </w:rPr>
    </w:lvl>
    <w:lvl w:ilvl="3" w:tplc="2B745990" w:tentative="1">
      <w:start w:val="1"/>
      <w:numFmt w:val="bullet"/>
      <w:lvlText w:val=""/>
      <w:lvlJc w:val="left"/>
      <w:pPr>
        <w:ind w:left="2880" w:hanging="360"/>
      </w:pPr>
      <w:rPr>
        <w:rFonts w:ascii="Symbol" w:hAnsi="Symbol" w:hint="default"/>
      </w:rPr>
    </w:lvl>
    <w:lvl w:ilvl="4" w:tplc="442EF444" w:tentative="1">
      <w:start w:val="1"/>
      <w:numFmt w:val="bullet"/>
      <w:lvlText w:val="o"/>
      <w:lvlJc w:val="left"/>
      <w:pPr>
        <w:ind w:left="3600" w:hanging="360"/>
      </w:pPr>
      <w:rPr>
        <w:rFonts w:ascii="Courier New" w:hAnsi="Courier New" w:cs="Courier New" w:hint="default"/>
      </w:rPr>
    </w:lvl>
    <w:lvl w:ilvl="5" w:tplc="9998CA40" w:tentative="1">
      <w:start w:val="1"/>
      <w:numFmt w:val="bullet"/>
      <w:lvlText w:val=""/>
      <w:lvlJc w:val="left"/>
      <w:pPr>
        <w:ind w:left="4320" w:hanging="360"/>
      </w:pPr>
      <w:rPr>
        <w:rFonts w:ascii="Wingdings" w:hAnsi="Wingdings" w:hint="default"/>
      </w:rPr>
    </w:lvl>
    <w:lvl w:ilvl="6" w:tplc="B2C812BC" w:tentative="1">
      <w:start w:val="1"/>
      <w:numFmt w:val="bullet"/>
      <w:lvlText w:val=""/>
      <w:lvlJc w:val="left"/>
      <w:pPr>
        <w:ind w:left="5040" w:hanging="360"/>
      </w:pPr>
      <w:rPr>
        <w:rFonts w:ascii="Symbol" w:hAnsi="Symbol" w:hint="default"/>
      </w:rPr>
    </w:lvl>
    <w:lvl w:ilvl="7" w:tplc="3A38D2E0" w:tentative="1">
      <w:start w:val="1"/>
      <w:numFmt w:val="bullet"/>
      <w:lvlText w:val="o"/>
      <w:lvlJc w:val="left"/>
      <w:pPr>
        <w:ind w:left="5760" w:hanging="360"/>
      </w:pPr>
      <w:rPr>
        <w:rFonts w:ascii="Courier New" w:hAnsi="Courier New" w:cs="Courier New" w:hint="default"/>
      </w:rPr>
    </w:lvl>
    <w:lvl w:ilvl="8" w:tplc="5CF6B88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BD4AF7A">
      <w:start w:val="1"/>
      <w:numFmt w:val="decimal"/>
      <w:lvlText w:val="%1."/>
      <w:lvlJc w:val="left"/>
      <w:pPr>
        <w:ind w:left="720" w:hanging="360"/>
      </w:pPr>
      <w:rPr>
        <w:rFonts w:hint="default"/>
      </w:rPr>
    </w:lvl>
    <w:lvl w:ilvl="1" w:tplc="6292E8B0" w:tentative="1">
      <w:start w:val="1"/>
      <w:numFmt w:val="lowerLetter"/>
      <w:lvlText w:val="%2."/>
      <w:lvlJc w:val="left"/>
      <w:pPr>
        <w:ind w:left="1440" w:hanging="360"/>
      </w:pPr>
    </w:lvl>
    <w:lvl w:ilvl="2" w:tplc="308008DA" w:tentative="1">
      <w:start w:val="1"/>
      <w:numFmt w:val="lowerRoman"/>
      <w:lvlText w:val="%3."/>
      <w:lvlJc w:val="right"/>
      <w:pPr>
        <w:ind w:left="2160" w:hanging="180"/>
      </w:pPr>
    </w:lvl>
    <w:lvl w:ilvl="3" w:tplc="10C84F28" w:tentative="1">
      <w:start w:val="1"/>
      <w:numFmt w:val="decimal"/>
      <w:lvlText w:val="%4."/>
      <w:lvlJc w:val="left"/>
      <w:pPr>
        <w:ind w:left="2880" w:hanging="360"/>
      </w:pPr>
    </w:lvl>
    <w:lvl w:ilvl="4" w:tplc="39E0B974" w:tentative="1">
      <w:start w:val="1"/>
      <w:numFmt w:val="lowerLetter"/>
      <w:lvlText w:val="%5."/>
      <w:lvlJc w:val="left"/>
      <w:pPr>
        <w:ind w:left="3600" w:hanging="360"/>
      </w:pPr>
    </w:lvl>
    <w:lvl w:ilvl="5" w:tplc="452E53CE" w:tentative="1">
      <w:start w:val="1"/>
      <w:numFmt w:val="lowerRoman"/>
      <w:lvlText w:val="%6."/>
      <w:lvlJc w:val="right"/>
      <w:pPr>
        <w:ind w:left="4320" w:hanging="180"/>
      </w:pPr>
    </w:lvl>
    <w:lvl w:ilvl="6" w:tplc="7DC42594" w:tentative="1">
      <w:start w:val="1"/>
      <w:numFmt w:val="decimal"/>
      <w:lvlText w:val="%7."/>
      <w:lvlJc w:val="left"/>
      <w:pPr>
        <w:ind w:left="5040" w:hanging="360"/>
      </w:pPr>
    </w:lvl>
    <w:lvl w:ilvl="7" w:tplc="1770A954" w:tentative="1">
      <w:start w:val="1"/>
      <w:numFmt w:val="lowerLetter"/>
      <w:lvlText w:val="%8."/>
      <w:lvlJc w:val="left"/>
      <w:pPr>
        <w:ind w:left="5760" w:hanging="360"/>
      </w:pPr>
    </w:lvl>
    <w:lvl w:ilvl="8" w:tplc="6A92F6FA" w:tentative="1">
      <w:start w:val="1"/>
      <w:numFmt w:val="lowerRoman"/>
      <w:lvlText w:val="%9."/>
      <w:lvlJc w:val="right"/>
      <w:pPr>
        <w:ind w:left="6480" w:hanging="180"/>
      </w:pPr>
    </w:lvl>
  </w:abstractNum>
  <w:num w:numId="1" w16cid:durableId="1729112073">
    <w:abstractNumId w:val="1"/>
  </w:num>
  <w:num w:numId="2" w16cid:durableId="94811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43483"/>
    <w:rsid w:val="00176E9C"/>
    <w:rsid w:val="001D35FE"/>
    <w:rsid w:val="00200779"/>
    <w:rsid w:val="00223718"/>
    <w:rsid w:val="0027410F"/>
    <w:rsid w:val="00291947"/>
    <w:rsid w:val="00293D63"/>
    <w:rsid w:val="002C2C42"/>
    <w:rsid w:val="00335362"/>
    <w:rsid w:val="00362A97"/>
    <w:rsid w:val="0037068A"/>
    <w:rsid w:val="0040164B"/>
    <w:rsid w:val="00412FDA"/>
    <w:rsid w:val="00413A88"/>
    <w:rsid w:val="004776BD"/>
    <w:rsid w:val="005536CC"/>
    <w:rsid w:val="005B0132"/>
    <w:rsid w:val="00642E90"/>
    <w:rsid w:val="00663C40"/>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A19B4"/>
    <w:rsid w:val="00CC7E40"/>
    <w:rsid w:val="00D037B9"/>
    <w:rsid w:val="00D17E04"/>
    <w:rsid w:val="00D51D80"/>
    <w:rsid w:val="00D6151F"/>
    <w:rsid w:val="00D84222"/>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FF71"/>
  <w15:docId w15:val="{75E61604-3BA0-493D-BF40-F3A9F1ED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Norton Public Schools Administrative Review Summary School Year 2024-2025</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