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6B58" w14:textId="08D43C57" w:rsidR="004873A1" w:rsidRPr="00503255" w:rsidRDefault="004873A1" w:rsidP="007D6A9C">
      <w:pPr>
        <w:jc w:val="center"/>
        <w:sectPr w:rsidR="004873A1" w:rsidRPr="00503255" w:rsidSect="00662703">
          <w:headerReference w:type="default" r:id="rId11"/>
          <w:footerReference w:type="even" r:id="rId12"/>
          <w:footerReference w:type="default" r:id="rId13"/>
          <w:pgSz w:w="12240" w:h="15840" w:code="1"/>
          <w:pgMar w:top="2160" w:right="1440" w:bottom="1440" w:left="1440" w:header="576" w:footer="720" w:gutter="0"/>
          <w:cols w:space="720"/>
          <w:docGrid w:linePitch="360"/>
        </w:sectPr>
      </w:pPr>
    </w:p>
    <w:p w14:paraId="1866A629" w14:textId="77777777" w:rsidR="00936E11" w:rsidRPr="009407BB" w:rsidRDefault="00936E11" w:rsidP="00936E11">
      <w:pPr>
        <w:sectPr w:rsidR="00936E11" w:rsidRPr="009407BB" w:rsidSect="00C97867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602ABB0" w14:textId="77777777" w:rsidR="007D6A9C" w:rsidRDefault="007D6A9C" w:rsidP="007D6A9C">
      <w:pPr>
        <w:pStyle w:val="Heading1"/>
        <w:jc w:val="center"/>
      </w:pPr>
      <w:r w:rsidRPr="005E04C2">
        <w:rPr>
          <w:shd w:val="pct15" w:color="auto" w:fill="FFFFFF"/>
        </w:rPr>
        <w:t>MEMORANDUM</w:t>
      </w:r>
    </w:p>
    <w:p w14:paraId="03D25275" w14:textId="77777777" w:rsidR="007D6A9C" w:rsidRDefault="007D6A9C" w:rsidP="007D6A9C">
      <w:pPr>
        <w:pStyle w:val="Footer"/>
        <w:widowControl w:val="0"/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7D6A9C" w14:paraId="17B3E79D" w14:textId="77777777" w:rsidTr="53032AB8">
        <w:tc>
          <w:tcPr>
            <w:tcW w:w="1184" w:type="dxa"/>
          </w:tcPr>
          <w:p w14:paraId="36B1F306" w14:textId="77777777" w:rsidR="007D6A9C" w:rsidRDefault="007D6A9C" w:rsidP="00225424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63C50093" w14:textId="1C4E0602" w:rsidR="007D6A9C" w:rsidRDefault="00045E02" w:rsidP="53032AB8">
            <w:pPr>
              <w:pStyle w:val="Footer"/>
              <w:widowControl w:val="0"/>
              <w:spacing w:line="259" w:lineRule="auto"/>
            </w:pPr>
            <w:r>
              <w:t>Sponsors for the National School Lunch</w:t>
            </w:r>
            <w:r w:rsidR="009B691A">
              <w:t xml:space="preserve"> Program</w:t>
            </w:r>
          </w:p>
        </w:tc>
      </w:tr>
      <w:tr w:rsidR="007D6A9C" w14:paraId="23FC666C" w14:textId="77777777" w:rsidTr="53032AB8">
        <w:tc>
          <w:tcPr>
            <w:tcW w:w="1184" w:type="dxa"/>
          </w:tcPr>
          <w:p w14:paraId="6BC92E33" w14:textId="77777777" w:rsidR="007D6A9C" w:rsidRDefault="007D6A9C" w:rsidP="00225424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7B19B331" w14:textId="71044A72" w:rsidR="007D6A9C" w:rsidRPr="00947C0C" w:rsidRDefault="007D6A9C" w:rsidP="00225424">
            <w:pPr>
              <w:pStyle w:val="Footer"/>
              <w:widowControl w:val="0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Robert M. Leshin, Director</w:t>
            </w:r>
            <w:r w:rsidR="00CF7C1C">
              <w:rPr>
                <w:bCs/>
                <w:snapToGrid w:val="0"/>
              </w:rPr>
              <w:t xml:space="preserve">, </w:t>
            </w:r>
            <w:r>
              <w:rPr>
                <w:bCs/>
                <w:snapToGrid w:val="0"/>
              </w:rPr>
              <w:t>Office for Food and Nutrition Programs</w:t>
            </w:r>
          </w:p>
        </w:tc>
      </w:tr>
      <w:tr w:rsidR="007D6A9C" w14:paraId="3136B67A" w14:textId="77777777" w:rsidTr="53032AB8">
        <w:tc>
          <w:tcPr>
            <w:tcW w:w="1184" w:type="dxa"/>
          </w:tcPr>
          <w:p w14:paraId="24F20E62" w14:textId="77777777" w:rsidR="007D6A9C" w:rsidRDefault="007D6A9C" w:rsidP="00225424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751E9493" w14:textId="4FF99EA9" w:rsidR="007D6A9C" w:rsidRDefault="00664A7C" w:rsidP="53032AB8">
            <w:pPr>
              <w:pStyle w:val="Footer"/>
              <w:widowControl w:val="0"/>
              <w:spacing w:line="259" w:lineRule="auto"/>
            </w:pPr>
            <w:r>
              <w:t>January 31, 2025</w:t>
            </w:r>
          </w:p>
        </w:tc>
      </w:tr>
      <w:tr w:rsidR="007D6A9C" w14:paraId="7C475E56" w14:textId="77777777" w:rsidTr="53032AB8">
        <w:tc>
          <w:tcPr>
            <w:tcW w:w="1184" w:type="dxa"/>
          </w:tcPr>
          <w:p w14:paraId="1B032F87" w14:textId="77777777" w:rsidR="007D6A9C" w:rsidRDefault="007D6A9C" w:rsidP="00225424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64431346" w14:textId="62B3A74D" w:rsidR="00FE2EC8" w:rsidRPr="007A22FF" w:rsidRDefault="00732AF4" w:rsidP="00CF7C1C">
            <w:pPr>
              <w:pStyle w:val="Footer"/>
              <w:widowControl w:val="0"/>
              <w:spacing w:line="259" w:lineRule="auto"/>
              <w:rPr>
                <w:snapToGrid w:val="0"/>
              </w:rPr>
            </w:pPr>
            <w:r w:rsidRPr="008B3BB2">
              <w:t xml:space="preserve">Capital </w:t>
            </w:r>
            <w:r w:rsidR="00B461E4" w:rsidRPr="008B3BB2">
              <w:t>Expenditure</w:t>
            </w:r>
            <w:r w:rsidR="00425C3F" w:rsidRPr="008B3BB2">
              <w:t xml:space="preserve"> </w:t>
            </w:r>
            <w:r w:rsidR="00980A3A" w:rsidRPr="008B3BB2">
              <w:t xml:space="preserve">Approved </w:t>
            </w:r>
            <w:r w:rsidR="00B461E4" w:rsidRPr="008B3BB2">
              <w:t>List for School Food Authority Equipment Purchases</w:t>
            </w:r>
          </w:p>
        </w:tc>
      </w:tr>
    </w:tbl>
    <w:p w14:paraId="20B7E0FD" w14:textId="77777777" w:rsidR="00BD5C4D" w:rsidRDefault="00BD5C4D" w:rsidP="00BD5C4D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493F1477" w14:textId="77777777" w:rsidR="00BD5C4D" w:rsidRDefault="00BD5C4D" w:rsidP="00BD5C4D">
      <w:pPr>
        <w:rPr>
          <w:sz w:val="16"/>
        </w:rPr>
        <w:sectPr w:rsidR="00BD5C4D" w:rsidSect="00BD5C4D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0AFC4BF" w14:textId="73A241C0" w:rsidR="005E200F" w:rsidRDefault="005E200F" w:rsidP="005E200F">
      <w:pPr>
        <w:autoSpaceDE w:val="0"/>
        <w:autoSpaceDN w:val="0"/>
        <w:adjustRightInd w:val="0"/>
      </w:pPr>
    </w:p>
    <w:p w14:paraId="6EBF2BE0" w14:textId="4355895F" w:rsidR="001D599B" w:rsidRDefault="003E6C7C" w:rsidP="001D599B">
      <w:pPr>
        <w:autoSpaceDE w:val="0"/>
        <w:autoSpaceDN w:val="0"/>
        <w:adjustRightInd w:val="0"/>
      </w:pPr>
      <w:r w:rsidRPr="003E6C7C">
        <w:t xml:space="preserve">The U.S. Department of Agriculture’s (USDA) </w:t>
      </w:r>
      <w:r w:rsidR="00CB61DB">
        <w:t>Food and Nutrition Service (FNS)</w:t>
      </w:r>
      <w:r w:rsidR="001D5A38">
        <w:t xml:space="preserve"> </w:t>
      </w:r>
      <w:r w:rsidR="00696AED">
        <w:t xml:space="preserve">has previously issued </w:t>
      </w:r>
      <w:r w:rsidR="00F56391">
        <w:t>a memorandum</w:t>
      </w:r>
      <w:r w:rsidR="00696AED">
        <w:t xml:space="preserve">, allowing for </w:t>
      </w:r>
      <w:r w:rsidR="000473C1">
        <w:t xml:space="preserve">State Agency approval of </w:t>
      </w:r>
      <w:r w:rsidR="0060705C">
        <w:t>School Food Authority (SFA)</w:t>
      </w:r>
      <w:r w:rsidR="0096736D">
        <w:t xml:space="preserve"> capital equipment purchases. Guidance in </w:t>
      </w:r>
      <w:r w:rsidRPr="003E6C7C">
        <w:rPr>
          <w:i/>
          <w:iCs/>
        </w:rPr>
        <w:t>SP 39-2016:</w:t>
      </w:r>
      <w:r w:rsidRPr="003E6C7C">
        <w:t xml:space="preserve"> </w:t>
      </w:r>
      <w:r w:rsidRPr="003E6C7C">
        <w:rPr>
          <w:i/>
          <w:iCs/>
        </w:rPr>
        <w:t>State Agency Prior Approval</w:t>
      </w:r>
      <w:r w:rsidR="001D599B">
        <w:rPr>
          <w:i/>
          <w:iCs/>
        </w:rPr>
        <w:t xml:space="preserve"> </w:t>
      </w:r>
      <w:r w:rsidRPr="003E6C7C">
        <w:rPr>
          <w:i/>
          <w:iCs/>
        </w:rPr>
        <w:t xml:space="preserve">Process for School Food Authority (SFA) Equipment Purchases </w:t>
      </w:r>
      <w:r w:rsidRPr="003E6C7C">
        <w:t xml:space="preserve">allows </w:t>
      </w:r>
      <w:r w:rsidR="001D599B">
        <w:t>the Department of Elementary and Secondary Education’s (DESE) Office for Food and Nutrition Programs (FNP)</w:t>
      </w:r>
      <w:r w:rsidRPr="003E6C7C">
        <w:t xml:space="preserve"> to develop an</w:t>
      </w:r>
      <w:r w:rsidR="00F56391">
        <w:t xml:space="preserve"> </w:t>
      </w:r>
      <w:r w:rsidRPr="003E6C7C">
        <w:t xml:space="preserve">approved list and criteria for capital expenditure purchases that are routinely purchased by </w:t>
      </w:r>
      <w:r w:rsidR="001D599B">
        <w:t>SFAs.</w:t>
      </w:r>
      <w:r w:rsidR="007A3CFC">
        <w:t xml:space="preserve"> </w:t>
      </w:r>
      <w:r w:rsidR="007A3CFC" w:rsidRPr="00D46093">
        <w:t xml:space="preserve">The USDA considers the pre-approval </w:t>
      </w:r>
      <w:r w:rsidR="007A3CFC">
        <w:t xml:space="preserve">of specific capital equipment </w:t>
      </w:r>
      <w:r w:rsidR="007A3CFC" w:rsidRPr="00D46093">
        <w:t xml:space="preserve">provides reasonable assurance that the equipment’s acquisition cost is necessary for program purposes, it is </w:t>
      </w:r>
      <w:r w:rsidR="007A3CFC">
        <w:t>necessary</w:t>
      </w:r>
      <w:r w:rsidR="007A3CFC" w:rsidRPr="00D46093">
        <w:t xml:space="preserve"> for program operations, and the SFA’s nonprofit</w:t>
      </w:r>
      <w:r w:rsidR="007A3CFC">
        <w:t xml:space="preserve"> school food service</w:t>
      </w:r>
      <w:r w:rsidR="007A3CFC" w:rsidRPr="00D46093">
        <w:t xml:space="preserve"> account can absorb the cost.  </w:t>
      </w:r>
    </w:p>
    <w:p w14:paraId="245CA5ED" w14:textId="77777777" w:rsidR="002E23B8" w:rsidRDefault="002E23B8" w:rsidP="001D599B">
      <w:pPr>
        <w:autoSpaceDE w:val="0"/>
        <w:autoSpaceDN w:val="0"/>
        <w:adjustRightInd w:val="0"/>
      </w:pPr>
    </w:p>
    <w:p w14:paraId="472B278D" w14:textId="5002C416" w:rsidR="002E23B8" w:rsidRDefault="00854DA4" w:rsidP="002E23B8">
      <w:pPr>
        <w:autoSpaceDE w:val="0"/>
        <w:autoSpaceDN w:val="0"/>
        <w:adjustRightInd w:val="0"/>
      </w:pPr>
      <w:r>
        <w:t xml:space="preserve">The </w:t>
      </w:r>
      <w:r w:rsidR="002E23B8">
        <w:t xml:space="preserve">USDA regulations define capital equipment </w:t>
      </w:r>
      <w:r w:rsidR="00F04C96">
        <w:t xml:space="preserve">as any item of </w:t>
      </w:r>
      <w:r w:rsidR="002E23B8" w:rsidRPr="00D46093">
        <w:t>non-expendable</w:t>
      </w:r>
      <w:r w:rsidR="00F04C96">
        <w:t>, tangible personal property</w:t>
      </w:r>
      <w:r w:rsidR="002E23B8" w:rsidRPr="00D46093">
        <w:t xml:space="preserve"> with a useful life of </w:t>
      </w:r>
      <w:r w:rsidR="00610947">
        <w:t>more than one year and an acquisition cost</w:t>
      </w:r>
      <w:r w:rsidR="002E23B8" w:rsidRPr="00D46093">
        <w:t xml:space="preserve"> which equals or exceeds the Federal per-unit capitalization threshold of </w:t>
      </w:r>
      <w:r w:rsidR="002E23B8" w:rsidRPr="003A01CB">
        <w:rPr>
          <w:b/>
        </w:rPr>
        <w:t>$</w:t>
      </w:r>
      <w:r w:rsidR="0027039E" w:rsidRPr="003A01CB">
        <w:rPr>
          <w:b/>
        </w:rPr>
        <w:t>10</w:t>
      </w:r>
      <w:r w:rsidR="002E23B8" w:rsidRPr="003A01CB">
        <w:rPr>
          <w:b/>
        </w:rPr>
        <w:t>,000</w:t>
      </w:r>
      <w:r w:rsidR="002E23B8" w:rsidRPr="00D46093">
        <w:t xml:space="preserve"> or a lower threshold set by State or local level regulations</w:t>
      </w:r>
      <w:r w:rsidR="00D862CF">
        <w:t xml:space="preserve"> per </w:t>
      </w:r>
      <w:r w:rsidR="00D862CF" w:rsidRPr="00D862CF">
        <w:t>2 CFR § 200.439</w:t>
      </w:r>
      <w:r w:rsidR="002E23B8" w:rsidRPr="00D46093">
        <w:t xml:space="preserve">. </w:t>
      </w:r>
    </w:p>
    <w:p w14:paraId="4168E9F1" w14:textId="77777777" w:rsidR="003E6C7C" w:rsidRDefault="003E6C7C" w:rsidP="003E6C7C">
      <w:pPr>
        <w:autoSpaceDE w:val="0"/>
        <w:autoSpaceDN w:val="0"/>
        <w:adjustRightInd w:val="0"/>
      </w:pPr>
    </w:p>
    <w:p w14:paraId="1FEBBC89" w14:textId="14945781" w:rsidR="0095718B" w:rsidRPr="007E53C7" w:rsidRDefault="000D7930" w:rsidP="65E2FFE9">
      <w:pPr>
        <w:autoSpaceDE w:val="0"/>
        <w:autoSpaceDN w:val="0"/>
        <w:adjustRightInd w:val="0"/>
        <w:rPr>
          <w:rFonts w:eastAsia="Times New Roman"/>
          <w:b/>
          <w:bCs/>
          <w:color w:val="333333"/>
        </w:rPr>
      </w:pPr>
      <w:r>
        <w:t xml:space="preserve">The </w:t>
      </w:r>
      <w:r w:rsidR="7A136F5C">
        <w:t xml:space="preserve">following list includes capital equipment that </w:t>
      </w:r>
      <w:r w:rsidR="7A136F5C" w:rsidRPr="530307F5">
        <w:rPr>
          <w:b/>
          <w:bCs/>
          <w:i/>
          <w:iCs/>
        </w:rPr>
        <w:t>does not</w:t>
      </w:r>
      <w:r w:rsidR="7A136F5C">
        <w:t xml:space="preserve"> require pre-approval</w:t>
      </w:r>
      <w:r w:rsidR="0FC7C11B">
        <w:t xml:space="preserve"> from </w:t>
      </w:r>
      <w:r w:rsidR="00C01B42">
        <w:t>FNP before purchasing</w:t>
      </w:r>
      <w:r w:rsidR="2B32AE30">
        <w:t xml:space="preserve"> but </w:t>
      </w:r>
      <w:r w:rsidR="2B32AE30" w:rsidRPr="2D84EE84">
        <w:rPr>
          <w:b/>
        </w:rPr>
        <w:t>still needs to be procured</w:t>
      </w:r>
      <w:r w:rsidR="2B32AE30">
        <w:t xml:space="preserve"> through the appropriate procurement method. </w:t>
      </w:r>
      <w:r w:rsidR="62961C6A">
        <w:t xml:space="preserve"> </w:t>
      </w:r>
      <w:r w:rsidR="00C01B42" w:rsidRPr="0032785F">
        <w:t xml:space="preserve">The </w:t>
      </w:r>
      <w:r w:rsidR="0032785F" w:rsidRPr="0032785F">
        <w:t xml:space="preserve">list of </w:t>
      </w:r>
      <w:r w:rsidRPr="0032785F">
        <w:t xml:space="preserve">capital expenditures below </w:t>
      </w:r>
      <w:r w:rsidR="0032785F" w:rsidRPr="0032785F">
        <w:t>has</w:t>
      </w:r>
      <w:r w:rsidRPr="0032785F">
        <w:t xml:space="preserve"> been previously approved by the USDA’s FNS Northeast Regional Office (NERO).</w:t>
      </w:r>
      <w:r>
        <w:t xml:space="preserve"> </w:t>
      </w:r>
      <w:r w:rsidR="00C01B42">
        <w:t xml:space="preserve"> </w:t>
      </w:r>
      <w:r w:rsidR="005E200F" w:rsidRPr="65E2FFE9">
        <w:rPr>
          <w:rFonts w:eastAsia="Times New Roman"/>
          <w:b/>
          <w:bCs/>
          <w:color w:val="333333"/>
        </w:rPr>
        <w:t xml:space="preserve">For any capital equipment NOT addressed or included on the pre-approved equipment list, please contact </w:t>
      </w:r>
      <w:r w:rsidR="00277C52" w:rsidRPr="65E2FFE9">
        <w:rPr>
          <w:rFonts w:eastAsia="Times New Roman"/>
          <w:b/>
          <w:bCs/>
          <w:color w:val="333333"/>
        </w:rPr>
        <w:t xml:space="preserve">the </w:t>
      </w:r>
      <w:r w:rsidR="00C01B42" w:rsidRPr="65E2FFE9">
        <w:rPr>
          <w:rFonts w:eastAsia="Times New Roman"/>
          <w:b/>
          <w:bCs/>
          <w:color w:val="333333"/>
        </w:rPr>
        <w:t>FNP</w:t>
      </w:r>
      <w:r w:rsidR="005E200F" w:rsidRPr="65E2FFE9">
        <w:rPr>
          <w:rFonts w:eastAsia="Times New Roman"/>
          <w:b/>
          <w:bCs/>
          <w:color w:val="333333"/>
        </w:rPr>
        <w:t xml:space="preserve"> Procurement Team before purchasing</w:t>
      </w:r>
      <w:r w:rsidR="001471B9" w:rsidRPr="65E2FFE9">
        <w:rPr>
          <w:rFonts w:eastAsia="Times New Roman"/>
          <w:b/>
          <w:bCs/>
          <w:color w:val="333333"/>
        </w:rPr>
        <w:t xml:space="preserve"> for review and approval</w:t>
      </w:r>
      <w:r w:rsidR="005E200F" w:rsidRPr="65E2FFE9">
        <w:rPr>
          <w:rFonts w:eastAsia="Times New Roman"/>
          <w:b/>
          <w:bCs/>
          <w:color w:val="333333"/>
        </w:rPr>
        <w:t xml:space="preserve">. </w:t>
      </w:r>
      <w:r w:rsidR="5564770A" w:rsidRPr="65E2FFE9">
        <w:rPr>
          <w:rFonts w:eastAsia="Times New Roman"/>
          <w:b/>
          <w:bCs/>
          <w:color w:val="333333"/>
        </w:rPr>
        <w:t xml:space="preserve">The pre-approved list </w:t>
      </w:r>
      <w:r w:rsidR="397D03A6" w:rsidRPr="65E2FFE9">
        <w:rPr>
          <w:rFonts w:eastAsia="Times New Roman"/>
          <w:b/>
          <w:bCs/>
          <w:color w:val="333333"/>
        </w:rPr>
        <w:t xml:space="preserve">may be updated in the future as applicable. </w:t>
      </w:r>
    </w:p>
    <w:p w14:paraId="47C3D465" w14:textId="3EB81403" w:rsidR="0095718B" w:rsidRPr="00664D38" w:rsidRDefault="0095718B">
      <w:pPr>
        <w:rPr>
          <w:rFonts w:asciiTheme="majorHAnsi" w:hAnsiTheme="majorHAnsi"/>
        </w:rPr>
      </w:pPr>
      <w:r w:rsidRPr="00664D38">
        <w:rPr>
          <w:rFonts w:asciiTheme="majorHAnsi" w:hAnsiTheme="majorHAnsi"/>
        </w:rPr>
        <w:br w:type="page"/>
      </w:r>
    </w:p>
    <w:p w14:paraId="4F058428" w14:textId="7610731A" w:rsidR="00101728" w:rsidRPr="000D7262" w:rsidRDefault="00980A3A" w:rsidP="000D726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0D7262">
        <w:rPr>
          <w:b/>
          <w:bCs/>
          <w:sz w:val="28"/>
          <w:szCs w:val="28"/>
          <w:u w:val="single"/>
        </w:rPr>
        <w:lastRenderedPageBreak/>
        <w:t>Capital Expenditure Approved List for SFA Equipment Purchases</w:t>
      </w:r>
    </w:p>
    <w:p w14:paraId="5673DB46" w14:textId="77777777" w:rsidR="000D7262" w:rsidRDefault="000D7262" w:rsidP="001F6200">
      <w:pPr>
        <w:autoSpaceDE w:val="0"/>
        <w:autoSpaceDN w:val="0"/>
        <w:adjustRightInd w:val="0"/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4566"/>
        <w:gridCol w:w="4784"/>
      </w:tblGrid>
      <w:tr w:rsidR="00813493" w:rsidRPr="00F105ED" w14:paraId="07AADC23" w14:textId="77777777" w:rsidTr="00D4479F">
        <w:trPr>
          <w:trHeight w:val="29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0E332" w14:textId="7DBFA7F1" w:rsidR="00813493" w:rsidRPr="00D4479F" w:rsidRDefault="00147758" w:rsidP="00F105ED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4479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Food Storage Equipment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81E" w14:textId="063660EC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05ED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3- Door Refrigerators</w:t>
            </w:r>
          </w:p>
        </w:tc>
      </w:tr>
      <w:tr w:rsidR="00813493" w:rsidRPr="00F105ED" w14:paraId="67265A55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DAD" w14:textId="77777777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D7E6" w14:textId="2D5A6B9C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05ED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Automatic Ice Dispensers</w:t>
            </w:r>
          </w:p>
        </w:tc>
      </w:tr>
      <w:tr w:rsidR="00813493" w:rsidRPr="00F105ED" w14:paraId="39178987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2775" w14:textId="77777777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6F88" w14:textId="48569E9F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05ED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Condiment and Salad Bars</w:t>
            </w:r>
          </w:p>
        </w:tc>
      </w:tr>
      <w:tr w:rsidR="00813493" w:rsidRPr="00F105ED" w14:paraId="4604B03A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3635" w14:textId="77777777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C0B4" w14:textId="3656D4F4" w:rsidR="00813493" w:rsidRPr="00F105ED" w:rsidRDefault="00563389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Pass-Through</w:t>
            </w:r>
            <w:r w:rsidR="00813493" w:rsidRPr="00F105ED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Refrigerators/Hot Holding Units</w:t>
            </w:r>
          </w:p>
        </w:tc>
      </w:tr>
      <w:tr w:rsidR="00813493" w:rsidRPr="00F105ED" w14:paraId="6495C8E2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8CF1" w14:textId="77777777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E0F" w14:textId="093241CA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05ED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Proofing Cabinets</w:t>
            </w:r>
          </w:p>
        </w:tc>
      </w:tr>
      <w:tr w:rsidR="00813493" w:rsidRPr="00F105ED" w14:paraId="3352D2AB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0E66" w14:textId="77777777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239" w14:textId="2F78C0C5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05ED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Reach-In Coolers</w:t>
            </w:r>
          </w:p>
        </w:tc>
      </w:tr>
      <w:tr w:rsidR="00813493" w:rsidRPr="00F105ED" w14:paraId="4BEAD4C8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9195" w14:textId="77777777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BB6C" w14:textId="656BFAC0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05ED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Refrigerated &amp; Hot Holding Serving Lines</w:t>
            </w:r>
          </w:p>
        </w:tc>
      </w:tr>
      <w:tr w:rsidR="00813493" w:rsidRPr="00F105ED" w14:paraId="7C178849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706E" w14:textId="77777777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DF7D" w14:textId="7F2A11FF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05ED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Refrigerated Display Cases &amp; Drawers</w:t>
            </w:r>
          </w:p>
        </w:tc>
      </w:tr>
      <w:tr w:rsidR="00813493" w:rsidRPr="00F105ED" w14:paraId="46EC3C7D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F86B" w14:textId="77777777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5C78" w14:textId="1EC432C2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05ED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Refrigerated/Non-Refrigerated Vending Machines </w:t>
            </w:r>
          </w:p>
        </w:tc>
      </w:tr>
      <w:tr w:rsidR="00813493" w:rsidRPr="00F105ED" w14:paraId="004C933F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157" w14:textId="77777777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5987" w14:textId="5BBAF26D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05ED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Soup kettles</w:t>
            </w:r>
          </w:p>
        </w:tc>
      </w:tr>
      <w:tr w:rsidR="00813493" w:rsidRPr="00F105ED" w14:paraId="2D74BCD7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81EC" w14:textId="77777777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D77" w14:textId="7B342B78" w:rsidR="00813493" w:rsidRPr="00F105ED" w:rsidRDefault="00813493" w:rsidP="00F105ED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105ED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Walk-In Coolers &amp; Freezers</w:t>
            </w:r>
          </w:p>
        </w:tc>
      </w:tr>
      <w:tr w:rsidR="00813493" w:rsidRPr="004B786A" w14:paraId="14DBCC87" w14:textId="77777777" w:rsidTr="00D4479F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03C504" w14:textId="4C469936" w:rsidR="00813493" w:rsidRPr="00D4479F" w:rsidRDefault="00147758" w:rsidP="004B786A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4479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Food Preparation Equipment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3486" w14:textId="45D60828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Blast/Tumble Chillers</w:t>
            </w:r>
          </w:p>
        </w:tc>
      </w:tr>
      <w:tr w:rsidR="00813493" w:rsidRPr="004B786A" w14:paraId="3512F10C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E22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1455" w14:textId="4E52A20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Cold or Hot Food Prep Stations</w:t>
            </w:r>
          </w:p>
        </w:tc>
      </w:tr>
      <w:tr w:rsidR="00813493" w:rsidRPr="004B786A" w14:paraId="125B62C3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FA4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FFA" w14:textId="41E8276E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Combi-Ovens</w:t>
            </w:r>
          </w:p>
        </w:tc>
      </w:tr>
      <w:tr w:rsidR="00813493" w:rsidRPr="004B786A" w14:paraId="34F39AE1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C6C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9D9E" w14:textId="3FFE06C1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Commercial griddle</w:t>
            </w:r>
          </w:p>
        </w:tc>
      </w:tr>
      <w:tr w:rsidR="00813493" w:rsidRPr="004B786A" w14:paraId="341F923E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7558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379" w14:textId="5B6EAD1A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Commercial Prep/</w:t>
            </w:r>
            <w:r w:rsidR="00563389"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Worktables</w:t>
            </w:r>
          </w:p>
        </w:tc>
      </w:tr>
      <w:tr w:rsidR="00813493" w:rsidRPr="004B786A" w14:paraId="658D1D65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ED04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3196" w14:textId="5F728DDB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Convection Ovens</w:t>
            </w:r>
          </w:p>
        </w:tc>
      </w:tr>
      <w:tr w:rsidR="00813493" w:rsidRPr="004B786A" w14:paraId="2D3B324A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F68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A260" w14:textId="379368E9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Cooktops/Ranges</w:t>
            </w:r>
          </w:p>
        </w:tc>
      </w:tr>
      <w:tr w:rsidR="00813493" w:rsidRPr="004B786A" w14:paraId="03C29532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352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0CA2" w14:textId="20A111EF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Dough Presses</w:t>
            </w:r>
          </w:p>
        </w:tc>
      </w:tr>
      <w:tr w:rsidR="00813493" w:rsidRPr="004B786A" w14:paraId="38976318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085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59AF" w14:textId="57554F94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Dough Rollers/Sheeters</w:t>
            </w:r>
          </w:p>
        </w:tc>
      </w:tr>
      <w:tr w:rsidR="00813493" w:rsidRPr="004B786A" w14:paraId="705A6BDC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E448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655D" w14:textId="595587D8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Mixers (Standing &amp; countertop) </w:t>
            </w:r>
          </w:p>
        </w:tc>
      </w:tr>
      <w:tr w:rsidR="00813493" w:rsidRPr="004B786A" w14:paraId="1A97781E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71F5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D746" w14:textId="5433F10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Muffin/Cookie Depositors</w:t>
            </w:r>
          </w:p>
        </w:tc>
      </w:tr>
      <w:tr w:rsidR="00813493" w:rsidRPr="004B786A" w14:paraId="3A097986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F3B1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C8A7" w14:textId="39EA18AA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Packaging Machines</w:t>
            </w:r>
          </w:p>
        </w:tc>
      </w:tr>
      <w:tr w:rsidR="00813493" w:rsidRPr="004B786A" w14:paraId="2D13FAD0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F6E6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CEC4" w14:textId="3E050CE8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Pizza Ovens/Rotary Ovens</w:t>
            </w:r>
          </w:p>
        </w:tc>
      </w:tr>
      <w:tr w:rsidR="00813493" w:rsidRPr="004B786A" w14:paraId="2BA0CD08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8DF4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CD95" w14:textId="7551DDA2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Shrink Wrap Machines</w:t>
            </w:r>
          </w:p>
        </w:tc>
      </w:tr>
      <w:tr w:rsidR="00813493" w:rsidRPr="004B786A" w14:paraId="7101BDEB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0DBE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8824" w14:textId="1FA2A03D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Slicers</w:t>
            </w:r>
          </w:p>
        </w:tc>
      </w:tr>
      <w:tr w:rsidR="00813493" w:rsidRPr="004B786A" w14:paraId="272216E5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3DA1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CF56" w14:textId="4F507BEF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Steam Jacketed &amp; Tilting Kettles, Skillets, or </w:t>
            </w:r>
            <w:r w:rsidR="00401882"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Braz</w:t>
            </w:r>
            <w:r w:rsidR="00401882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r w:rsidR="00401882"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ers</w:t>
            </w:r>
          </w:p>
        </w:tc>
      </w:tr>
      <w:tr w:rsidR="00813493" w:rsidRPr="004B786A" w14:paraId="48E1B199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D84D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2462" w14:textId="781D0F1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Steam Tables</w:t>
            </w:r>
          </w:p>
        </w:tc>
      </w:tr>
      <w:tr w:rsidR="00813493" w:rsidRPr="004B786A" w14:paraId="2C81DC30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F98B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6F0" w14:textId="0C67CF4A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Steamer Griddles</w:t>
            </w:r>
          </w:p>
        </w:tc>
      </w:tr>
      <w:tr w:rsidR="00813493" w:rsidRPr="004B786A" w14:paraId="5C809D36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4311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DD5B" w14:textId="2A65140F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Steamers</w:t>
            </w:r>
          </w:p>
        </w:tc>
      </w:tr>
      <w:tr w:rsidR="00813493" w:rsidRPr="004B786A" w14:paraId="464A21D4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344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073" w14:textId="3E744E15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Tray Sealer Machines</w:t>
            </w:r>
          </w:p>
        </w:tc>
      </w:tr>
      <w:tr w:rsidR="00813493" w:rsidRPr="004B786A" w14:paraId="25AC981C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EF01" w14:textId="77777777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AAFE" w14:textId="73E085AB" w:rsidR="00813493" w:rsidRPr="004B786A" w:rsidRDefault="00813493" w:rsidP="004B786A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B786A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Vertical Cutter Mixers</w:t>
            </w:r>
          </w:p>
        </w:tc>
      </w:tr>
      <w:tr w:rsidR="00813493" w:rsidRPr="00B57FBF" w14:paraId="1D3D2B38" w14:textId="77777777" w:rsidTr="00D4479F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4BA406" w14:textId="6DAF799F" w:rsidR="00813493" w:rsidRPr="00D4479F" w:rsidRDefault="00147758" w:rsidP="00B57FBF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4479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Cleaning Equipment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605" w14:textId="3D2A13F0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7FBF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Dish Machines, Conveyor, Single Door, Under-counter</w:t>
            </w:r>
          </w:p>
        </w:tc>
      </w:tr>
      <w:tr w:rsidR="00813493" w:rsidRPr="00B57FBF" w14:paraId="49AB9DEE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7DA2" w14:textId="77777777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CF2C" w14:textId="6A9AA5BF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7FBF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Water Boosters Heater (for SNP use only)</w:t>
            </w:r>
          </w:p>
        </w:tc>
      </w:tr>
      <w:tr w:rsidR="00813493" w:rsidRPr="00B57FBF" w14:paraId="5D67AF99" w14:textId="77777777" w:rsidTr="000D7262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29E" w14:textId="77777777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039" w14:textId="1E58C340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7FBF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Water De-Scaler System for Steamers</w:t>
            </w:r>
          </w:p>
        </w:tc>
      </w:tr>
      <w:tr w:rsidR="00813493" w:rsidRPr="00B57FBF" w14:paraId="3ED95E03" w14:textId="77777777" w:rsidTr="000D7262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008B" w14:textId="77777777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7910" w14:textId="1C15BD40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7FBF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Water Softeners (for SNP use only)</w:t>
            </w:r>
          </w:p>
        </w:tc>
      </w:tr>
      <w:tr w:rsidR="00813493" w:rsidRPr="00B57FBF" w14:paraId="30292D37" w14:textId="77777777" w:rsidTr="000D7262">
        <w:trPr>
          <w:trHeight w:val="29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33FBA6" w14:textId="0ADE1FF5" w:rsidR="00813493" w:rsidRPr="00D4479F" w:rsidRDefault="00235AD7" w:rsidP="00B57FBF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4479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Farm to School Equipment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21FA" w14:textId="180FE0E9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7FBF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Garden Tillers</w:t>
            </w:r>
          </w:p>
        </w:tc>
      </w:tr>
      <w:tr w:rsidR="00813493" w:rsidRPr="00B57FBF" w14:paraId="5D9630E8" w14:textId="77777777" w:rsidTr="00225424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7BD5" w14:textId="77777777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7611" w14:textId="74701383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7FBF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Hoop House Kits</w:t>
            </w:r>
          </w:p>
        </w:tc>
      </w:tr>
      <w:tr w:rsidR="00813493" w:rsidRPr="00B57FBF" w14:paraId="3BDF6DE5" w14:textId="77777777" w:rsidTr="00225424">
        <w:trPr>
          <w:trHeight w:val="29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BF00" w14:textId="77777777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201A" w14:textId="63A72044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7FBF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Hydroponic and Aquaponic Systems (non-permanent)</w:t>
            </w:r>
          </w:p>
        </w:tc>
      </w:tr>
      <w:tr w:rsidR="00813493" w:rsidRPr="00B57FBF" w14:paraId="45A8EADF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22E9" w14:textId="77777777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CBFA" w14:textId="3020AFAC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7FBF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Indoor Garden Starting Kits</w:t>
            </w:r>
          </w:p>
        </w:tc>
      </w:tr>
      <w:tr w:rsidR="00813493" w:rsidRPr="00B57FBF" w14:paraId="532B8540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C68B" w14:textId="77777777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3790" w14:textId="126A57B0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7FBF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Irrigation System for Gardens (non-permanent)</w:t>
            </w:r>
          </w:p>
        </w:tc>
      </w:tr>
      <w:tr w:rsidR="00813493" w:rsidRPr="00B57FBF" w14:paraId="694A8E53" w14:textId="77777777" w:rsidTr="00D4479F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03E0E" w14:textId="0B9E10A0" w:rsidR="00813493" w:rsidRPr="00D4479F" w:rsidRDefault="00235AD7" w:rsidP="00B57FBF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4479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Technology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69ED" w14:textId="354854F6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7FBF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Cooler/Freezer Temperature Monitoring Systems</w:t>
            </w:r>
          </w:p>
        </w:tc>
      </w:tr>
      <w:tr w:rsidR="00813493" w:rsidRPr="00B57FBF" w14:paraId="5EDF6AB1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FFD" w14:textId="77777777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EF33" w14:textId="4922B357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7FBF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Electronic menu boards </w:t>
            </w:r>
          </w:p>
        </w:tc>
      </w:tr>
      <w:tr w:rsidR="00813493" w:rsidRPr="00B57FBF" w14:paraId="565A8498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D513" w14:textId="77777777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E92F" w14:textId="65BE0ED4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7FBF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Meal Counts, Benefits Issuance Software</w:t>
            </w:r>
          </w:p>
        </w:tc>
      </w:tr>
      <w:tr w:rsidR="00813493" w:rsidRPr="00B57FBF" w14:paraId="5CCB395D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328" w14:textId="77777777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90DC" w14:textId="3EA29311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7FBF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Point of Sales Hardware (e.g., CPU, monitor, keypads, scanners, POS tablets)</w:t>
            </w:r>
          </w:p>
        </w:tc>
      </w:tr>
      <w:tr w:rsidR="00813493" w:rsidRPr="00B57FBF" w14:paraId="59605189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4738" w14:textId="77777777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7EC5" w14:textId="24CA0D4F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7FBF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Software for Program Management</w:t>
            </w:r>
          </w:p>
        </w:tc>
      </w:tr>
      <w:tr w:rsidR="00813493" w:rsidRPr="00B57FBF" w14:paraId="6A5DF5D3" w14:textId="77777777" w:rsidTr="00D4479F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CAF5C" w14:textId="51AEEDFB" w:rsidR="00813493" w:rsidRPr="00D4479F" w:rsidRDefault="00235AD7" w:rsidP="00B57FBF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4479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Transportation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5217" w14:textId="2EFA9E6E" w:rsidR="00813493" w:rsidRPr="00B57FBF" w:rsidRDefault="00813493" w:rsidP="00B57FBF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57FBF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Delivery car or truck for food/supply (for SNP use only)</w:t>
            </w:r>
          </w:p>
        </w:tc>
      </w:tr>
      <w:tr w:rsidR="00813493" w:rsidRPr="00813493" w14:paraId="4D864C65" w14:textId="77777777" w:rsidTr="00D4479F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D74D0" w14:textId="5551C994" w:rsidR="00813493" w:rsidRPr="00D4479F" w:rsidRDefault="00D4479F" w:rsidP="00813493">
            <w:pP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D4479F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Miscellaneous</w:t>
            </w: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1960" w14:textId="69700CF1" w:rsidR="00813493" w:rsidRPr="00813493" w:rsidRDefault="00813493" w:rsidP="00813493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3493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Compressors/Condensers</w:t>
            </w:r>
          </w:p>
        </w:tc>
      </w:tr>
      <w:tr w:rsidR="00813493" w:rsidRPr="00813493" w14:paraId="53A07252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D610" w14:textId="77777777" w:rsidR="00813493" w:rsidRPr="00813493" w:rsidRDefault="00813493" w:rsidP="00813493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9456" w14:textId="1F15B6FD" w:rsidR="00813493" w:rsidRPr="00813493" w:rsidRDefault="00813493" w:rsidP="00813493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3493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Hood/Exhaust Systems</w:t>
            </w:r>
          </w:p>
        </w:tc>
      </w:tr>
      <w:tr w:rsidR="00813493" w:rsidRPr="00813493" w14:paraId="59A1EAE6" w14:textId="77777777" w:rsidTr="00813493">
        <w:trPr>
          <w:trHeight w:val="29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9EE2" w14:textId="77777777" w:rsidR="00813493" w:rsidRPr="00813493" w:rsidRDefault="00813493" w:rsidP="00813493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8DC7" w14:textId="38CBC4B8" w:rsidR="00813493" w:rsidRPr="00813493" w:rsidRDefault="00813493" w:rsidP="00813493">
            <w:pPr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813493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Fire Suppression Systems</w:t>
            </w:r>
          </w:p>
        </w:tc>
      </w:tr>
    </w:tbl>
    <w:p w14:paraId="0C1DBD0A" w14:textId="77777777" w:rsidR="00F105ED" w:rsidRDefault="00F105ED" w:rsidP="001F6200">
      <w:pPr>
        <w:autoSpaceDE w:val="0"/>
        <w:autoSpaceDN w:val="0"/>
        <w:adjustRightInd w:val="0"/>
      </w:pPr>
    </w:p>
    <w:sectPr w:rsidR="00F105ED" w:rsidSect="00C97867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C26DC" w14:textId="77777777" w:rsidR="00D7010D" w:rsidRDefault="00D7010D" w:rsidP="00ED5501">
      <w:r>
        <w:separator/>
      </w:r>
    </w:p>
  </w:endnote>
  <w:endnote w:type="continuationSeparator" w:id="0">
    <w:p w14:paraId="23EDB177" w14:textId="77777777" w:rsidR="00D7010D" w:rsidRDefault="00D7010D" w:rsidP="00ED5501">
      <w:r>
        <w:continuationSeparator/>
      </w:r>
    </w:p>
  </w:endnote>
  <w:endnote w:type="continuationNotice" w:id="1">
    <w:p w14:paraId="42A19A0A" w14:textId="77777777" w:rsidR="00D7010D" w:rsidRDefault="00D70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  <w:p w14:paraId="681E7656" w14:textId="77777777" w:rsidR="00DA2930" w:rsidRDefault="00DA29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C818" w14:textId="0C51B788" w:rsidR="00ED5501" w:rsidRPr="00ED5501" w:rsidRDefault="004C53BC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5034F462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278AE" w14:textId="77777777" w:rsidR="00DA2930" w:rsidRDefault="00DA293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C3135" w14:textId="11B80C19" w:rsidR="000D7262" w:rsidRDefault="009C065F" w:rsidP="009C065F">
    <w:pPr>
      <w:pStyle w:val="Footer"/>
    </w:pPr>
    <w:r>
      <w:tab/>
      <w:t>This institution is an equal opportunity provider.</w:t>
    </w:r>
    <w:r>
      <w:tab/>
    </w:r>
    <w:sdt>
      <w:sdtPr>
        <w:id w:val="-11039451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D7262">
          <w:fldChar w:fldCharType="begin"/>
        </w:r>
        <w:r w:rsidR="000D7262">
          <w:instrText xml:space="preserve"> PAGE   \* MERGEFORMAT </w:instrText>
        </w:r>
        <w:r w:rsidR="000D7262">
          <w:fldChar w:fldCharType="separate"/>
        </w:r>
        <w:r w:rsidR="000D7262">
          <w:rPr>
            <w:noProof/>
          </w:rPr>
          <w:t>2</w:t>
        </w:r>
        <w:r w:rsidR="000D7262">
          <w:rPr>
            <w:noProof/>
          </w:rPr>
          <w:fldChar w:fldCharType="end"/>
        </w:r>
      </w:sdtContent>
    </w:sdt>
  </w:p>
  <w:p w14:paraId="67738A8D" w14:textId="24655A5C" w:rsidR="00E2551F" w:rsidRPr="00ED5501" w:rsidRDefault="00E2551F" w:rsidP="00D447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13A1F" w14:textId="77777777" w:rsidR="00D7010D" w:rsidRDefault="00D7010D" w:rsidP="00ED5501">
      <w:r>
        <w:separator/>
      </w:r>
    </w:p>
  </w:footnote>
  <w:footnote w:type="continuationSeparator" w:id="0">
    <w:p w14:paraId="409DB123" w14:textId="77777777" w:rsidR="00D7010D" w:rsidRDefault="00D7010D" w:rsidP="00ED5501">
      <w:r>
        <w:continuationSeparator/>
      </w:r>
    </w:p>
  </w:footnote>
  <w:footnote w:type="continuationNotice" w:id="1">
    <w:p w14:paraId="579F204C" w14:textId="77777777" w:rsidR="00D7010D" w:rsidRDefault="00D701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7C68814A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3C1D86" w14:textId="77777777" w:rsidR="00DA2930" w:rsidRDefault="00DA29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0358D"/>
    <w:multiLevelType w:val="hybridMultilevel"/>
    <w:tmpl w:val="3B54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2376"/>
    <w:multiLevelType w:val="hybridMultilevel"/>
    <w:tmpl w:val="5D56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F6539"/>
    <w:multiLevelType w:val="hybridMultilevel"/>
    <w:tmpl w:val="1206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F2F0F"/>
    <w:multiLevelType w:val="hybridMultilevel"/>
    <w:tmpl w:val="A400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12240"/>
    <w:multiLevelType w:val="hybridMultilevel"/>
    <w:tmpl w:val="67DE2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566249">
    <w:abstractNumId w:val="4"/>
  </w:num>
  <w:num w:numId="2" w16cid:durableId="373192744">
    <w:abstractNumId w:val="3"/>
  </w:num>
  <w:num w:numId="3" w16cid:durableId="1597664245">
    <w:abstractNumId w:val="2"/>
  </w:num>
  <w:num w:numId="4" w16cid:durableId="385684294">
    <w:abstractNumId w:val="0"/>
  </w:num>
  <w:num w:numId="5" w16cid:durableId="875658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7506"/>
    <w:rsid w:val="00010AEC"/>
    <w:rsid w:val="00022CFC"/>
    <w:rsid w:val="0002324E"/>
    <w:rsid w:val="00032C6B"/>
    <w:rsid w:val="00043684"/>
    <w:rsid w:val="00044143"/>
    <w:rsid w:val="00045E02"/>
    <w:rsid w:val="000473C1"/>
    <w:rsid w:val="00051FAB"/>
    <w:rsid w:val="0006005E"/>
    <w:rsid w:val="0006281B"/>
    <w:rsid w:val="0007236F"/>
    <w:rsid w:val="00075DB3"/>
    <w:rsid w:val="0007758D"/>
    <w:rsid w:val="000914B5"/>
    <w:rsid w:val="000A649D"/>
    <w:rsid w:val="000C695A"/>
    <w:rsid w:val="000C73A5"/>
    <w:rsid w:val="000D1B42"/>
    <w:rsid w:val="000D7262"/>
    <w:rsid w:val="000D7930"/>
    <w:rsid w:val="000E1985"/>
    <w:rsid w:val="000E3DFD"/>
    <w:rsid w:val="000E74E7"/>
    <w:rsid w:val="000F3D5D"/>
    <w:rsid w:val="000F6885"/>
    <w:rsid w:val="00101728"/>
    <w:rsid w:val="00126B37"/>
    <w:rsid w:val="00130F08"/>
    <w:rsid w:val="0013608F"/>
    <w:rsid w:val="00141ABD"/>
    <w:rsid w:val="001456B7"/>
    <w:rsid w:val="001471B9"/>
    <w:rsid w:val="00147758"/>
    <w:rsid w:val="001514AE"/>
    <w:rsid w:val="00162E80"/>
    <w:rsid w:val="00171673"/>
    <w:rsid w:val="00171C7B"/>
    <w:rsid w:val="00175D8B"/>
    <w:rsid w:val="00183FEE"/>
    <w:rsid w:val="00195421"/>
    <w:rsid w:val="001A6F97"/>
    <w:rsid w:val="001D1DC7"/>
    <w:rsid w:val="001D599B"/>
    <w:rsid w:val="001D5A38"/>
    <w:rsid w:val="001D7BCB"/>
    <w:rsid w:val="001E20EB"/>
    <w:rsid w:val="001E4147"/>
    <w:rsid w:val="001E6753"/>
    <w:rsid w:val="001E6D80"/>
    <w:rsid w:val="001F6200"/>
    <w:rsid w:val="00200B6C"/>
    <w:rsid w:val="00203CC9"/>
    <w:rsid w:val="00207252"/>
    <w:rsid w:val="002073AE"/>
    <w:rsid w:val="002104E7"/>
    <w:rsid w:val="002128A0"/>
    <w:rsid w:val="002158A5"/>
    <w:rsid w:val="00216331"/>
    <w:rsid w:val="00223C81"/>
    <w:rsid w:val="00225424"/>
    <w:rsid w:val="0022653B"/>
    <w:rsid w:val="00227020"/>
    <w:rsid w:val="00235AD7"/>
    <w:rsid w:val="00241092"/>
    <w:rsid w:val="002442CA"/>
    <w:rsid w:val="00257EAA"/>
    <w:rsid w:val="0026280A"/>
    <w:rsid w:val="00264C2F"/>
    <w:rsid w:val="0027039E"/>
    <w:rsid w:val="00274D3D"/>
    <w:rsid w:val="00277C52"/>
    <w:rsid w:val="00280C97"/>
    <w:rsid w:val="00281926"/>
    <w:rsid w:val="00281E63"/>
    <w:rsid w:val="002914C1"/>
    <w:rsid w:val="00295057"/>
    <w:rsid w:val="002A6D58"/>
    <w:rsid w:val="002B2DB2"/>
    <w:rsid w:val="002B627A"/>
    <w:rsid w:val="002C3A10"/>
    <w:rsid w:val="002C56B8"/>
    <w:rsid w:val="002C6F11"/>
    <w:rsid w:val="002D3848"/>
    <w:rsid w:val="002D6144"/>
    <w:rsid w:val="002D7CB8"/>
    <w:rsid w:val="002E23B8"/>
    <w:rsid w:val="002E3038"/>
    <w:rsid w:val="002E36BE"/>
    <w:rsid w:val="002F0A91"/>
    <w:rsid w:val="002F34C8"/>
    <w:rsid w:val="002F658B"/>
    <w:rsid w:val="0030576C"/>
    <w:rsid w:val="003101E4"/>
    <w:rsid w:val="003105FE"/>
    <w:rsid w:val="003109C2"/>
    <w:rsid w:val="00311B0C"/>
    <w:rsid w:val="00315D11"/>
    <w:rsid w:val="00316A61"/>
    <w:rsid w:val="003206B7"/>
    <w:rsid w:val="0032785F"/>
    <w:rsid w:val="003327E1"/>
    <w:rsid w:val="00340D4D"/>
    <w:rsid w:val="0035533C"/>
    <w:rsid w:val="003807D9"/>
    <w:rsid w:val="00383A09"/>
    <w:rsid w:val="003866F7"/>
    <w:rsid w:val="003A01CB"/>
    <w:rsid w:val="003A1092"/>
    <w:rsid w:val="003A39AB"/>
    <w:rsid w:val="003B5DB6"/>
    <w:rsid w:val="003B7EA3"/>
    <w:rsid w:val="003C0A2A"/>
    <w:rsid w:val="003D72C8"/>
    <w:rsid w:val="003D7D4F"/>
    <w:rsid w:val="003E4CF0"/>
    <w:rsid w:val="003E6C7C"/>
    <w:rsid w:val="00400006"/>
    <w:rsid w:val="00401882"/>
    <w:rsid w:val="00424297"/>
    <w:rsid w:val="00425C3F"/>
    <w:rsid w:val="00425CF2"/>
    <w:rsid w:val="00430821"/>
    <w:rsid w:val="00434045"/>
    <w:rsid w:val="00436309"/>
    <w:rsid w:val="00446235"/>
    <w:rsid w:val="0048038E"/>
    <w:rsid w:val="004873A1"/>
    <w:rsid w:val="00489ACC"/>
    <w:rsid w:val="00493B54"/>
    <w:rsid w:val="00494AD0"/>
    <w:rsid w:val="004A567E"/>
    <w:rsid w:val="004B786A"/>
    <w:rsid w:val="004C3F79"/>
    <w:rsid w:val="004C53BC"/>
    <w:rsid w:val="004D5B9C"/>
    <w:rsid w:val="004E1A14"/>
    <w:rsid w:val="004E7807"/>
    <w:rsid w:val="004F5B88"/>
    <w:rsid w:val="00503255"/>
    <w:rsid w:val="00504874"/>
    <w:rsid w:val="005056B1"/>
    <w:rsid w:val="005250C0"/>
    <w:rsid w:val="00530946"/>
    <w:rsid w:val="005313FD"/>
    <w:rsid w:val="00531AFC"/>
    <w:rsid w:val="0053222C"/>
    <w:rsid w:val="005372FA"/>
    <w:rsid w:val="00542834"/>
    <w:rsid w:val="00556770"/>
    <w:rsid w:val="00560FF4"/>
    <w:rsid w:val="00563389"/>
    <w:rsid w:val="005666AC"/>
    <w:rsid w:val="00566D02"/>
    <w:rsid w:val="00573A0D"/>
    <w:rsid w:val="005818E7"/>
    <w:rsid w:val="00590AA3"/>
    <w:rsid w:val="00590DFF"/>
    <w:rsid w:val="00591E1A"/>
    <w:rsid w:val="00595823"/>
    <w:rsid w:val="005A1F33"/>
    <w:rsid w:val="005A7282"/>
    <w:rsid w:val="005D0CC2"/>
    <w:rsid w:val="005D4D61"/>
    <w:rsid w:val="005E04C2"/>
    <w:rsid w:val="005E200F"/>
    <w:rsid w:val="005F2AC0"/>
    <w:rsid w:val="005F3161"/>
    <w:rsid w:val="005F568C"/>
    <w:rsid w:val="00604D7F"/>
    <w:rsid w:val="0060637D"/>
    <w:rsid w:val="0060705C"/>
    <w:rsid w:val="00610947"/>
    <w:rsid w:val="006123B5"/>
    <w:rsid w:val="006202C0"/>
    <w:rsid w:val="00633DCE"/>
    <w:rsid w:val="00637036"/>
    <w:rsid w:val="006438C4"/>
    <w:rsid w:val="00662703"/>
    <w:rsid w:val="00664A7C"/>
    <w:rsid w:val="00664D38"/>
    <w:rsid w:val="006658CF"/>
    <w:rsid w:val="0066727F"/>
    <w:rsid w:val="006719CB"/>
    <w:rsid w:val="00675369"/>
    <w:rsid w:val="00676D16"/>
    <w:rsid w:val="00686FF5"/>
    <w:rsid w:val="00687010"/>
    <w:rsid w:val="00690326"/>
    <w:rsid w:val="00696AED"/>
    <w:rsid w:val="006B750E"/>
    <w:rsid w:val="006C3DCC"/>
    <w:rsid w:val="006C7BD7"/>
    <w:rsid w:val="006F5913"/>
    <w:rsid w:val="00703E3A"/>
    <w:rsid w:val="00711D5F"/>
    <w:rsid w:val="007147A5"/>
    <w:rsid w:val="0071622F"/>
    <w:rsid w:val="0072176E"/>
    <w:rsid w:val="00722F43"/>
    <w:rsid w:val="00732AF4"/>
    <w:rsid w:val="00733D3B"/>
    <w:rsid w:val="0074594B"/>
    <w:rsid w:val="00763EE2"/>
    <w:rsid w:val="007745DB"/>
    <w:rsid w:val="00774678"/>
    <w:rsid w:val="00776157"/>
    <w:rsid w:val="007859A8"/>
    <w:rsid w:val="00791567"/>
    <w:rsid w:val="00794A92"/>
    <w:rsid w:val="007A2055"/>
    <w:rsid w:val="007A3CFC"/>
    <w:rsid w:val="007C0B5F"/>
    <w:rsid w:val="007C2395"/>
    <w:rsid w:val="007C7AD8"/>
    <w:rsid w:val="007D1FA5"/>
    <w:rsid w:val="007D6A9C"/>
    <w:rsid w:val="007E53C7"/>
    <w:rsid w:val="007F1892"/>
    <w:rsid w:val="00804B5A"/>
    <w:rsid w:val="00813493"/>
    <w:rsid w:val="00814CB9"/>
    <w:rsid w:val="00823C4B"/>
    <w:rsid w:val="00854DA4"/>
    <w:rsid w:val="00871B0B"/>
    <w:rsid w:val="0087505D"/>
    <w:rsid w:val="0088220F"/>
    <w:rsid w:val="0088351F"/>
    <w:rsid w:val="008844E6"/>
    <w:rsid w:val="008847FD"/>
    <w:rsid w:val="00886A53"/>
    <w:rsid w:val="008A012A"/>
    <w:rsid w:val="008A58EA"/>
    <w:rsid w:val="008A73A4"/>
    <w:rsid w:val="008B330E"/>
    <w:rsid w:val="008B3BB2"/>
    <w:rsid w:val="008B67D3"/>
    <w:rsid w:val="008E2265"/>
    <w:rsid w:val="008E53D3"/>
    <w:rsid w:val="008F4597"/>
    <w:rsid w:val="008F58CC"/>
    <w:rsid w:val="009112B4"/>
    <w:rsid w:val="0091756C"/>
    <w:rsid w:val="0092103E"/>
    <w:rsid w:val="0092299B"/>
    <w:rsid w:val="00923898"/>
    <w:rsid w:val="009327E5"/>
    <w:rsid w:val="00936E11"/>
    <w:rsid w:val="00947446"/>
    <w:rsid w:val="0095718B"/>
    <w:rsid w:val="00963C39"/>
    <w:rsid w:val="0096736D"/>
    <w:rsid w:val="00974957"/>
    <w:rsid w:val="00980A3A"/>
    <w:rsid w:val="00991104"/>
    <w:rsid w:val="009A28ED"/>
    <w:rsid w:val="009A2CA9"/>
    <w:rsid w:val="009A508D"/>
    <w:rsid w:val="009A73AF"/>
    <w:rsid w:val="009A7C5C"/>
    <w:rsid w:val="009B206A"/>
    <w:rsid w:val="009B691A"/>
    <w:rsid w:val="009C065F"/>
    <w:rsid w:val="009E1F21"/>
    <w:rsid w:val="009E3DE4"/>
    <w:rsid w:val="009F1ABA"/>
    <w:rsid w:val="009F308E"/>
    <w:rsid w:val="00A040F3"/>
    <w:rsid w:val="00A12BDF"/>
    <w:rsid w:val="00A13359"/>
    <w:rsid w:val="00A14460"/>
    <w:rsid w:val="00A2321F"/>
    <w:rsid w:val="00A251C6"/>
    <w:rsid w:val="00A4306C"/>
    <w:rsid w:val="00A73B84"/>
    <w:rsid w:val="00A73DC5"/>
    <w:rsid w:val="00A90976"/>
    <w:rsid w:val="00A96535"/>
    <w:rsid w:val="00AA267D"/>
    <w:rsid w:val="00AA3EBC"/>
    <w:rsid w:val="00AB21E9"/>
    <w:rsid w:val="00AB386D"/>
    <w:rsid w:val="00AB606A"/>
    <w:rsid w:val="00AB7EBC"/>
    <w:rsid w:val="00AD2D14"/>
    <w:rsid w:val="00AD4C5F"/>
    <w:rsid w:val="00AD6206"/>
    <w:rsid w:val="00AF564C"/>
    <w:rsid w:val="00AF63BE"/>
    <w:rsid w:val="00AF65B8"/>
    <w:rsid w:val="00AF6D01"/>
    <w:rsid w:val="00B00F6D"/>
    <w:rsid w:val="00B041C4"/>
    <w:rsid w:val="00B066C9"/>
    <w:rsid w:val="00B06C92"/>
    <w:rsid w:val="00B1016A"/>
    <w:rsid w:val="00B13F18"/>
    <w:rsid w:val="00B2033C"/>
    <w:rsid w:val="00B22313"/>
    <w:rsid w:val="00B40053"/>
    <w:rsid w:val="00B407A6"/>
    <w:rsid w:val="00B461E4"/>
    <w:rsid w:val="00B51025"/>
    <w:rsid w:val="00B57E83"/>
    <w:rsid w:val="00B57FBF"/>
    <w:rsid w:val="00B75193"/>
    <w:rsid w:val="00B75C4C"/>
    <w:rsid w:val="00B81153"/>
    <w:rsid w:val="00B83B96"/>
    <w:rsid w:val="00B85C9C"/>
    <w:rsid w:val="00B91660"/>
    <w:rsid w:val="00BA605F"/>
    <w:rsid w:val="00BB178D"/>
    <w:rsid w:val="00BB257D"/>
    <w:rsid w:val="00BC02A4"/>
    <w:rsid w:val="00BC2756"/>
    <w:rsid w:val="00BC585F"/>
    <w:rsid w:val="00BC7B59"/>
    <w:rsid w:val="00BD21EC"/>
    <w:rsid w:val="00BD5863"/>
    <w:rsid w:val="00BD5C4D"/>
    <w:rsid w:val="00BF108D"/>
    <w:rsid w:val="00C00AE1"/>
    <w:rsid w:val="00C01B42"/>
    <w:rsid w:val="00C02F4F"/>
    <w:rsid w:val="00C0334B"/>
    <w:rsid w:val="00C16DC8"/>
    <w:rsid w:val="00C21576"/>
    <w:rsid w:val="00C24F65"/>
    <w:rsid w:val="00C31083"/>
    <w:rsid w:val="00C370A8"/>
    <w:rsid w:val="00C47586"/>
    <w:rsid w:val="00C61A15"/>
    <w:rsid w:val="00C63DAF"/>
    <w:rsid w:val="00C91592"/>
    <w:rsid w:val="00C97867"/>
    <w:rsid w:val="00CA4197"/>
    <w:rsid w:val="00CA66A4"/>
    <w:rsid w:val="00CB61DB"/>
    <w:rsid w:val="00CC221A"/>
    <w:rsid w:val="00CC367E"/>
    <w:rsid w:val="00CD35DA"/>
    <w:rsid w:val="00CD59CB"/>
    <w:rsid w:val="00CE7781"/>
    <w:rsid w:val="00CF6405"/>
    <w:rsid w:val="00CF7C1C"/>
    <w:rsid w:val="00D05C85"/>
    <w:rsid w:val="00D130DC"/>
    <w:rsid w:val="00D235B4"/>
    <w:rsid w:val="00D27CF0"/>
    <w:rsid w:val="00D27F75"/>
    <w:rsid w:val="00D40554"/>
    <w:rsid w:val="00D405D5"/>
    <w:rsid w:val="00D4479F"/>
    <w:rsid w:val="00D449F8"/>
    <w:rsid w:val="00D56B48"/>
    <w:rsid w:val="00D7010D"/>
    <w:rsid w:val="00D862CF"/>
    <w:rsid w:val="00D90207"/>
    <w:rsid w:val="00D9044F"/>
    <w:rsid w:val="00D95730"/>
    <w:rsid w:val="00D96278"/>
    <w:rsid w:val="00D96F21"/>
    <w:rsid w:val="00DA2930"/>
    <w:rsid w:val="00DB3DF3"/>
    <w:rsid w:val="00DC17F5"/>
    <w:rsid w:val="00DC1F3E"/>
    <w:rsid w:val="00DC7307"/>
    <w:rsid w:val="00DD2081"/>
    <w:rsid w:val="00DD5E27"/>
    <w:rsid w:val="00DD6DB5"/>
    <w:rsid w:val="00E04D7C"/>
    <w:rsid w:val="00E06394"/>
    <w:rsid w:val="00E12B33"/>
    <w:rsid w:val="00E131E5"/>
    <w:rsid w:val="00E143FC"/>
    <w:rsid w:val="00E24B80"/>
    <w:rsid w:val="00E2551F"/>
    <w:rsid w:val="00E3706A"/>
    <w:rsid w:val="00E4067E"/>
    <w:rsid w:val="00E45E92"/>
    <w:rsid w:val="00E51041"/>
    <w:rsid w:val="00E55F2B"/>
    <w:rsid w:val="00E65DE0"/>
    <w:rsid w:val="00E74FE6"/>
    <w:rsid w:val="00E75B47"/>
    <w:rsid w:val="00EB5707"/>
    <w:rsid w:val="00EC25F4"/>
    <w:rsid w:val="00EC5C9A"/>
    <w:rsid w:val="00ED5501"/>
    <w:rsid w:val="00EE2B6E"/>
    <w:rsid w:val="00EF1E26"/>
    <w:rsid w:val="00EF42C6"/>
    <w:rsid w:val="00F00270"/>
    <w:rsid w:val="00F03F4D"/>
    <w:rsid w:val="00F04C96"/>
    <w:rsid w:val="00F105ED"/>
    <w:rsid w:val="00F1446C"/>
    <w:rsid w:val="00F17C07"/>
    <w:rsid w:val="00F32101"/>
    <w:rsid w:val="00F50A8E"/>
    <w:rsid w:val="00F548B6"/>
    <w:rsid w:val="00F56391"/>
    <w:rsid w:val="00F62E74"/>
    <w:rsid w:val="00F6569F"/>
    <w:rsid w:val="00F75CA6"/>
    <w:rsid w:val="00F7736B"/>
    <w:rsid w:val="00FA01C0"/>
    <w:rsid w:val="00FB7458"/>
    <w:rsid w:val="00FD0401"/>
    <w:rsid w:val="00FD3E80"/>
    <w:rsid w:val="00FE2EC8"/>
    <w:rsid w:val="00FE7F76"/>
    <w:rsid w:val="00FF0422"/>
    <w:rsid w:val="0226BB5B"/>
    <w:rsid w:val="05AFDE4D"/>
    <w:rsid w:val="08FEE57E"/>
    <w:rsid w:val="0ADDE6B3"/>
    <w:rsid w:val="0B5C1C24"/>
    <w:rsid w:val="0FC7C11B"/>
    <w:rsid w:val="10BC6790"/>
    <w:rsid w:val="1192965C"/>
    <w:rsid w:val="136EF7F1"/>
    <w:rsid w:val="15A3DCF3"/>
    <w:rsid w:val="16114094"/>
    <w:rsid w:val="16B1DA3E"/>
    <w:rsid w:val="21B03AA3"/>
    <w:rsid w:val="24D67E41"/>
    <w:rsid w:val="269FD7D4"/>
    <w:rsid w:val="29994B11"/>
    <w:rsid w:val="2B32AE30"/>
    <w:rsid w:val="2D84EE84"/>
    <w:rsid w:val="2D90C279"/>
    <w:rsid w:val="2EFF0A55"/>
    <w:rsid w:val="2F2E6872"/>
    <w:rsid w:val="2F507F1C"/>
    <w:rsid w:val="2F65D207"/>
    <w:rsid w:val="315D362B"/>
    <w:rsid w:val="397D03A6"/>
    <w:rsid w:val="3C956CDB"/>
    <w:rsid w:val="3D690FB1"/>
    <w:rsid w:val="3E21B5C0"/>
    <w:rsid w:val="420F94A3"/>
    <w:rsid w:val="422951B7"/>
    <w:rsid w:val="429366DC"/>
    <w:rsid w:val="45CA68AE"/>
    <w:rsid w:val="4E33B2C3"/>
    <w:rsid w:val="510BE941"/>
    <w:rsid w:val="51A27409"/>
    <w:rsid w:val="530307F5"/>
    <w:rsid w:val="53032AB8"/>
    <w:rsid w:val="5564770A"/>
    <w:rsid w:val="5ACB6C89"/>
    <w:rsid w:val="5B6CA835"/>
    <w:rsid w:val="5CAACBC9"/>
    <w:rsid w:val="5D92FCB3"/>
    <w:rsid w:val="5FC62568"/>
    <w:rsid w:val="5FEC20CA"/>
    <w:rsid w:val="60BB6B25"/>
    <w:rsid w:val="62961C6A"/>
    <w:rsid w:val="62F8A7C8"/>
    <w:rsid w:val="64744397"/>
    <w:rsid w:val="6527F69C"/>
    <w:rsid w:val="65609A04"/>
    <w:rsid w:val="65E2FFE9"/>
    <w:rsid w:val="69D97C2B"/>
    <w:rsid w:val="6CF9BEBA"/>
    <w:rsid w:val="730282FD"/>
    <w:rsid w:val="733B035E"/>
    <w:rsid w:val="74E75939"/>
    <w:rsid w:val="76CAC0B7"/>
    <w:rsid w:val="76DF5A3E"/>
    <w:rsid w:val="7A13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057DD8EE-F44C-444D-8452-7D7B516F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iPriority w:val="99"/>
    <w:semiHidden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character" w:styleId="FootnoteReference">
    <w:name w:val="footnote reference"/>
    <w:uiPriority w:val="99"/>
    <w:semiHidden/>
    <w:rsid w:val="00936E11"/>
  </w:style>
  <w:style w:type="paragraph" w:styleId="FootnoteText">
    <w:name w:val="footnote text"/>
    <w:basedOn w:val="Normal"/>
    <w:link w:val="FootnoteTextChar"/>
    <w:uiPriority w:val="99"/>
    <w:semiHidden/>
    <w:unhideWhenUsed/>
    <w:rsid w:val="00936E11"/>
    <w:pPr>
      <w:widowControl w:val="0"/>
    </w:pPr>
    <w:rPr>
      <w:rFonts w:ascii="Times New Roman" w:eastAsia="Times New Roman" w:hAnsi="Times New Roman" w:cs="Times New Roman"/>
      <w:snapToGrid w:val="0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6E11"/>
    <w:rPr>
      <w:rFonts w:ascii="Times New Roman" w:eastAsia="Times New Roman" w:hAnsi="Times New Roman" w:cs="Times New Roman"/>
      <w:snapToGrid w:val="0"/>
      <w:kern w:val="0"/>
      <w:sz w:val="20"/>
      <w:szCs w:val="20"/>
      <w14:ligatures w14:val="none"/>
    </w:rPr>
  </w:style>
  <w:style w:type="paragraph" w:customStyle="1" w:styleId="Default">
    <w:name w:val="Default"/>
    <w:rsid w:val="00936E11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paragraph" w:styleId="BodyText">
    <w:name w:val="Body Text"/>
    <w:basedOn w:val="Normal"/>
    <w:link w:val="BodyTextChar"/>
    <w:uiPriority w:val="1"/>
    <w:qFormat/>
    <w:rsid w:val="00936E11"/>
    <w:pPr>
      <w:widowControl w:val="0"/>
      <w:autoSpaceDE w:val="0"/>
      <w:autoSpaceDN w:val="0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36E11"/>
    <w:rPr>
      <w:rFonts w:ascii="Arial" w:eastAsia="Arial" w:hAnsi="Arial" w:cs="Arial"/>
      <w:kern w:val="0"/>
      <w14:ligatures w14:val="none"/>
    </w:rPr>
  </w:style>
  <w:style w:type="paragraph" w:styleId="NoSpacing">
    <w:name w:val="No Spacing"/>
    <w:uiPriority w:val="1"/>
    <w:qFormat/>
    <w:rsid w:val="00936E11"/>
    <w:rPr>
      <w:sz w:val="22"/>
      <w:szCs w:val="22"/>
    </w:rPr>
  </w:style>
  <w:style w:type="paragraph" w:customStyle="1" w:styleId="xmsonormal">
    <w:name w:val="x_msonormal"/>
    <w:basedOn w:val="Normal"/>
    <w:rsid w:val="00A12BDF"/>
    <w:rPr>
      <w:rFonts w:ascii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12B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20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7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B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B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BD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C7BD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067ABE30D6E42A7B668792FA0694D" ma:contentTypeVersion="15" ma:contentTypeDescription="Create a new document." ma:contentTypeScope="" ma:versionID="4c9cc51dbff3bf5851b7edd95fc735ea">
  <xsd:schema xmlns:xsd="http://www.w3.org/2001/XMLSchema" xmlns:xs="http://www.w3.org/2001/XMLSchema" xmlns:p="http://schemas.microsoft.com/office/2006/metadata/properties" xmlns:ns2="4050f4b8-65ca-42b8-bda3-064b4d7fabd2" xmlns:ns3="30db67e0-1de6-4db3-b46f-e19715fc8fc5" targetNamespace="http://schemas.microsoft.com/office/2006/metadata/properties" ma:root="true" ma:fieldsID="b999a89868cbe4ae6f6b44b0daf311ba" ns2:_="" ns3:_="">
    <xsd:import namespace="4050f4b8-65ca-42b8-bda3-064b4d7fabd2"/>
    <xsd:import namespace="30db67e0-1de6-4db3-b46f-e19715fc8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0f4b8-65ca-42b8-bda3-064b4d7fa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b67e0-1de6-4db3-b46f-e19715fc8f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3fe36c-f93f-408a-b451-3c4018787173}" ma:internalName="TaxCatchAll" ma:showField="CatchAllData" ma:web="30db67e0-1de6-4db3-b46f-e19715fc8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0f4b8-65ca-42b8-bda3-064b4d7fabd2">
      <Terms xmlns="http://schemas.microsoft.com/office/infopath/2007/PartnerControls"/>
    </lcf76f155ced4ddcb4097134ff3c332f>
    <TaxCatchAll xmlns="30db67e0-1de6-4db3-b46f-e19715fc8f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314825-EB2A-4D13-9296-8AA6186D1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0f4b8-65ca-42b8-bda3-064b4d7fabd2"/>
    <ds:schemaRef ds:uri="30db67e0-1de6-4db3-b46f-e19715fc8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9B93B-1B2F-4C83-883B-A402E6C98FB0}">
  <ds:schemaRefs>
    <ds:schemaRef ds:uri="http://schemas.microsoft.com/office/2006/metadata/properties"/>
    <ds:schemaRef ds:uri="http://schemas.microsoft.com/office/infopath/2007/PartnerControls"/>
    <ds:schemaRef ds:uri="4050f4b8-65ca-42b8-bda3-064b4d7fabd2"/>
    <ds:schemaRef ds:uri="30db67e0-1de6-4db3-b46f-e19715fc8fc5"/>
  </ds:schemaRefs>
</ds:datastoreItem>
</file>

<file path=customXml/itemProps3.xml><?xml version="1.0" encoding="utf-8"?>
<ds:datastoreItem xmlns:ds="http://schemas.openxmlformats.org/officeDocument/2006/customXml" ds:itemID="{D1A4C9BC-3808-4809-9249-ECD7E0FC80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Christo, Dimitri D. (DESE)</dc:creator>
  <cp:keywords/>
  <dc:description/>
  <cp:lastModifiedBy>Zou, Dong (EOE)</cp:lastModifiedBy>
  <cp:revision>119</cp:revision>
  <dcterms:created xsi:type="dcterms:W3CDTF">2025-01-19T18:49:00Z</dcterms:created>
  <dcterms:modified xsi:type="dcterms:W3CDTF">2025-02-13T20:33:00Z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0x010100589067ABE30D6E42A7B668792FA0694D</vt:lpwstr>
  </property>
  <property fmtid="{D5CDD505-2E9C-101B-9397-08002B2CF9AE}" pid="3" name="MediaServiceImageTags">
    <vt:lpwstr/>
  </property>
</Properties>
</file>