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6B58" w14:textId="08D43C57" w:rsidR="004873A1" w:rsidRPr="009F3E1E" w:rsidRDefault="004873A1">
      <w:pPr>
        <w:sectPr w:rsidR="004873A1" w:rsidRPr="009F3E1E" w:rsidSect="0046693C">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7777777" w:rsidR="003051F4" w:rsidRPr="000B2AB8" w:rsidRDefault="003051F4" w:rsidP="003051F4">
      <w:pPr>
        <w:pStyle w:val="Heading1"/>
        <w:jc w:val="center"/>
        <w:rPr>
          <w:rFonts w:asciiTheme="minorHAnsi" w:hAnsiTheme="minorHAnsi"/>
        </w:rPr>
      </w:pPr>
      <w:r w:rsidRPr="000B2AB8">
        <w:rPr>
          <w:rFonts w:asciiTheme="minorHAnsi" w:hAnsiTheme="minorHAnsi"/>
        </w:rPr>
        <w:t>MEMORANDUM</w:t>
      </w:r>
    </w:p>
    <w:p w14:paraId="738EC39A" w14:textId="77777777" w:rsidR="003051F4" w:rsidRPr="000B2AB8" w:rsidRDefault="003051F4" w:rsidP="003051F4">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3051F4" w:rsidRPr="000B2AB8" w14:paraId="4AFB3A98" w14:textId="77777777" w:rsidTr="6F8A0F96">
        <w:tc>
          <w:tcPr>
            <w:tcW w:w="1184" w:type="dxa"/>
          </w:tcPr>
          <w:p w14:paraId="1CE2DCF6" w14:textId="05507A00" w:rsidR="003051F4" w:rsidRPr="000B2AB8" w:rsidRDefault="003051F4" w:rsidP="29833A94">
            <w:pPr>
              <w:rPr>
                <w:b/>
                <w:bCs/>
              </w:rPr>
            </w:pPr>
            <w:r w:rsidRPr="000B2AB8">
              <w:rPr>
                <w:b/>
                <w:bCs/>
              </w:rPr>
              <w:t>To:</w:t>
            </w:r>
          </w:p>
          <w:p w14:paraId="46F2DCD6" w14:textId="66162364" w:rsidR="003051F4" w:rsidRPr="000B2AB8" w:rsidRDefault="003051F4" w:rsidP="29833A94">
            <w:pPr>
              <w:rPr>
                <w:b/>
                <w:bCs/>
              </w:rPr>
            </w:pPr>
          </w:p>
        </w:tc>
        <w:tc>
          <w:tcPr>
            <w:tcW w:w="8176" w:type="dxa"/>
          </w:tcPr>
          <w:p w14:paraId="6E0EDB2D" w14:textId="0FB1D065" w:rsidR="003051F4" w:rsidRPr="000B2AB8" w:rsidRDefault="5255CC24" w:rsidP="29833A94">
            <w:pPr>
              <w:pStyle w:val="Footer"/>
              <w:widowControl w:val="0"/>
            </w:pPr>
            <w:r w:rsidRPr="000B2AB8">
              <w:t>Members of the Board of Elementary and Secondary Education</w:t>
            </w:r>
          </w:p>
        </w:tc>
      </w:tr>
      <w:tr w:rsidR="003051F4" w:rsidRPr="000B2AB8" w14:paraId="430477D6" w14:textId="77777777" w:rsidTr="6F8A0F96">
        <w:tc>
          <w:tcPr>
            <w:tcW w:w="1184" w:type="dxa"/>
          </w:tcPr>
          <w:p w14:paraId="32B340E8" w14:textId="25BC05BE" w:rsidR="003051F4" w:rsidRPr="000B2AB8" w:rsidRDefault="003051F4" w:rsidP="29833A94">
            <w:pPr>
              <w:rPr>
                <w:b/>
                <w:bCs/>
              </w:rPr>
            </w:pPr>
            <w:r w:rsidRPr="000B2AB8">
              <w:rPr>
                <w:b/>
                <w:bCs/>
              </w:rPr>
              <w:t>From:</w:t>
            </w:r>
          </w:p>
          <w:p w14:paraId="2303ACC4" w14:textId="49A812B0" w:rsidR="003051F4" w:rsidRPr="000B2AB8" w:rsidRDefault="003051F4" w:rsidP="29833A94">
            <w:pPr>
              <w:rPr>
                <w:b/>
                <w:bCs/>
              </w:rPr>
            </w:pPr>
          </w:p>
        </w:tc>
        <w:tc>
          <w:tcPr>
            <w:tcW w:w="8176" w:type="dxa"/>
          </w:tcPr>
          <w:p w14:paraId="5F07A2FC" w14:textId="62CA531B" w:rsidR="001D100A" w:rsidRPr="000B2AB8" w:rsidRDefault="1AFDDBFE">
            <w:pPr>
              <w:pStyle w:val="Footer"/>
              <w:widowControl w:val="0"/>
            </w:pPr>
            <w:r w:rsidRPr="000B2AB8">
              <w:t xml:space="preserve">Russell D. Johnston, Acting Commissioner  </w:t>
            </w:r>
          </w:p>
        </w:tc>
      </w:tr>
      <w:tr w:rsidR="003051F4" w:rsidRPr="000B2AB8" w14:paraId="40EBC9C0" w14:textId="77777777" w:rsidTr="6F8A0F96">
        <w:tc>
          <w:tcPr>
            <w:tcW w:w="1184" w:type="dxa"/>
          </w:tcPr>
          <w:p w14:paraId="7A23D1C8" w14:textId="7ED380BD" w:rsidR="003051F4" w:rsidRPr="000B2AB8" w:rsidRDefault="003051F4" w:rsidP="29833A94">
            <w:pPr>
              <w:rPr>
                <w:b/>
                <w:bCs/>
              </w:rPr>
            </w:pPr>
            <w:r w:rsidRPr="000B2AB8">
              <w:rPr>
                <w:b/>
                <w:bCs/>
              </w:rPr>
              <w:t>Date:</w:t>
            </w:r>
          </w:p>
          <w:p w14:paraId="1D7621DD" w14:textId="5A67F8FF" w:rsidR="003051F4" w:rsidRPr="000B2AB8" w:rsidRDefault="003051F4" w:rsidP="29833A94">
            <w:pPr>
              <w:rPr>
                <w:b/>
                <w:bCs/>
              </w:rPr>
            </w:pPr>
          </w:p>
        </w:tc>
        <w:tc>
          <w:tcPr>
            <w:tcW w:w="8176" w:type="dxa"/>
          </w:tcPr>
          <w:p w14:paraId="57FDDBF2" w14:textId="4DDC6E2C" w:rsidR="003051F4" w:rsidRPr="000B2AB8" w:rsidRDefault="63165FBE">
            <w:pPr>
              <w:pStyle w:val="Footer"/>
              <w:widowControl w:val="0"/>
            </w:pPr>
            <w:r>
              <w:t xml:space="preserve">February </w:t>
            </w:r>
            <w:r w:rsidR="233F672C">
              <w:t>1</w:t>
            </w:r>
            <w:r w:rsidR="36776575">
              <w:t>9</w:t>
            </w:r>
            <w:r w:rsidR="5A3C786E">
              <w:t>, 2025</w:t>
            </w:r>
          </w:p>
        </w:tc>
      </w:tr>
      <w:tr w:rsidR="003051F4" w:rsidRPr="000B2AB8" w14:paraId="252EA1D8" w14:textId="77777777" w:rsidTr="6F8A0F96">
        <w:tc>
          <w:tcPr>
            <w:tcW w:w="1184" w:type="dxa"/>
          </w:tcPr>
          <w:p w14:paraId="30A7A7BD" w14:textId="77777777" w:rsidR="003051F4" w:rsidRPr="000B2AB8" w:rsidRDefault="003051F4">
            <w:pPr>
              <w:rPr>
                <w:b/>
              </w:rPr>
            </w:pPr>
            <w:r w:rsidRPr="000B2AB8">
              <w:rPr>
                <w:b/>
              </w:rPr>
              <w:t>Subject:</w:t>
            </w:r>
          </w:p>
        </w:tc>
        <w:tc>
          <w:tcPr>
            <w:tcW w:w="8176" w:type="dxa"/>
          </w:tcPr>
          <w:p w14:paraId="2ADAC119" w14:textId="6148FFAE" w:rsidR="003051F4" w:rsidRPr="000B2AB8" w:rsidRDefault="2C2D0944" w:rsidP="25C3E3DA">
            <w:pPr>
              <w:pStyle w:val="paragraph"/>
            </w:pPr>
            <w:r w:rsidRPr="6F8A0F96">
              <w:rPr>
                <w:rFonts w:ascii="Aptos" w:eastAsia="Aptos" w:hAnsi="Aptos" w:cs="Aptos"/>
                <w:color w:val="000000" w:themeColor="text1"/>
              </w:rPr>
              <w:t>Charter Schools: Amendments to Maximum Enrollment (Advanced Math and Science Academy Charter School, Edward M. Kennedy Academy for Health Careers: A Horace Mann Charter Public School, KIPP Academy Lynn Charter School, Pioneer Valley Chinese Immersion Charter School</w:t>
            </w:r>
            <w:r w:rsidR="7535211E" w:rsidRPr="6F8A0F96">
              <w:rPr>
                <w:rFonts w:ascii="Aptos" w:eastAsia="Aptos" w:hAnsi="Aptos" w:cs="Aptos"/>
                <w:color w:val="000000" w:themeColor="text1"/>
              </w:rPr>
              <w:t>,</w:t>
            </w:r>
            <w:r w:rsidR="3A8F6D91" w:rsidRPr="6F8A0F96">
              <w:rPr>
                <w:rFonts w:ascii="Aptos" w:eastAsia="Aptos" w:hAnsi="Aptos" w:cs="Aptos"/>
                <w:color w:val="000000" w:themeColor="text1"/>
              </w:rPr>
              <w:t xml:space="preserve"> </w:t>
            </w:r>
            <w:r w:rsidRPr="6F8A0F96">
              <w:rPr>
                <w:rFonts w:ascii="Aptos" w:eastAsia="Aptos" w:hAnsi="Aptos" w:cs="Aptos"/>
                <w:color w:val="000000" w:themeColor="text1"/>
              </w:rPr>
              <w:t xml:space="preserve">South Shore Charter Public School) and Region (Pioneer Valley Performing Arts Charter Public School) </w:t>
            </w:r>
          </w:p>
        </w:tc>
      </w:tr>
    </w:tbl>
    <w:p w14:paraId="09039312" w14:textId="77777777" w:rsidR="003051F4" w:rsidRPr="000B2AB8" w:rsidRDefault="003051F4" w:rsidP="003051F4">
      <w:pPr>
        <w:pBdr>
          <w:bottom w:val="single" w:sz="4" w:space="1" w:color="auto"/>
        </w:pBdr>
      </w:pPr>
      <w:bookmarkStart w:id="0" w:name="TO"/>
      <w:bookmarkStart w:id="1" w:name="FROM"/>
      <w:bookmarkStart w:id="2" w:name="DATE"/>
      <w:bookmarkStart w:id="3" w:name="RE"/>
      <w:bookmarkEnd w:id="0"/>
      <w:bookmarkEnd w:id="1"/>
      <w:bookmarkEnd w:id="2"/>
      <w:bookmarkEnd w:id="3"/>
    </w:p>
    <w:p w14:paraId="692DC479" w14:textId="77777777" w:rsidR="003051F4" w:rsidRPr="000B2AB8" w:rsidRDefault="003051F4" w:rsidP="003051F4">
      <w:pPr>
        <w:rPr>
          <w:sz w:val="16"/>
        </w:rPr>
        <w:sectPr w:rsidR="003051F4" w:rsidRPr="000B2AB8" w:rsidSect="0046693C">
          <w:endnotePr>
            <w:numFmt w:val="decimal"/>
          </w:endnotePr>
          <w:type w:val="continuous"/>
          <w:pgSz w:w="12240" w:h="15840"/>
          <w:pgMar w:top="1440" w:right="1440" w:bottom="1440" w:left="1440" w:header="1440" w:footer="1440" w:gutter="0"/>
          <w:cols w:space="720"/>
          <w:noEndnote/>
        </w:sectPr>
      </w:pPr>
    </w:p>
    <w:p w14:paraId="70ACE450" w14:textId="3C1ACD35" w:rsidR="00A040F3" w:rsidRPr="000B2AB8" w:rsidRDefault="00A040F3">
      <w:pPr>
        <w:rPr>
          <w:rFonts w:cs="Calibri"/>
        </w:rPr>
      </w:pPr>
    </w:p>
    <w:p w14:paraId="2080DCC5" w14:textId="786F3C3E" w:rsidR="00C1691A" w:rsidRPr="000B2AB8" w:rsidRDefault="00C1691A" w:rsidP="6F8A0F96">
      <w:r>
        <w:t xml:space="preserve">Pursuant to the Charter School Regulations, 603 CMR 1.10(1), the Board of Elementary and Secondary Education (Board) must approve certain changes to the material terms of a school’s charter, including </w:t>
      </w:r>
      <w:r w:rsidR="00114F53">
        <w:t>maximum enrollment</w:t>
      </w:r>
      <w:r>
        <w:t xml:space="preserve"> and the districts named within a charter school’s region. This year, the Department of Elementary and Secondary Education (Department) received requests from </w:t>
      </w:r>
      <w:r w:rsidR="00884768">
        <w:t xml:space="preserve">six </w:t>
      </w:r>
      <w:r>
        <w:t xml:space="preserve">schools to </w:t>
      </w:r>
      <w:r w:rsidR="00D95701">
        <w:t>increase their maximum enrollment</w:t>
      </w:r>
      <w:r w:rsidR="01317706">
        <w:t xml:space="preserve"> (</w:t>
      </w:r>
      <w:r w:rsidR="6F8A0F96">
        <w:t xml:space="preserve">Advanced Math and Science Academy Charter School, </w:t>
      </w:r>
      <w:r w:rsidR="6F8A0F96" w:rsidRPr="6F8A0F96">
        <w:rPr>
          <w:rFonts w:cs="Calibri"/>
        </w:rPr>
        <w:t>Edward M. Kennedy Academy for Health Careers: A Horace Mann Charter Public School, KIPP Academy Lynn Charter School, Pioneer Valley Chinese Immersion Charter School, Salem Academy Charter School,</w:t>
      </w:r>
      <w:r w:rsidR="0CA39234" w:rsidRPr="6F8A0F96">
        <w:rPr>
          <w:rFonts w:cs="Calibri"/>
        </w:rPr>
        <w:t xml:space="preserve"> </w:t>
      </w:r>
      <w:r w:rsidR="6F8A0F96" w:rsidRPr="6F8A0F96">
        <w:rPr>
          <w:rFonts w:cs="Calibri"/>
        </w:rPr>
        <w:t>and South Shore Charter Public School</w:t>
      </w:r>
      <w:r w:rsidR="77E72CD9" w:rsidRPr="6F8A0F96">
        <w:rPr>
          <w:rFonts w:cs="Calibri"/>
        </w:rPr>
        <w:t>)</w:t>
      </w:r>
      <w:r w:rsidR="6F8A0F96">
        <w:t xml:space="preserve"> and from one school </w:t>
      </w:r>
      <w:r w:rsidR="7474A8BE">
        <w:t>(</w:t>
      </w:r>
      <w:r w:rsidR="6F8A0F96" w:rsidRPr="6F8A0F96">
        <w:rPr>
          <w:rFonts w:cs="Calibri"/>
        </w:rPr>
        <w:t>Pioneer Valley Performing Arts Charter Public School</w:t>
      </w:r>
      <w:r w:rsidR="1D1B29D7" w:rsidRPr="6F8A0F96">
        <w:rPr>
          <w:rFonts w:cs="Calibri"/>
        </w:rPr>
        <w:t xml:space="preserve">) </w:t>
      </w:r>
      <w:r w:rsidR="6F8A0F96">
        <w:t xml:space="preserve">to remove districts in its charter region. I provided you with </w:t>
      </w:r>
      <w:hyperlink r:id="rId14">
        <w:r w:rsidR="6F8A0F96" w:rsidRPr="6F8A0F96">
          <w:rPr>
            <w:rStyle w:val="Hyperlink"/>
          </w:rPr>
          <w:t>an overview of the amendment requests</w:t>
        </w:r>
      </w:hyperlink>
      <w:r w:rsidR="6F8A0F96" w:rsidRPr="6F8A0F96">
        <w:rPr>
          <w:color w:val="000000" w:themeColor="text1"/>
        </w:rPr>
        <w:t xml:space="preserve"> in a memorandum dated </w:t>
      </w:r>
      <w:hyperlink r:id="rId15">
        <w:r w:rsidR="6F8A0F96" w:rsidRPr="6F8A0F96">
          <w:rPr>
            <w:rStyle w:val="Hyperlink"/>
          </w:rPr>
          <w:t>October 24, 2024</w:t>
        </w:r>
      </w:hyperlink>
      <w:r w:rsidR="6F8A0F96" w:rsidRPr="6F8A0F96">
        <w:rPr>
          <w:color w:val="000000" w:themeColor="text1"/>
        </w:rPr>
        <w:t xml:space="preserve">. </w:t>
      </w:r>
    </w:p>
    <w:p w14:paraId="3694BAAC" w14:textId="77777777" w:rsidR="00C1691A" w:rsidRPr="000B2AB8" w:rsidRDefault="00C1691A">
      <w:pPr>
        <w:rPr>
          <w:rFonts w:cs="Calibri"/>
        </w:rPr>
      </w:pPr>
    </w:p>
    <w:p w14:paraId="37C2F643" w14:textId="02B0C135" w:rsidR="009D3986" w:rsidRPr="000B2AB8" w:rsidRDefault="002C1A68" w:rsidP="6F8A0F96">
      <w:pPr>
        <w:rPr>
          <w:rFonts w:cs="Calibri"/>
        </w:rPr>
      </w:pPr>
      <w:r w:rsidRPr="000B2AB8">
        <w:rPr>
          <w:rFonts w:cs="Calibri"/>
        </w:rPr>
        <w:t>This month, I recommend that the Board approve</w:t>
      </w:r>
      <w:r w:rsidR="00C326FF" w:rsidRPr="000B2AB8">
        <w:rPr>
          <w:rFonts w:cs="Calibri"/>
        </w:rPr>
        <w:t xml:space="preserve"> </w:t>
      </w:r>
      <w:r w:rsidRPr="000B2AB8">
        <w:rPr>
          <w:rFonts w:cs="Calibri"/>
        </w:rPr>
        <w:t>amendment</w:t>
      </w:r>
      <w:r w:rsidR="009C2FE0" w:rsidRPr="000B2AB8">
        <w:rPr>
          <w:rFonts w:cs="Calibri"/>
        </w:rPr>
        <w:t xml:space="preserve">s </w:t>
      </w:r>
      <w:r w:rsidR="00C326FF" w:rsidRPr="000B2AB8">
        <w:rPr>
          <w:rFonts w:cs="Calibri"/>
        </w:rPr>
        <w:t xml:space="preserve">to the charters of </w:t>
      </w:r>
      <w:r w:rsidR="2AA14A24" w:rsidRPr="000B2AB8">
        <w:rPr>
          <w:rFonts w:cs="Calibri"/>
        </w:rPr>
        <w:t xml:space="preserve">six </w:t>
      </w:r>
      <w:r w:rsidR="38D1D6F7" w:rsidRPr="000B2AB8">
        <w:rPr>
          <w:rFonts w:cs="Calibri"/>
        </w:rPr>
        <w:t xml:space="preserve">of these </w:t>
      </w:r>
      <w:r w:rsidR="00983604" w:rsidRPr="000B2AB8">
        <w:rPr>
          <w:rFonts w:cs="Calibri"/>
        </w:rPr>
        <w:t>schools</w:t>
      </w:r>
      <w:r w:rsidR="4E58B9EA" w:rsidRPr="000B2AB8">
        <w:rPr>
          <w:rFonts w:cs="Calibri"/>
        </w:rPr>
        <w:t>:</w:t>
      </w:r>
      <w:r w:rsidR="00983604" w:rsidRPr="000B2AB8">
        <w:rPr>
          <w:rFonts w:cs="Calibri"/>
        </w:rPr>
        <w:t xml:space="preserve"> </w:t>
      </w:r>
      <w:r w:rsidR="00285795" w:rsidRPr="000B2AB8">
        <w:rPr>
          <w:rFonts w:cs="Calibri"/>
        </w:rPr>
        <w:t xml:space="preserve"> </w:t>
      </w:r>
      <w:r w:rsidR="00916A24" w:rsidRPr="000B2AB8">
        <w:rPr>
          <w:rFonts w:cs="Calibri"/>
        </w:rPr>
        <w:t xml:space="preserve"> </w:t>
      </w:r>
      <w:r w:rsidR="00BB34EB" w:rsidRPr="000B2AB8">
        <w:rPr>
          <w:snapToGrid w:val="0"/>
        </w:rPr>
        <w:t xml:space="preserve">Advanced Math and Science Academy Charter School, </w:t>
      </w:r>
      <w:r w:rsidR="000549A7" w:rsidRPr="000B2AB8">
        <w:rPr>
          <w:rFonts w:cs="Calibri"/>
        </w:rPr>
        <w:t xml:space="preserve">Edward M. Kennedy Academy for Health Careers: A Horace Mann Charter Public School, KIPP Academy Lynn Charter School, Pioneer Valley Chinese Immersion Charter School, </w:t>
      </w:r>
      <w:r w:rsidR="6F8A0F96" w:rsidRPr="6F8A0F96">
        <w:rPr>
          <w:rFonts w:cs="Calibri"/>
        </w:rPr>
        <w:t>Pioneer Valley Performing Arts Charter Public School,</w:t>
      </w:r>
      <w:r w:rsidR="0C99C138" w:rsidRPr="6F8A0F96">
        <w:rPr>
          <w:rFonts w:cs="Calibri"/>
        </w:rPr>
        <w:t xml:space="preserve"> </w:t>
      </w:r>
      <w:r w:rsidR="6F8A0F96" w:rsidRPr="000B2AB8">
        <w:rPr>
          <w:rFonts w:cs="Calibri"/>
        </w:rPr>
        <w:t>and South Shore Charter Public School</w:t>
      </w:r>
      <w:r w:rsidR="1E50EA4F" w:rsidRPr="000B2AB8">
        <w:rPr>
          <w:rFonts w:cs="Calibri"/>
        </w:rPr>
        <w:t>.</w:t>
      </w:r>
    </w:p>
    <w:p w14:paraId="0EE6C2D8" w14:textId="23E04E33" w:rsidR="009D3986" w:rsidRPr="000B2AB8" w:rsidRDefault="003D63ED" w:rsidP="6F8A0F96">
      <w:pPr>
        <w:rPr>
          <w:rFonts w:cs="Calibri"/>
        </w:rPr>
        <w:sectPr w:rsidR="009D3986" w:rsidRPr="000B2AB8" w:rsidSect="0046693C">
          <w:headerReference w:type="even" r:id="rId16"/>
          <w:headerReference w:type="default" r:id="rId17"/>
          <w:footerReference w:type="default" r:id="rId18"/>
          <w:headerReference w:type="first" r:id="rId19"/>
          <w:type w:val="continuous"/>
          <w:pgSz w:w="12240" w:h="15840"/>
          <w:pgMar w:top="1440" w:right="1440" w:bottom="1440" w:left="1440" w:header="720" w:footer="720" w:gutter="0"/>
          <w:cols w:space="720"/>
          <w:docGrid w:linePitch="360"/>
        </w:sectPr>
      </w:pPr>
      <w:r w:rsidRPr="6F8A0F96">
        <w:rPr>
          <w:rFonts w:cs="Calibri"/>
        </w:rPr>
        <w:t>I evaluated the charter amendment request submitted by the board of trustee</w:t>
      </w:r>
      <w:r w:rsidR="009F7F0C" w:rsidRPr="6F8A0F96">
        <w:rPr>
          <w:rFonts w:cs="Calibri"/>
        </w:rPr>
        <w:t>s</w:t>
      </w:r>
      <w:r w:rsidRPr="6F8A0F96">
        <w:rPr>
          <w:rFonts w:cs="Calibri"/>
        </w:rPr>
        <w:t xml:space="preserve"> of Salem Academy Charter School. I am not recommending approval of this request at this time.</w:t>
      </w:r>
    </w:p>
    <w:p w14:paraId="1474C14C" w14:textId="0EF480A7" w:rsidR="00364117" w:rsidRPr="000B2AB8" w:rsidRDefault="00364117">
      <w:pPr>
        <w:rPr>
          <w:rFonts w:cs="Calibri"/>
          <w:b/>
          <w:bCs/>
        </w:rPr>
      </w:pPr>
      <w:r w:rsidRPr="000B2AB8">
        <w:rPr>
          <w:rFonts w:cs="Calibri"/>
          <w:b/>
          <w:bCs/>
        </w:rPr>
        <w:lastRenderedPageBreak/>
        <w:t>Figure 1: Summary of Recommendations</w:t>
      </w:r>
    </w:p>
    <w:p w14:paraId="56E2874B" w14:textId="77777777" w:rsidR="00402609" w:rsidRPr="000B2AB8" w:rsidRDefault="00402609">
      <w:pPr>
        <w:rPr>
          <w:rFonts w:cs="Calibri"/>
          <w:b/>
          <w:bCs/>
        </w:rPr>
      </w:pP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5219"/>
        <w:gridCol w:w="901"/>
        <w:gridCol w:w="1440"/>
        <w:gridCol w:w="2334"/>
      </w:tblGrid>
      <w:tr w:rsidR="00B941C7" w:rsidRPr="000B2AB8" w14:paraId="465C1991" w14:textId="77777777" w:rsidTr="004100CD">
        <w:tc>
          <w:tcPr>
            <w:tcW w:w="1180" w:type="pct"/>
            <w:vAlign w:val="center"/>
            <w:hideMark/>
          </w:tcPr>
          <w:p w14:paraId="43827228" w14:textId="3629DCE7" w:rsidR="00402609" w:rsidRPr="000B2AB8" w:rsidRDefault="00402609" w:rsidP="00036758">
            <w:pPr>
              <w:jc w:val="center"/>
              <w:rPr>
                <w:rFonts w:asciiTheme="minorHAnsi" w:hAnsiTheme="minorHAnsi"/>
                <w:b/>
                <w:sz w:val="24"/>
                <w:szCs w:val="24"/>
              </w:rPr>
            </w:pPr>
            <w:r w:rsidRPr="000B2AB8">
              <w:rPr>
                <w:rFonts w:asciiTheme="minorHAnsi" w:hAnsiTheme="minorHAnsi"/>
                <w:b/>
                <w:sz w:val="24"/>
                <w:szCs w:val="24"/>
              </w:rPr>
              <w:t xml:space="preserve">Name of </w:t>
            </w:r>
            <w:r w:rsidR="009D3986" w:rsidRPr="000B2AB8">
              <w:rPr>
                <w:rFonts w:asciiTheme="minorHAnsi" w:hAnsiTheme="minorHAnsi"/>
                <w:b/>
                <w:bCs/>
                <w:sz w:val="24"/>
                <w:szCs w:val="24"/>
              </w:rPr>
              <w:br/>
            </w:r>
            <w:r w:rsidRPr="000B2AB8">
              <w:rPr>
                <w:rFonts w:asciiTheme="minorHAnsi" w:hAnsiTheme="minorHAnsi"/>
                <w:b/>
                <w:sz w:val="24"/>
                <w:szCs w:val="24"/>
              </w:rPr>
              <w:t>Charter School</w:t>
            </w:r>
          </w:p>
        </w:tc>
        <w:tc>
          <w:tcPr>
            <w:tcW w:w="2015" w:type="pct"/>
            <w:vAlign w:val="center"/>
            <w:hideMark/>
          </w:tcPr>
          <w:p w14:paraId="7E6249EF" w14:textId="542039C0" w:rsidR="00402609" w:rsidRPr="000B2AB8" w:rsidRDefault="00F70DFC" w:rsidP="00D05B02">
            <w:pPr>
              <w:jc w:val="center"/>
              <w:rPr>
                <w:rFonts w:asciiTheme="minorHAnsi" w:hAnsiTheme="minorHAnsi"/>
                <w:b/>
                <w:sz w:val="24"/>
                <w:szCs w:val="24"/>
              </w:rPr>
            </w:pPr>
            <w:r w:rsidRPr="000B2AB8">
              <w:rPr>
                <w:rFonts w:asciiTheme="minorHAnsi" w:hAnsiTheme="minorHAnsi"/>
                <w:b/>
                <w:sz w:val="24"/>
                <w:szCs w:val="24"/>
              </w:rPr>
              <w:t>Region</w:t>
            </w:r>
          </w:p>
        </w:tc>
        <w:tc>
          <w:tcPr>
            <w:tcW w:w="348" w:type="pct"/>
            <w:vAlign w:val="center"/>
            <w:hideMark/>
          </w:tcPr>
          <w:p w14:paraId="1BBB5B20" w14:textId="77777777" w:rsidR="00402609" w:rsidRPr="000B2AB8" w:rsidRDefault="00402609" w:rsidP="00D05B02">
            <w:pPr>
              <w:jc w:val="center"/>
              <w:rPr>
                <w:rFonts w:asciiTheme="minorHAnsi" w:hAnsiTheme="minorHAnsi"/>
                <w:b/>
                <w:sz w:val="24"/>
                <w:szCs w:val="24"/>
              </w:rPr>
            </w:pPr>
            <w:r w:rsidRPr="000B2AB8">
              <w:rPr>
                <w:rFonts w:asciiTheme="minorHAnsi" w:hAnsiTheme="minorHAnsi"/>
                <w:b/>
                <w:sz w:val="24"/>
                <w:szCs w:val="24"/>
              </w:rPr>
              <w:t>Grade Span</w:t>
            </w:r>
          </w:p>
        </w:tc>
        <w:tc>
          <w:tcPr>
            <w:tcW w:w="556" w:type="pct"/>
            <w:vAlign w:val="center"/>
            <w:hideMark/>
          </w:tcPr>
          <w:p w14:paraId="7DA3937E" w14:textId="77777777" w:rsidR="00402609" w:rsidRPr="000B2AB8" w:rsidRDefault="00402609" w:rsidP="00D05B02">
            <w:pPr>
              <w:jc w:val="center"/>
              <w:rPr>
                <w:rFonts w:asciiTheme="minorHAnsi" w:hAnsiTheme="minorHAnsi"/>
                <w:b/>
                <w:sz w:val="24"/>
                <w:szCs w:val="24"/>
              </w:rPr>
            </w:pPr>
            <w:r w:rsidRPr="000B2AB8">
              <w:rPr>
                <w:rFonts w:asciiTheme="minorHAnsi" w:hAnsiTheme="minorHAnsi"/>
                <w:b/>
                <w:sz w:val="24"/>
                <w:szCs w:val="24"/>
              </w:rPr>
              <w:t>Maximum Enrollment</w:t>
            </w:r>
          </w:p>
        </w:tc>
        <w:tc>
          <w:tcPr>
            <w:tcW w:w="901" w:type="pct"/>
            <w:vAlign w:val="center"/>
            <w:hideMark/>
          </w:tcPr>
          <w:p w14:paraId="075E43CF" w14:textId="77777777" w:rsidR="00402609" w:rsidRPr="000B2AB8" w:rsidRDefault="00402609" w:rsidP="00D05B02">
            <w:pPr>
              <w:jc w:val="center"/>
              <w:rPr>
                <w:rFonts w:asciiTheme="minorHAnsi" w:hAnsiTheme="minorHAnsi"/>
                <w:b/>
                <w:sz w:val="24"/>
                <w:szCs w:val="24"/>
              </w:rPr>
            </w:pPr>
            <w:r w:rsidRPr="000B2AB8">
              <w:rPr>
                <w:rFonts w:asciiTheme="minorHAnsi" w:hAnsiTheme="minorHAnsi"/>
                <w:b/>
                <w:sz w:val="24"/>
                <w:szCs w:val="24"/>
              </w:rPr>
              <w:t>Recommendation</w:t>
            </w:r>
          </w:p>
        </w:tc>
      </w:tr>
      <w:tr w:rsidR="00234D37" w:rsidRPr="000B2AB8" w14:paraId="7CA2811B" w14:textId="77777777" w:rsidTr="00D17A54">
        <w:tc>
          <w:tcPr>
            <w:tcW w:w="1180" w:type="pct"/>
            <w:vAlign w:val="center"/>
          </w:tcPr>
          <w:p w14:paraId="66A8829C" w14:textId="70649E2F" w:rsidR="00234D37" w:rsidRPr="000B2AB8" w:rsidRDefault="00234D37" w:rsidP="00D17A54">
            <w:pPr>
              <w:jc w:val="center"/>
              <w:rPr>
                <w:rFonts w:asciiTheme="minorHAnsi" w:hAnsiTheme="minorHAnsi"/>
                <w:b/>
                <w:sz w:val="24"/>
                <w:szCs w:val="24"/>
              </w:rPr>
            </w:pPr>
            <w:r w:rsidRPr="000B2AB8">
              <w:rPr>
                <w:rFonts w:asciiTheme="minorHAnsi" w:hAnsiTheme="minorHAnsi"/>
                <w:sz w:val="24"/>
                <w:szCs w:val="24"/>
              </w:rPr>
              <w:t>Advanced Math and Science Academy Charter School</w:t>
            </w:r>
            <w:r w:rsidR="0005781E" w:rsidRPr="000B2AB8">
              <w:rPr>
                <w:rFonts w:asciiTheme="minorHAnsi" w:hAnsiTheme="minorHAnsi"/>
                <w:sz w:val="24"/>
                <w:szCs w:val="24"/>
              </w:rPr>
              <w:t xml:space="preserve"> (AMSA)</w:t>
            </w:r>
          </w:p>
        </w:tc>
        <w:tc>
          <w:tcPr>
            <w:tcW w:w="2015" w:type="pct"/>
            <w:vAlign w:val="center"/>
          </w:tcPr>
          <w:p w14:paraId="69A787B1" w14:textId="7DBFAB26" w:rsidR="00234D37" w:rsidRPr="000B2AB8" w:rsidRDefault="00BD0CD5" w:rsidP="00D17A54">
            <w:pPr>
              <w:jc w:val="center"/>
              <w:rPr>
                <w:rFonts w:asciiTheme="minorHAnsi" w:hAnsiTheme="minorHAnsi"/>
                <w:b/>
                <w:sz w:val="24"/>
                <w:szCs w:val="24"/>
              </w:rPr>
            </w:pPr>
            <w:r w:rsidRPr="000B2AB8">
              <w:rPr>
                <w:rFonts w:asciiTheme="minorHAnsi" w:hAnsiTheme="minorHAnsi"/>
                <w:sz w:val="24"/>
                <w:szCs w:val="24"/>
              </w:rPr>
              <w:t xml:space="preserve">Clinton, Hudson, </w:t>
            </w:r>
            <w:r w:rsidRPr="000B2AB8">
              <w:rPr>
                <w:rFonts w:asciiTheme="minorHAnsi" w:hAnsiTheme="minorHAnsi"/>
                <w:b/>
                <w:bCs/>
                <w:sz w:val="24"/>
                <w:szCs w:val="24"/>
              </w:rPr>
              <w:t xml:space="preserve">Marlborough </w:t>
            </w:r>
            <w:r w:rsidRPr="000B2AB8">
              <w:rPr>
                <w:rFonts w:asciiTheme="minorHAnsi" w:hAnsiTheme="minorHAnsi"/>
                <w:sz w:val="24"/>
                <w:szCs w:val="24"/>
              </w:rPr>
              <w:t>(locat</w:t>
            </w:r>
            <w:r w:rsidR="004B7A5E" w:rsidRPr="000B2AB8">
              <w:rPr>
                <w:rFonts w:asciiTheme="minorHAnsi" w:hAnsiTheme="minorHAnsi"/>
                <w:sz w:val="24"/>
                <w:szCs w:val="24"/>
              </w:rPr>
              <w:t>ion</w:t>
            </w:r>
            <w:r w:rsidRPr="000B2AB8">
              <w:rPr>
                <w:rFonts w:asciiTheme="minorHAnsi" w:hAnsiTheme="minorHAnsi"/>
                <w:sz w:val="24"/>
                <w:szCs w:val="24"/>
              </w:rPr>
              <w:t>), Maynard</w:t>
            </w:r>
          </w:p>
        </w:tc>
        <w:tc>
          <w:tcPr>
            <w:tcW w:w="348" w:type="pct"/>
            <w:vAlign w:val="center"/>
          </w:tcPr>
          <w:p w14:paraId="5B0D7627" w14:textId="7F56E22E" w:rsidR="00234D37" w:rsidRPr="000B2AB8" w:rsidRDefault="00234D37" w:rsidP="00D17A54">
            <w:pPr>
              <w:jc w:val="center"/>
              <w:rPr>
                <w:rFonts w:asciiTheme="minorHAnsi" w:hAnsiTheme="minorHAnsi"/>
                <w:b/>
                <w:sz w:val="24"/>
                <w:szCs w:val="24"/>
              </w:rPr>
            </w:pPr>
            <w:r w:rsidRPr="000B2AB8">
              <w:rPr>
                <w:rFonts w:asciiTheme="minorHAnsi" w:hAnsiTheme="minorHAnsi"/>
                <w:sz w:val="24"/>
                <w:szCs w:val="24"/>
              </w:rPr>
              <w:t>6–12</w:t>
            </w:r>
          </w:p>
        </w:tc>
        <w:tc>
          <w:tcPr>
            <w:tcW w:w="556" w:type="pct"/>
            <w:vAlign w:val="center"/>
          </w:tcPr>
          <w:p w14:paraId="2E7AA2BE" w14:textId="432FF865" w:rsidR="00234D37" w:rsidRPr="000B2AB8" w:rsidRDefault="00234D37" w:rsidP="00D17A54">
            <w:pPr>
              <w:jc w:val="center"/>
              <w:rPr>
                <w:rFonts w:asciiTheme="minorHAnsi" w:hAnsiTheme="minorHAnsi"/>
                <w:b/>
                <w:sz w:val="24"/>
                <w:szCs w:val="24"/>
              </w:rPr>
            </w:pPr>
            <w:r w:rsidRPr="000B2AB8">
              <w:rPr>
                <w:rFonts w:asciiTheme="minorHAnsi" w:hAnsiTheme="minorHAnsi"/>
                <w:sz w:val="24"/>
                <w:szCs w:val="24"/>
              </w:rPr>
              <w:t>966</w:t>
            </w:r>
          </w:p>
        </w:tc>
        <w:tc>
          <w:tcPr>
            <w:tcW w:w="901" w:type="pct"/>
            <w:vAlign w:val="center"/>
          </w:tcPr>
          <w:p w14:paraId="31C20E11" w14:textId="65F09D75" w:rsidR="00234D37" w:rsidRPr="000B2AB8" w:rsidRDefault="00D17A54" w:rsidP="00D17A54">
            <w:pPr>
              <w:jc w:val="center"/>
              <w:rPr>
                <w:rFonts w:asciiTheme="minorHAnsi" w:hAnsiTheme="minorHAnsi"/>
                <w:bCs/>
                <w:sz w:val="24"/>
                <w:szCs w:val="24"/>
              </w:rPr>
            </w:pPr>
            <w:r w:rsidRPr="000B2AB8">
              <w:rPr>
                <w:rFonts w:asciiTheme="minorHAnsi" w:hAnsiTheme="minorHAnsi"/>
                <w:bCs/>
                <w:sz w:val="24"/>
                <w:szCs w:val="24"/>
              </w:rPr>
              <w:t>Increase enrollment by 34 students</w:t>
            </w:r>
          </w:p>
        </w:tc>
      </w:tr>
      <w:tr w:rsidR="00B941C7" w:rsidRPr="000B2AB8" w14:paraId="4F213487" w14:textId="77777777" w:rsidTr="004100CD">
        <w:trPr>
          <w:trHeight w:val="419"/>
        </w:trPr>
        <w:tc>
          <w:tcPr>
            <w:tcW w:w="1180" w:type="pct"/>
            <w:vAlign w:val="center"/>
          </w:tcPr>
          <w:p w14:paraId="564DA073" w14:textId="433C51E5" w:rsidR="00483AE5" w:rsidRPr="000B2AB8" w:rsidRDefault="00483AE5" w:rsidP="004100CD">
            <w:pPr>
              <w:jc w:val="center"/>
              <w:rPr>
                <w:rFonts w:asciiTheme="minorHAnsi" w:hAnsiTheme="minorHAnsi"/>
                <w:sz w:val="24"/>
                <w:szCs w:val="24"/>
              </w:rPr>
            </w:pPr>
            <w:r w:rsidRPr="000B2AB8">
              <w:rPr>
                <w:rStyle w:val="normaltextrun"/>
                <w:rFonts w:asciiTheme="minorHAnsi" w:eastAsiaTheme="majorEastAsia" w:hAnsiTheme="minorHAnsi" w:cs="Calibri"/>
                <w:color w:val="000000"/>
                <w:sz w:val="24"/>
                <w:szCs w:val="24"/>
              </w:rPr>
              <w:t>Edward M. Kennedy Academy for Health Careers: A Horace Mann Charter</w:t>
            </w:r>
            <w:r w:rsidR="00D11257">
              <w:rPr>
                <w:rStyle w:val="normaltextrun"/>
                <w:rFonts w:asciiTheme="minorHAnsi" w:eastAsiaTheme="majorEastAsia" w:hAnsiTheme="minorHAnsi" w:cs="Calibri"/>
                <w:color w:val="000000"/>
                <w:sz w:val="24"/>
                <w:szCs w:val="24"/>
              </w:rPr>
              <w:t xml:space="preserve"> Public</w:t>
            </w:r>
            <w:r w:rsidRPr="000B2AB8">
              <w:rPr>
                <w:rStyle w:val="normaltextrun"/>
                <w:rFonts w:asciiTheme="minorHAnsi" w:eastAsiaTheme="majorEastAsia" w:hAnsiTheme="minorHAnsi" w:cs="Calibri"/>
                <w:color w:val="000000"/>
                <w:sz w:val="24"/>
                <w:szCs w:val="24"/>
              </w:rPr>
              <w:t xml:space="preserve"> School</w:t>
            </w:r>
            <w:r w:rsidRPr="000B2AB8">
              <w:rPr>
                <w:rStyle w:val="normaltextrun"/>
                <w:rFonts w:ascii="Arial" w:eastAsiaTheme="majorEastAsia" w:hAnsi="Arial" w:cs="Arial"/>
                <w:color w:val="000000"/>
                <w:sz w:val="24"/>
                <w:szCs w:val="24"/>
              </w:rPr>
              <w:t> </w:t>
            </w:r>
            <w:r w:rsidR="0005781E" w:rsidRPr="000B2AB8">
              <w:rPr>
                <w:rStyle w:val="normaltextrun"/>
                <w:rFonts w:ascii="Arial" w:eastAsiaTheme="majorEastAsia" w:hAnsi="Arial" w:cs="Arial"/>
                <w:color w:val="000000"/>
                <w:sz w:val="24"/>
                <w:szCs w:val="24"/>
              </w:rPr>
              <w:t>(</w:t>
            </w:r>
            <w:r w:rsidR="0005781E" w:rsidRPr="000B2AB8">
              <w:rPr>
                <w:rStyle w:val="normaltextrun"/>
                <w:rFonts w:ascii="Arial" w:eastAsiaTheme="majorEastAsia" w:hAnsi="Arial" w:cs="Arial"/>
                <w:color w:val="000000"/>
              </w:rPr>
              <w:t>EMK)</w:t>
            </w:r>
          </w:p>
        </w:tc>
        <w:tc>
          <w:tcPr>
            <w:tcW w:w="2015" w:type="pct"/>
            <w:vAlign w:val="center"/>
          </w:tcPr>
          <w:p w14:paraId="7B112E45" w14:textId="30F7CE97" w:rsidR="00483AE5" w:rsidRPr="000B2AB8" w:rsidRDefault="00483AE5" w:rsidP="00483AE5">
            <w:pPr>
              <w:jc w:val="center"/>
              <w:rPr>
                <w:rFonts w:asciiTheme="minorHAnsi" w:hAnsiTheme="minorHAnsi"/>
                <w:sz w:val="24"/>
                <w:szCs w:val="24"/>
              </w:rPr>
            </w:pPr>
            <w:r w:rsidRPr="000B2AB8">
              <w:rPr>
                <w:rStyle w:val="normaltextrun"/>
                <w:rFonts w:asciiTheme="minorHAnsi" w:eastAsiaTheme="majorEastAsia" w:hAnsiTheme="minorHAnsi" w:cs="Calibri"/>
                <w:color w:val="000000"/>
                <w:sz w:val="24"/>
                <w:szCs w:val="24"/>
              </w:rPr>
              <w:t>Boston</w:t>
            </w:r>
            <w:r w:rsidRPr="000B2AB8">
              <w:rPr>
                <w:rStyle w:val="eop"/>
                <w:rFonts w:asciiTheme="minorHAnsi" w:eastAsiaTheme="majorEastAsia" w:hAnsiTheme="minorHAnsi" w:cs="Calibri"/>
                <w:color w:val="000000"/>
                <w:sz w:val="24"/>
                <w:szCs w:val="24"/>
              </w:rPr>
              <w:t> </w:t>
            </w:r>
          </w:p>
        </w:tc>
        <w:tc>
          <w:tcPr>
            <w:tcW w:w="348" w:type="pct"/>
            <w:vAlign w:val="center"/>
          </w:tcPr>
          <w:p w14:paraId="5D290CBE" w14:textId="51C7FA1B" w:rsidR="00483AE5" w:rsidRPr="000B2AB8" w:rsidRDefault="00483AE5" w:rsidP="00483AE5">
            <w:pPr>
              <w:jc w:val="center"/>
              <w:rPr>
                <w:rFonts w:asciiTheme="minorHAnsi" w:hAnsiTheme="minorHAnsi"/>
                <w:sz w:val="24"/>
                <w:szCs w:val="24"/>
              </w:rPr>
            </w:pPr>
            <w:r w:rsidRPr="000B2AB8">
              <w:rPr>
                <w:rStyle w:val="normaltextrun"/>
                <w:rFonts w:asciiTheme="minorHAnsi" w:eastAsiaTheme="majorEastAsia" w:hAnsiTheme="minorHAnsi" w:cs="Calibri"/>
                <w:color w:val="000000"/>
                <w:sz w:val="24"/>
                <w:szCs w:val="24"/>
              </w:rPr>
              <w:t>9-12</w:t>
            </w:r>
            <w:r w:rsidRPr="000B2AB8">
              <w:rPr>
                <w:rStyle w:val="eop"/>
                <w:rFonts w:asciiTheme="minorHAnsi" w:eastAsiaTheme="majorEastAsia" w:hAnsiTheme="minorHAnsi" w:cs="Calibri"/>
                <w:color w:val="000000"/>
                <w:sz w:val="24"/>
                <w:szCs w:val="24"/>
              </w:rPr>
              <w:t> </w:t>
            </w:r>
          </w:p>
        </w:tc>
        <w:tc>
          <w:tcPr>
            <w:tcW w:w="556" w:type="pct"/>
            <w:vAlign w:val="center"/>
          </w:tcPr>
          <w:p w14:paraId="0ADAC2A6" w14:textId="50805CA0" w:rsidR="00483AE5" w:rsidRPr="000B2AB8" w:rsidRDefault="00483AE5" w:rsidP="00483AE5">
            <w:pPr>
              <w:jc w:val="center"/>
              <w:rPr>
                <w:rFonts w:asciiTheme="minorHAnsi" w:hAnsiTheme="minorHAnsi"/>
                <w:sz w:val="24"/>
                <w:szCs w:val="24"/>
              </w:rPr>
            </w:pPr>
            <w:r w:rsidRPr="000B2AB8">
              <w:rPr>
                <w:rStyle w:val="normaltextrun"/>
                <w:rFonts w:asciiTheme="minorHAnsi" w:eastAsiaTheme="majorEastAsia" w:hAnsiTheme="minorHAnsi" w:cs="Calibri"/>
                <w:color w:val="000000"/>
                <w:sz w:val="24"/>
                <w:szCs w:val="24"/>
              </w:rPr>
              <w:t>448</w:t>
            </w:r>
            <w:r w:rsidRPr="000B2AB8">
              <w:rPr>
                <w:rStyle w:val="eop"/>
                <w:rFonts w:asciiTheme="minorHAnsi" w:eastAsiaTheme="majorEastAsia" w:hAnsiTheme="minorHAnsi" w:cs="Calibri"/>
                <w:color w:val="000000"/>
                <w:sz w:val="24"/>
                <w:szCs w:val="24"/>
              </w:rPr>
              <w:t> </w:t>
            </w:r>
          </w:p>
        </w:tc>
        <w:tc>
          <w:tcPr>
            <w:tcW w:w="901" w:type="pct"/>
            <w:vAlign w:val="center"/>
          </w:tcPr>
          <w:p w14:paraId="056A03D2" w14:textId="603DDC12" w:rsidR="00483AE5" w:rsidRPr="000B2AB8" w:rsidRDefault="00483AE5" w:rsidP="004100CD">
            <w:pPr>
              <w:jc w:val="center"/>
              <w:rPr>
                <w:rFonts w:asciiTheme="minorHAnsi" w:hAnsiTheme="minorHAnsi"/>
                <w:sz w:val="24"/>
                <w:szCs w:val="24"/>
              </w:rPr>
            </w:pPr>
            <w:r w:rsidRPr="000B2AB8">
              <w:rPr>
                <w:rStyle w:val="normaltextrun"/>
                <w:rFonts w:asciiTheme="minorHAnsi" w:eastAsiaTheme="majorEastAsia" w:hAnsiTheme="minorHAnsi" w:cs="Calibri"/>
                <w:color w:val="000000"/>
                <w:sz w:val="24"/>
                <w:szCs w:val="24"/>
              </w:rPr>
              <w:t xml:space="preserve">Increase enrollment </w:t>
            </w:r>
            <w:r w:rsidR="004100CD" w:rsidRPr="000B2AB8">
              <w:rPr>
                <w:rStyle w:val="normaltextrun"/>
                <w:rFonts w:asciiTheme="minorHAnsi" w:eastAsiaTheme="majorEastAsia" w:hAnsiTheme="minorHAnsi" w:cs="Calibri"/>
                <w:color w:val="000000"/>
                <w:sz w:val="24"/>
                <w:szCs w:val="24"/>
              </w:rPr>
              <w:br/>
            </w:r>
            <w:r w:rsidRPr="000B2AB8">
              <w:rPr>
                <w:rStyle w:val="normaltextrun"/>
                <w:rFonts w:asciiTheme="minorHAnsi" w:eastAsiaTheme="majorEastAsia" w:hAnsiTheme="minorHAnsi" w:cs="Calibri"/>
                <w:color w:val="000000"/>
                <w:sz w:val="24"/>
                <w:szCs w:val="24"/>
              </w:rPr>
              <w:t xml:space="preserve">by 352 students </w:t>
            </w:r>
            <w:r w:rsidRPr="000B2AB8">
              <w:rPr>
                <w:rStyle w:val="normaltextrun"/>
                <w:rFonts w:ascii="Arial" w:eastAsiaTheme="majorEastAsia" w:hAnsi="Arial" w:cs="Arial"/>
                <w:color w:val="000000"/>
                <w:sz w:val="24"/>
                <w:szCs w:val="24"/>
              </w:rPr>
              <w:t> </w:t>
            </w:r>
          </w:p>
        </w:tc>
      </w:tr>
      <w:tr w:rsidR="00B941C7" w:rsidRPr="000B2AB8" w14:paraId="2D4875F9" w14:textId="77777777" w:rsidTr="004100CD">
        <w:tc>
          <w:tcPr>
            <w:tcW w:w="1180" w:type="pct"/>
            <w:vAlign w:val="center"/>
          </w:tcPr>
          <w:p w14:paraId="2BA2CC2C" w14:textId="057BC055" w:rsidR="00DB0D27" w:rsidRPr="000B2AB8" w:rsidRDefault="00DB0D27" w:rsidP="004100CD">
            <w:pPr>
              <w:jc w:val="center"/>
              <w:rPr>
                <w:rStyle w:val="normaltextrun"/>
                <w:rFonts w:asciiTheme="minorHAnsi" w:hAnsiTheme="minorHAnsi"/>
                <w:sz w:val="24"/>
                <w:szCs w:val="24"/>
              </w:rPr>
            </w:pPr>
            <w:r w:rsidRPr="000B2AB8">
              <w:rPr>
                <w:rStyle w:val="normaltextrun"/>
                <w:rFonts w:asciiTheme="minorHAnsi" w:eastAsiaTheme="majorEastAsia" w:hAnsiTheme="minorHAnsi" w:cs="Calibri"/>
                <w:color w:val="000000"/>
                <w:sz w:val="24"/>
                <w:szCs w:val="24"/>
              </w:rPr>
              <w:t>KIPP Academy Lynn Charter School</w:t>
            </w:r>
            <w:r w:rsidR="0005781E" w:rsidRPr="000B2AB8">
              <w:rPr>
                <w:rStyle w:val="normaltextrun"/>
                <w:rFonts w:asciiTheme="minorHAnsi" w:eastAsiaTheme="majorEastAsia" w:hAnsiTheme="minorHAnsi" w:cs="Calibri"/>
                <w:color w:val="000000"/>
                <w:sz w:val="24"/>
                <w:szCs w:val="24"/>
              </w:rPr>
              <w:t xml:space="preserve"> </w:t>
            </w:r>
            <w:r w:rsidR="0005781E" w:rsidRPr="000B2AB8">
              <w:rPr>
                <w:rStyle w:val="normaltextrun"/>
                <w:rFonts w:asciiTheme="minorHAnsi" w:eastAsiaTheme="majorEastAsia" w:hAnsiTheme="minorHAnsi" w:cs="Calibri"/>
                <w:color w:val="000000"/>
                <w:sz w:val="24"/>
                <w:szCs w:val="24"/>
              </w:rPr>
              <w:br/>
              <w:t>(KIPP Lynn)</w:t>
            </w:r>
          </w:p>
        </w:tc>
        <w:tc>
          <w:tcPr>
            <w:tcW w:w="2015" w:type="pct"/>
            <w:vAlign w:val="center"/>
          </w:tcPr>
          <w:p w14:paraId="1F7F740D" w14:textId="4C94CEF0" w:rsidR="00DB0D27" w:rsidRPr="000B2AB8" w:rsidRDefault="00DB0D27" w:rsidP="00DB0D27">
            <w:pPr>
              <w:jc w:val="center"/>
              <w:rPr>
                <w:rStyle w:val="normaltextrun"/>
                <w:rFonts w:asciiTheme="minorHAnsi" w:hAnsiTheme="minorHAnsi"/>
                <w:sz w:val="24"/>
                <w:szCs w:val="24"/>
                <w:shd w:val="clear" w:color="auto" w:fill="FFFFFF"/>
              </w:rPr>
            </w:pPr>
            <w:r w:rsidRPr="000B2AB8">
              <w:rPr>
                <w:rStyle w:val="normaltextrun"/>
                <w:rFonts w:asciiTheme="minorHAnsi" w:eastAsiaTheme="majorEastAsia" w:hAnsiTheme="minorHAnsi" w:cs="Calibri"/>
                <w:color w:val="000000"/>
                <w:sz w:val="24"/>
                <w:szCs w:val="24"/>
              </w:rPr>
              <w:t>Lynn</w:t>
            </w:r>
            <w:r w:rsidRPr="000B2AB8">
              <w:rPr>
                <w:rStyle w:val="eop"/>
                <w:rFonts w:asciiTheme="minorHAnsi" w:eastAsiaTheme="majorEastAsia" w:hAnsiTheme="minorHAnsi" w:cs="Calibri"/>
                <w:color w:val="000000"/>
                <w:sz w:val="24"/>
                <w:szCs w:val="24"/>
              </w:rPr>
              <w:t> </w:t>
            </w:r>
          </w:p>
        </w:tc>
        <w:tc>
          <w:tcPr>
            <w:tcW w:w="348" w:type="pct"/>
            <w:vAlign w:val="center"/>
          </w:tcPr>
          <w:p w14:paraId="7793D5CF" w14:textId="6B313866" w:rsidR="00DB0D27" w:rsidRPr="000B2AB8" w:rsidRDefault="00DB0D27" w:rsidP="00DB0D27">
            <w:pPr>
              <w:jc w:val="center"/>
              <w:rPr>
                <w:rStyle w:val="normaltextrun"/>
                <w:rFonts w:asciiTheme="minorHAnsi" w:hAnsiTheme="minorHAnsi"/>
                <w:sz w:val="24"/>
                <w:szCs w:val="24"/>
                <w:shd w:val="clear" w:color="auto" w:fill="FFFFFF"/>
              </w:rPr>
            </w:pPr>
            <w:r w:rsidRPr="000B2AB8">
              <w:rPr>
                <w:rStyle w:val="normaltextrun"/>
                <w:rFonts w:asciiTheme="minorHAnsi" w:eastAsiaTheme="majorEastAsia" w:hAnsiTheme="minorHAnsi" w:cs="Calibri"/>
                <w:color w:val="000000"/>
                <w:sz w:val="24"/>
                <w:szCs w:val="24"/>
              </w:rPr>
              <w:t>K-1</w:t>
            </w:r>
            <w:r w:rsidRPr="000B2AB8">
              <w:rPr>
                <w:rStyle w:val="normaltextrun"/>
                <w:rFonts w:asciiTheme="minorHAnsi" w:eastAsiaTheme="majorEastAsia" w:hAnsiTheme="minorHAnsi" w:cs="Calibri"/>
                <w:sz w:val="24"/>
                <w:szCs w:val="24"/>
              </w:rPr>
              <w:t>2</w:t>
            </w:r>
            <w:r w:rsidRPr="000B2AB8">
              <w:rPr>
                <w:rStyle w:val="normaltextrun"/>
                <w:rFonts w:ascii="Arial" w:eastAsiaTheme="majorEastAsia" w:hAnsi="Arial" w:cs="Arial"/>
                <w:color w:val="000000"/>
                <w:sz w:val="24"/>
                <w:szCs w:val="24"/>
              </w:rPr>
              <w:t> </w:t>
            </w:r>
            <w:r w:rsidRPr="000B2AB8">
              <w:rPr>
                <w:rStyle w:val="eop"/>
                <w:rFonts w:asciiTheme="minorHAnsi" w:eastAsiaTheme="majorEastAsia" w:hAnsiTheme="minorHAnsi" w:cs="Calibri"/>
                <w:color w:val="000000"/>
                <w:sz w:val="24"/>
                <w:szCs w:val="24"/>
              </w:rPr>
              <w:t> </w:t>
            </w:r>
          </w:p>
        </w:tc>
        <w:tc>
          <w:tcPr>
            <w:tcW w:w="556" w:type="pct"/>
            <w:vAlign w:val="center"/>
          </w:tcPr>
          <w:p w14:paraId="7D7E6426" w14:textId="6F52B12B" w:rsidR="00DB0D27" w:rsidRPr="000B2AB8" w:rsidRDefault="00DB0D27" w:rsidP="00DB0D27">
            <w:pPr>
              <w:jc w:val="center"/>
              <w:rPr>
                <w:rStyle w:val="normaltextrun"/>
                <w:rFonts w:asciiTheme="minorHAnsi" w:hAnsiTheme="minorHAnsi"/>
                <w:sz w:val="24"/>
                <w:szCs w:val="24"/>
                <w:shd w:val="clear" w:color="auto" w:fill="FFFFFF"/>
              </w:rPr>
            </w:pPr>
            <w:r w:rsidRPr="000B2AB8">
              <w:rPr>
                <w:rStyle w:val="normaltextrun"/>
                <w:rFonts w:asciiTheme="minorHAnsi" w:eastAsiaTheme="majorEastAsia" w:hAnsiTheme="minorHAnsi" w:cs="Calibri"/>
                <w:color w:val="000000"/>
                <w:sz w:val="24"/>
                <w:szCs w:val="24"/>
              </w:rPr>
              <w:t>1,586</w:t>
            </w:r>
            <w:r w:rsidRPr="000B2AB8">
              <w:rPr>
                <w:rStyle w:val="eop"/>
                <w:rFonts w:asciiTheme="minorHAnsi" w:eastAsiaTheme="majorEastAsia" w:hAnsiTheme="minorHAnsi" w:cs="Calibri"/>
                <w:color w:val="000000"/>
                <w:sz w:val="24"/>
                <w:szCs w:val="24"/>
              </w:rPr>
              <w:t> </w:t>
            </w:r>
          </w:p>
        </w:tc>
        <w:tc>
          <w:tcPr>
            <w:tcW w:w="901" w:type="pct"/>
            <w:vAlign w:val="center"/>
          </w:tcPr>
          <w:p w14:paraId="74D5130B" w14:textId="1CA3337A" w:rsidR="00DB0D27" w:rsidRPr="000B2AB8" w:rsidRDefault="00DB0D27" w:rsidP="004100CD">
            <w:pPr>
              <w:jc w:val="center"/>
              <w:rPr>
                <w:rFonts w:asciiTheme="minorHAnsi" w:hAnsiTheme="minorHAnsi"/>
                <w:sz w:val="24"/>
                <w:szCs w:val="24"/>
              </w:rPr>
            </w:pPr>
            <w:r w:rsidRPr="000B2AB8">
              <w:rPr>
                <w:rStyle w:val="normaltextrun"/>
                <w:rFonts w:asciiTheme="minorHAnsi" w:eastAsiaTheme="majorEastAsia" w:hAnsiTheme="minorHAnsi" w:cs="Calibri"/>
                <w:color w:val="000000"/>
                <w:sz w:val="24"/>
                <w:szCs w:val="24"/>
              </w:rPr>
              <w:t xml:space="preserve">Increase enrollment </w:t>
            </w:r>
            <w:r w:rsidR="004100CD" w:rsidRPr="000B2AB8">
              <w:rPr>
                <w:rStyle w:val="normaltextrun"/>
                <w:rFonts w:asciiTheme="minorHAnsi" w:eastAsiaTheme="majorEastAsia" w:hAnsiTheme="minorHAnsi" w:cs="Calibri"/>
                <w:color w:val="000000"/>
                <w:sz w:val="24"/>
                <w:szCs w:val="24"/>
              </w:rPr>
              <w:br/>
            </w:r>
            <w:r w:rsidRPr="000B2AB8">
              <w:rPr>
                <w:rStyle w:val="normaltextrun"/>
                <w:rFonts w:asciiTheme="minorHAnsi" w:eastAsiaTheme="majorEastAsia" w:hAnsiTheme="minorHAnsi" w:cs="Calibri"/>
                <w:color w:val="000000"/>
                <w:sz w:val="24"/>
                <w:szCs w:val="24"/>
              </w:rPr>
              <w:t xml:space="preserve">by </w:t>
            </w:r>
            <w:r w:rsidR="008F6F61">
              <w:rPr>
                <w:rStyle w:val="normaltextrun"/>
                <w:rFonts w:asciiTheme="minorHAnsi" w:eastAsiaTheme="majorEastAsia" w:hAnsiTheme="minorHAnsi" w:cs="Calibri"/>
                <w:color w:val="000000"/>
                <w:sz w:val="24"/>
                <w:szCs w:val="24"/>
              </w:rPr>
              <w:t>450</w:t>
            </w:r>
            <w:r w:rsidRPr="000B2AB8">
              <w:rPr>
                <w:rStyle w:val="normaltextrun"/>
                <w:rFonts w:asciiTheme="minorHAnsi" w:eastAsiaTheme="majorEastAsia" w:hAnsiTheme="minorHAnsi" w:cs="Calibri"/>
                <w:color w:val="000000"/>
                <w:sz w:val="24"/>
                <w:szCs w:val="24"/>
              </w:rPr>
              <w:t xml:space="preserve"> students</w:t>
            </w:r>
          </w:p>
        </w:tc>
      </w:tr>
      <w:tr w:rsidR="00CE67DB" w:rsidRPr="000B2AB8" w14:paraId="0D7E9AE4" w14:textId="77777777" w:rsidTr="004100CD">
        <w:tc>
          <w:tcPr>
            <w:tcW w:w="1180" w:type="pct"/>
            <w:vAlign w:val="center"/>
          </w:tcPr>
          <w:p w14:paraId="09489F7B" w14:textId="236680E8" w:rsidR="00CE67DB" w:rsidRPr="000B2AB8" w:rsidRDefault="00CE67DB" w:rsidP="004100CD">
            <w:pPr>
              <w:jc w:val="center"/>
              <w:rPr>
                <w:rStyle w:val="normaltextrun"/>
                <w:rFonts w:asciiTheme="minorHAnsi" w:hAnsiTheme="minorHAnsi" w:cs="Calibri"/>
                <w:color w:val="000000"/>
                <w:sz w:val="24"/>
                <w:szCs w:val="24"/>
              </w:rPr>
            </w:pPr>
            <w:r w:rsidRPr="000B2AB8">
              <w:rPr>
                <w:rFonts w:asciiTheme="minorHAnsi" w:eastAsiaTheme="majorEastAsia" w:hAnsiTheme="minorHAnsi"/>
                <w:sz w:val="24"/>
                <w:szCs w:val="24"/>
              </w:rPr>
              <w:t>Pioneer Valley Chinese Immersion Charter School</w:t>
            </w:r>
            <w:r w:rsidR="0005781E" w:rsidRPr="000B2AB8">
              <w:rPr>
                <w:rFonts w:asciiTheme="minorHAnsi" w:eastAsiaTheme="majorEastAsia" w:hAnsiTheme="minorHAnsi"/>
                <w:sz w:val="24"/>
                <w:szCs w:val="24"/>
              </w:rPr>
              <w:br/>
            </w:r>
            <w:r w:rsidR="0005781E" w:rsidRPr="000B2AB8">
              <w:rPr>
                <w:rFonts w:asciiTheme="minorHAnsi" w:hAnsiTheme="minorHAnsi"/>
                <w:sz w:val="24"/>
                <w:szCs w:val="24"/>
              </w:rPr>
              <w:t>(PVCICS)</w:t>
            </w:r>
          </w:p>
        </w:tc>
        <w:tc>
          <w:tcPr>
            <w:tcW w:w="2015" w:type="pct"/>
            <w:vAlign w:val="center"/>
          </w:tcPr>
          <w:p w14:paraId="421AE276" w14:textId="46D70BD2" w:rsidR="00CE67DB" w:rsidRPr="000B2AB8" w:rsidRDefault="00CE67DB" w:rsidP="00CE67DB">
            <w:pPr>
              <w:jc w:val="center"/>
              <w:rPr>
                <w:rStyle w:val="normaltextrun"/>
                <w:rFonts w:asciiTheme="minorHAnsi" w:hAnsiTheme="minorHAnsi" w:cs="Calibri"/>
                <w:color w:val="000000"/>
                <w:sz w:val="24"/>
                <w:szCs w:val="24"/>
              </w:rPr>
            </w:pPr>
            <w:r w:rsidRPr="000B2AB8">
              <w:rPr>
                <w:rFonts w:asciiTheme="minorHAnsi" w:eastAsiaTheme="majorEastAsia" w:hAnsiTheme="minorHAnsi"/>
                <w:sz w:val="24"/>
                <w:szCs w:val="24"/>
              </w:rPr>
              <w:t>Agawam, Amherst, Amherst-Pelham, Belchertown, Chesterfield-Goshen, Chicopee, Conway, Deerfield, East Longmeadow, Easthampton, Frontier, Gill-Montague, Granby, Greenfield,</w:t>
            </w:r>
            <w:r w:rsidRPr="000B2AB8">
              <w:rPr>
                <w:rFonts w:asciiTheme="minorHAnsi" w:eastAsiaTheme="majorEastAsia" w:hAnsiTheme="minorHAnsi"/>
                <w:b/>
                <w:sz w:val="24"/>
                <w:szCs w:val="24"/>
              </w:rPr>
              <w:t xml:space="preserve"> Hadley</w:t>
            </w:r>
            <w:r w:rsidRPr="000B2AB8">
              <w:rPr>
                <w:rFonts w:asciiTheme="minorHAnsi" w:eastAsiaTheme="majorEastAsia" w:hAnsiTheme="minorHAnsi"/>
                <w:sz w:val="24"/>
                <w:szCs w:val="24"/>
              </w:rPr>
              <w:t xml:space="preserve"> (locat</w:t>
            </w:r>
            <w:r w:rsidR="002838CC" w:rsidRPr="000B2AB8">
              <w:rPr>
                <w:rFonts w:asciiTheme="minorHAnsi" w:eastAsiaTheme="majorEastAsia" w:hAnsiTheme="minorHAnsi"/>
                <w:sz w:val="24"/>
                <w:szCs w:val="24"/>
              </w:rPr>
              <w:t>ion</w:t>
            </w:r>
            <w:r w:rsidRPr="000B2AB8">
              <w:rPr>
                <w:rFonts w:asciiTheme="minorHAnsi" w:eastAsiaTheme="majorEastAsia" w:hAnsiTheme="minorHAnsi"/>
                <w:sz w:val="24"/>
                <w:szCs w:val="24"/>
              </w:rPr>
              <w:t>), Hampden-Wilbraham, Hampshire, Hatfield, Hawlemont, Holyoke, Leverett, Longmeadow, Ludlow, Mohawk Trail, Northampton, Pelham, Pioneer Valley, Shutesbury, South Hadley, Southampton, Southwick-Tolland-Granville, Springfield, Sunderland, West Springfield, Westfield, Westhampton, Whately, and Williamsburg</w:t>
            </w:r>
          </w:p>
        </w:tc>
        <w:tc>
          <w:tcPr>
            <w:tcW w:w="348" w:type="pct"/>
            <w:vAlign w:val="center"/>
          </w:tcPr>
          <w:p w14:paraId="1C6EAC39" w14:textId="727BA49D" w:rsidR="00CE67DB" w:rsidRPr="000B2AB8" w:rsidRDefault="00CE67DB" w:rsidP="00CE67DB">
            <w:pPr>
              <w:jc w:val="center"/>
              <w:rPr>
                <w:rStyle w:val="normaltextrun"/>
                <w:rFonts w:asciiTheme="minorHAnsi" w:hAnsiTheme="minorHAnsi" w:cs="Calibri"/>
                <w:color w:val="000000"/>
                <w:sz w:val="24"/>
                <w:szCs w:val="24"/>
              </w:rPr>
            </w:pPr>
            <w:r w:rsidRPr="000B2AB8">
              <w:rPr>
                <w:rFonts w:asciiTheme="minorHAnsi" w:eastAsiaTheme="majorEastAsia" w:hAnsiTheme="minorHAnsi"/>
                <w:sz w:val="24"/>
                <w:szCs w:val="24"/>
              </w:rPr>
              <w:t>K-12</w:t>
            </w:r>
          </w:p>
        </w:tc>
        <w:tc>
          <w:tcPr>
            <w:tcW w:w="556" w:type="pct"/>
            <w:vAlign w:val="center"/>
          </w:tcPr>
          <w:p w14:paraId="5CD1DB00" w14:textId="0C672030" w:rsidR="00CE67DB" w:rsidRPr="000B2AB8" w:rsidRDefault="00CE67DB" w:rsidP="00CE67DB">
            <w:pPr>
              <w:jc w:val="center"/>
              <w:rPr>
                <w:rStyle w:val="normaltextrun"/>
                <w:rFonts w:asciiTheme="minorHAnsi" w:hAnsiTheme="minorHAnsi" w:cs="Calibri"/>
                <w:color w:val="000000"/>
                <w:sz w:val="24"/>
                <w:szCs w:val="24"/>
              </w:rPr>
            </w:pPr>
            <w:r w:rsidRPr="000B2AB8">
              <w:rPr>
                <w:rFonts w:asciiTheme="minorHAnsi" w:eastAsiaTheme="majorEastAsia" w:hAnsiTheme="minorHAnsi"/>
                <w:sz w:val="24"/>
                <w:szCs w:val="24"/>
              </w:rPr>
              <w:t>584</w:t>
            </w:r>
          </w:p>
        </w:tc>
        <w:tc>
          <w:tcPr>
            <w:tcW w:w="901" w:type="pct"/>
            <w:vAlign w:val="center"/>
          </w:tcPr>
          <w:p w14:paraId="79CB7619" w14:textId="0812C771" w:rsidR="00CE67DB" w:rsidRPr="000B2AB8" w:rsidRDefault="00CE67DB" w:rsidP="004100CD">
            <w:pPr>
              <w:jc w:val="center"/>
              <w:rPr>
                <w:rStyle w:val="normaltextrun"/>
                <w:rFonts w:asciiTheme="minorHAnsi" w:hAnsiTheme="minorHAnsi" w:cs="Calibri"/>
                <w:color w:val="000000"/>
                <w:sz w:val="24"/>
                <w:szCs w:val="24"/>
              </w:rPr>
            </w:pPr>
            <w:r w:rsidRPr="000B2AB8">
              <w:rPr>
                <w:rFonts w:asciiTheme="minorHAnsi" w:eastAsiaTheme="majorEastAsia" w:hAnsiTheme="minorHAnsi"/>
                <w:sz w:val="24"/>
                <w:szCs w:val="24"/>
              </w:rPr>
              <w:t xml:space="preserve">Increase enrollment </w:t>
            </w:r>
            <w:r w:rsidR="004100CD" w:rsidRPr="000B2AB8">
              <w:rPr>
                <w:rFonts w:asciiTheme="minorHAnsi" w:hAnsiTheme="minorHAnsi"/>
                <w:sz w:val="24"/>
                <w:szCs w:val="24"/>
              </w:rPr>
              <w:br/>
            </w:r>
            <w:r w:rsidRPr="000B2AB8">
              <w:rPr>
                <w:rFonts w:asciiTheme="minorHAnsi" w:eastAsiaTheme="majorEastAsia" w:hAnsiTheme="minorHAnsi"/>
                <w:sz w:val="24"/>
                <w:szCs w:val="24"/>
              </w:rPr>
              <w:t>by 100 students</w:t>
            </w:r>
            <w:r w:rsidR="003057F5">
              <w:rPr>
                <w:rStyle w:val="FootnoteReference"/>
                <w:rFonts w:asciiTheme="minorHAnsi" w:eastAsiaTheme="majorEastAsia" w:hAnsiTheme="minorHAnsi"/>
                <w:sz w:val="24"/>
                <w:szCs w:val="24"/>
              </w:rPr>
              <w:footnoteReference w:id="2"/>
            </w:r>
          </w:p>
        </w:tc>
      </w:tr>
    </w:tbl>
    <w:p w14:paraId="524DCB5A" w14:textId="77777777" w:rsidR="001E4BF4" w:rsidRPr="000B2AB8" w:rsidRDefault="001E4BF4">
      <w:r w:rsidRPr="000B2AB8">
        <w:br w:type="page"/>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5219"/>
        <w:gridCol w:w="901"/>
        <w:gridCol w:w="1440"/>
        <w:gridCol w:w="2334"/>
      </w:tblGrid>
      <w:tr w:rsidR="001E4BF4" w:rsidRPr="000B2AB8" w14:paraId="7317E1A4" w14:textId="77777777" w:rsidTr="6F40FDEF">
        <w:tc>
          <w:tcPr>
            <w:tcW w:w="1180" w:type="pct"/>
            <w:vAlign w:val="center"/>
          </w:tcPr>
          <w:p w14:paraId="2B1D01BA" w14:textId="6FD8BF71" w:rsidR="001E4BF4" w:rsidRPr="000B2AB8" w:rsidRDefault="001E4BF4" w:rsidP="001E4BF4">
            <w:pPr>
              <w:jc w:val="center"/>
              <w:rPr>
                <w:rFonts w:eastAsiaTheme="majorEastAsia"/>
              </w:rPr>
            </w:pPr>
            <w:r w:rsidRPr="000B2AB8">
              <w:rPr>
                <w:rFonts w:asciiTheme="minorHAnsi" w:hAnsiTheme="minorHAnsi"/>
                <w:b/>
                <w:sz w:val="24"/>
                <w:szCs w:val="24"/>
              </w:rPr>
              <w:lastRenderedPageBreak/>
              <w:t xml:space="preserve">Name of </w:t>
            </w:r>
            <w:r w:rsidRPr="000B2AB8">
              <w:rPr>
                <w:rFonts w:asciiTheme="minorHAnsi" w:hAnsiTheme="minorHAnsi"/>
                <w:b/>
                <w:bCs/>
                <w:sz w:val="24"/>
                <w:szCs w:val="24"/>
              </w:rPr>
              <w:br/>
            </w:r>
            <w:r w:rsidRPr="000B2AB8">
              <w:rPr>
                <w:rFonts w:asciiTheme="minorHAnsi" w:hAnsiTheme="minorHAnsi"/>
                <w:b/>
                <w:sz w:val="24"/>
                <w:szCs w:val="24"/>
              </w:rPr>
              <w:t>Charter School</w:t>
            </w:r>
          </w:p>
        </w:tc>
        <w:tc>
          <w:tcPr>
            <w:tcW w:w="2015" w:type="pct"/>
            <w:vAlign w:val="center"/>
          </w:tcPr>
          <w:p w14:paraId="12D81849" w14:textId="69354A62" w:rsidR="001E4BF4" w:rsidRPr="000B2AB8" w:rsidRDefault="001E4BF4" w:rsidP="001E4BF4">
            <w:pPr>
              <w:jc w:val="center"/>
              <w:rPr>
                <w:rFonts w:eastAsiaTheme="majorEastAsia"/>
              </w:rPr>
            </w:pPr>
            <w:r w:rsidRPr="000B2AB8">
              <w:rPr>
                <w:rFonts w:asciiTheme="minorHAnsi" w:hAnsiTheme="minorHAnsi"/>
                <w:b/>
                <w:sz w:val="24"/>
                <w:szCs w:val="24"/>
              </w:rPr>
              <w:t>Region</w:t>
            </w:r>
          </w:p>
        </w:tc>
        <w:tc>
          <w:tcPr>
            <w:tcW w:w="348" w:type="pct"/>
            <w:vAlign w:val="center"/>
          </w:tcPr>
          <w:p w14:paraId="07286896" w14:textId="3C738704" w:rsidR="001E4BF4" w:rsidRPr="000B2AB8" w:rsidRDefault="001E4BF4" w:rsidP="001E4BF4">
            <w:pPr>
              <w:jc w:val="center"/>
              <w:rPr>
                <w:rFonts w:eastAsiaTheme="majorEastAsia"/>
              </w:rPr>
            </w:pPr>
            <w:r w:rsidRPr="000B2AB8">
              <w:rPr>
                <w:rFonts w:asciiTheme="minorHAnsi" w:hAnsiTheme="minorHAnsi"/>
                <w:b/>
                <w:sz w:val="24"/>
                <w:szCs w:val="24"/>
              </w:rPr>
              <w:t>Grade Span</w:t>
            </w:r>
          </w:p>
        </w:tc>
        <w:tc>
          <w:tcPr>
            <w:tcW w:w="556" w:type="pct"/>
            <w:vAlign w:val="center"/>
          </w:tcPr>
          <w:p w14:paraId="34410195" w14:textId="370F7022" w:rsidR="001E4BF4" w:rsidRPr="000B2AB8" w:rsidRDefault="001E4BF4" w:rsidP="001E4BF4">
            <w:pPr>
              <w:jc w:val="center"/>
              <w:rPr>
                <w:rFonts w:eastAsiaTheme="majorEastAsia"/>
              </w:rPr>
            </w:pPr>
            <w:r w:rsidRPr="000B2AB8">
              <w:rPr>
                <w:rFonts w:asciiTheme="minorHAnsi" w:hAnsiTheme="minorHAnsi"/>
                <w:b/>
                <w:sz w:val="24"/>
                <w:szCs w:val="24"/>
              </w:rPr>
              <w:t>Maximum Enrollment</w:t>
            </w:r>
          </w:p>
        </w:tc>
        <w:tc>
          <w:tcPr>
            <w:tcW w:w="901" w:type="pct"/>
            <w:vAlign w:val="center"/>
          </w:tcPr>
          <w:p w14:paraId="3CE688B8" w14:textId="664D8D5C" w:rsidR="001E4BF4" w:rsidRPr="000B2AB8" w:rsidRDefault="001E4BF4" w:rsidP="001E4BF4">
            <w:pPr>
              <w:jc w:val="center"/>
              <w:rPr>
                <w:rFonts w:eastAsiaTheme="majorEastAsia"/>
              </w:rPr>
            </w:pPr>
            <w:r w:rsidRPr="000B2AB8">
              <w:rPr>
                <w:rFonts w:asciiTheme="minorHAnsi" w:hAnsiTheme="minorHAnsi"/>
                <w:b/>
                <w:sz w:val="24"/>
                <w:szCs w:val="24"/>
              </w:rPr>
              <w:t>Recommendation</w:t>
            </w:r>
          </w:p>
        </w:tc>
      </w:tr>
      <w:tr w:rsidR="00CE67DB" w:rsidRPr="000B2AB8" w14:paraId="4937F843" w14:textId="77777777" w:rsidTr="6F40FDEF">
        <w:tc>
          <w:tcPr>
            <w:tcW w:w="1180" w:type="pct"/>
            <w:vAlign w:val="center"/>
          </w:tcPr>
          <w:p w14:paraId="44B10E9A" w14:textId="31CDAFDF" w:rsidR="00CE67DB" w:rsidRPr="000B2AB8" w:rsidRDefault="00CE67DB" w:rsidP="004100CD">
            <w:pPr>
              <w:jc w:val="center"/>
              <w:rPr>
                <w:rFonts w:asciiTheme="minorHAnsi" w:hAnsiTheme="minorHAnsi"/>
                <w:sz w:val="24"/>
                <w:szCs w:val="24"/>
              </w:rPr>
            </w:pPr>
            <w:r w:rsidRPr="000B2AB8">
              <w:rPr>
                <w:rFonts w:asciiTheme="minorHAnsi" w:eastAsiaTheme="majorEastAsia" w:hAnsiTheme="minorHAnsi"/>
                <w:sz w:val="24"/>
                <w:szCs w:val="24"/>
              </w:rPr>
              <w:t>Pioneer Valley Performing Arts Charter Public School</w:t>
            </w:r>
            <w:r w:rsidR="0005781E" w:rsidRPr="000B2AB8">
              <w:rPr>
                <w:rFonts w:asciiTheme="minorHAnsi" w:eastAsiaTheme="majorEastAsia" w:hAnsiTheme="minorHAnsi"/>
                <w:sz w:val="24"/>
                <w:szCs w:val="24"/>
              </w:rPr>
              <w:t xml:space="preserve"> (PVPA)</w:t>
            </w:r>
          </w:p>
        </w:tc>
        <w:tc>
          <w:tcPr>
            <w:tcW w:w="2015" w:type="pct"/>
            <w:vAlign w:val="center"/>
          </w:tcPr>
          <w:p w14:paraId="578A10AC" w14:textId="247C7717" w:rsidR="00CE67DB" w:rsidRPr="000B2AB8" w:rsidRDefault="00CE67DB" w:rsidP="00CE67DB">
            <w:pPr>
              <w:jc w:val="center"/>
              <w:rPr>
                <w:rFonts w:asciiTheme="minorHAnsi" w:hAnsiTheme="minorHAnsi"/>
                <w:sz w:val="24"/>
                <w:szCs w:val="24"/>
              </w:rPr>
            </w:pPr>
            <w:r w:rsidRPr="000B2AB8">
              <w:rPr>
                <w:rFonts w:asciiTheme="minorHAnsi" w:eastAsiaTheme="majorEastAsia" w:hAnsiTheme="minorHAnsi"/>
                <w:sz w:val="24"/>
                <w:szCs w:val="24"/>
              </w:rPr>
              <w:t xml:space="preserve">Agawam, Amherst-Pelham, Belchertown, Chicopee, East Longmeadow, Easthampton, Erving, Frontier, Gateway, Gill-Montague, Granby, Greenfield, Hadley, Hampden-Wilbraham,  Hampshire, Hatfield, Holyoke, Longmeadow, Ludlow, Mohawk Trail, Monroe, Monson, Northampton, Palmer, </w:t>
            </w:r>
            <w:r w:rsidR="00C72A8C" w:rsidRPr="000B2AB8">
              <w:rPr>
                <w:rFonts w:asciiTheme="minorHAnsi" w:hAnsiTheme="minorHAnsi"/>
                <w:sz w:val="24"/>
                <w:szCs w:val="24"/>
              </w:rPr>
              <w:br/>
            </w:r>
            <w:r w:rsidRPr="000B2AB8">
              <w:rPr>
                <w:rFonts w:asciiTheme="minorHAnsi" w:eastAsiaTheme="majorEastAsia" w:hAnsiTheme="minorHAnsi"/>
                <w:sz w:val="24"/>
                <w:szCs w:val="24"/>
              </w:rPr>
              <w:t xml:space="preserve">Pioneer Valley, Ralph C. Mahar, Rowe, </w:t>
            </w:r>
            <w:r w:rsidR="00C72A8C" w:rsidRPr="000B2AB8">
              <w:rPr>
                <w:rFonts w:asciiTheme="minorHAnsi" w:hAnsiTheme="minorHAnsi"/>
                <w:sz w:val="24"/>
                <w:szCs w:val="24"/>
              </w:rPr>
              <w:br/>
            </w:r>
            <w:r w:rsidRPr="000B2AB8">
              <w:rPr>
                <w:rFonts w:asciiTheme="minorHAnsi" w:eastAsiaTheme="majorEastAsia" w:hAnsiTheme="minorHAnsi"/>
                <w:b/>
                <w:sz w:val="24"/>
                <w:szCs w:val="24"/>
              </w:rPr>
              <w:t>South Hadley</w:t>
            </w:r>
            <w:r w:rsidRPr="000B2AB8">
              <w:rPr>
                <w:rFonts w:asciiTheme="minorHAnsi" w:eastAsiaTheme="majorEastAsia" w:hAnsiTheme="minorHAnsi"/>
                <w:sz w:val="24"/>
                <w:szCs w:val="24"/>
              </w:rPr>
              <w:t xml:space="preserve"> (locat</w:t>
            </w:r>
            <w:r w:rsidR="002838CC" w:rsidRPr="000B2AB8">
              <w:rPr>
                <w:rFonts w:asciiTheme="minorHAnsi" w:eastAsiaTheme="majorEastAsia" w:hAnsiTheme="minorHAnsi"/>
                <w:sz w:val="24"/>
                <w:szCs w:val="24"/>
              </w:rPr>
              <w:t>ion</w:t>
            </w:r>
            <w:r w:rsidRPr="000B2AB8">
              <w:rPr>
                <w:rFonts w:asciiTheme="minorHAnsi" w:eastAsiaTheme="majorEastAsia" w:hAnsiTheme="minorHAnsi"/>
                <w:sz w:val="24"/>
                <w:szCs w:val="24"/>
              </w:rPr>
              <w:t>), Southwick-Tolland-Granville Regional, Springfield, Tantasqua, Ware, West Springfield, Westfield</w:t>
            </w:r>
            <w:r w:rsidRPr="000B2AB8">
              <w:rPr>
                <w:rFonts w:asciiTheme="minorHAnsi" w:hAnsiTheme="minorHAnsi"/>
                <w:sz w:val="24"/>
                <w:szCs w:val="24"/>
              </w:rPr>
              <w:t> </w:t>
            </w:r>
          </w:p>
        </w:tc>
        <w:tc>
          <w:tcPr>
            <w:tcW w:w="348" w:type="pct"/>
            <w:vAlign w:val="center"/>
          </w:tcPr>
          <w:p w14:paraId="66AE7172" w14:textId="143FB3E5" w:rsidR="00CE67DB" w:rsidRPr="000B2AB8" w:rsidRDefault="00CE67DB" w:rsidP="00CE67DB">
            <w:pPr>
              <w:jc w:val="center"/>
              <w:rPr>
                <w:rFonts w:asciiTheme="minorHAnsi" w:hAnsiTheme="minorHAnsi"/>
                <w:sz w:val="24"/>
                <w:szCs w:val="24"/>
              </w:rPr>
            </w:pPr>
            <w:r w:rsidRPr="000B2AB8">
              <w:rPr>
                <w:rFonts w:asciiTheme="minorHAnsi" w:eastAsiaTheme="majorEastAsia" w:hAnsiTheme="minorHAnsi"/>
                <w:sz w:val="24"/>
                <w:szCs w:val="24"/>
              </w:rPr>
              <w:t>7-12</w:t>
            </w:r>
            <w:r w:rsidRPr="000B2AB8">
              <w:rPr>
                <w:rFonts w:ascii="Arial" w:eastAsiaTheme="majorEastAsia" w:hAnsi="Arial" w:cs="Arial"/>
                <w:sz w:val="24"/>
                <w:szCs w:val="24"/>
              </w:rPr>
              <w:t> </w:t>
            </w:r>
            <w:r w:rsidRPr="000B2AB8">
              <w:rPr>
                <w:rFonts w:asciiTheme="minorHAnsi" w:eastAsiaTheme="majorEastAsia" w:hAnsiTheme="minorHAnsi"/>
                <w:sz w:val="24"/>
                <w:szCs w:val="24"/>
              </w:rPr>
              <w:t> </w:t>
            </w:r>
          </w:p>
        </w:tc>
        <w:tc>
          <w:tcPr>
            <w:tcW w:w="556" w:type="pct"/>
            <w:vAlign w:val="center"/>
          </w:tcPr>
          <w:p w14:paraId="4D430FE2" w14:textId="3176F647" w:rsidR="00CE67DB" w:rsidRPr="000B2AB8" w:rsidRDefault="00CE67DB" w:rsidP="00CE67DB">
            <w:pPr>
              <w:jc w:val="center"/>
              <w:rPr>
                <w:rFonts w:asciiTheme="minorHAnsi" w:hAnsiTheme="minorHAnsi"/>
                <w:sz w:val="24"/>
                <w:szCs w:val="24"/>
              </w:rPr>
            </w:pPr>
            <w:r w:rsidRPr="000B2AB8">
              <w:rPr>
                <w:rFonts w:asciiTheme="minorHAnsi" w:eastAsiaTheme="majorEastAsia" w:hAnsiTheme="minorHAnsi"/>
                <w:sz w:val="24"/>
                <w:szCs w:val="24"/>
              </w:rPr>
              <w:t>400</w:t>
            </w:r>
          </w:p>
        </w:tc>
        <w:tc>
          <w:tcPr>
            <w:tcW w:w="901" w:type="pct"/>
            <w:vAlign w:val="center"/>
          </w:tcPr>
          <w:p w14:paraId="20C53967" w14:textId="4F39A2E0" w:rsidR="00CE67DB" w:rsidRPr="000B2AB8" w:rsidRDefault="00CE67DB" w:rsidP="004100CD">
            <w:pPr>
              <w:jc w:val="center"/>
              <w:rPr>
                <w:rFonts w:asciiTheme="minorHAnsi" w:hAnsiTheme="minorHAnsi"/>
                <w:sz w:val="24"/>
                <w:szCs w:val="24"/>
              </w:rPr>
            </w:pPr>
            <w:r w:rsidRPr="000B2AB8">
              <w:rPr>
                <w:rFonts w:asciiTheme="minorHAnsi" w:eastAsiaTheme="majorEastAsia" w:hAnsiTheme="minorHAnsi"/>
                <w:sz w:val="24"/>
                <w:szCs w:val="24"/>
              </w:rPr>
              <w:t>Reduce the number of districts named in the region to 18 districts</w:t>
            </w:r>
          </w:p>
        </w:tc>
      </w:tr>
      <w:tr w:rsidR="00B0669A" w:rsidRPr="000B2AB8" w14:paraId="4566DCF0" w14:textId="77777777" w:rsidTr="6F40FDEF">
        <w:tc>
          <w:tcPr>
            <w:tcW w:w="1180" w:type="pct"/>
            <w:vAlign w:val="center"/>
          </w:tcPr>
          <w:p w14:paraId="571ECAE0" w14:textId="2ABE8027" w:rsidR="00B0669A" w:rsidRPr="000B2AB8" w:rsidRDefault="00B0669A" w:rsidP="00635A99">
            <w:pPr>
              <w:jc w:val="center"/>
              <w:rPr>
                <w:rFonts w:asciiTheme="minorHAnsi" w:hAnsiTheme="minorHAnsi"/>
                <w:sz w:val="24"/>
                <w:szCs w:val="24"/>
              </w:rPr>
            </w:pPr>
            <w:r w:rsidRPr="000B2AB8">
              <w:rPr>
                <w:rFonts w:asciiTheme="minorHAnsi" w:hAnsiTheme="minorHAnsi"/>
                <w:sz w:val="24"/>
                <w:szCs w:val="24"/>
              </w:rPr>
              <w:t xml:space="preserve">South Shore Charter </w:t>
            </w:r>
            <w:r w:rsidR="00635A99" w:rsidRPr="000B2AB8">
              <w:rPr>
                <w:rFonts w:asciiTheme="minorHAnsi" w:hAnsiTheme="minorHAnsi"/>
                <w:sz w:val="24"/>
                <w:szCs w:val="24"/>
              </w:rPr>
              <w:br/>
            </w:r>
            <w:r w:rsidRPr="000B2AB8">
              <w:rPr>
                <w:rFonts w:asciiTheme="minorHAnsi" w:hAnsiTheme="minorHAnsi"/>
                <w:sz w:val="24"/>
                <w:szCs w:val="24"/>
              </w:rPr>
              <w:t>Public School</w:t>
            </w:r>
            <w:r w:rsidR="0005781E" w:rsidRPr="000B2AB8">
              <w:rPr>
                <w:rFonts w:asciiTheme="minorHAnsi" w:hAnsiTheme="minorHAnsi"/>
                <w:sz w:val="24"/>
                <w:szCs w:val="24"/>
              </w:rPr>
              <w:t xml:space="preserve"> </w:t>
            </w:r>
            <w:r w:rsidR="0005781E" w:rsidRPr="000B2AB8">
              <w:rPr>
                <w:rFonts w:asciiTheme="minorHAnsi" w:hAnsiTheme="minorHAnsi"/>
                <w:sz w:val="24"/>
                <w:szCs w:val="24"/>
              </w:rPr>
              <w:br/>
              <w:t>(SSCPS)</w:t>
            </w:r>
          </w:p>
        </w:tc>
        <w:tc>
          <w:tcPr>
            <w:tcW w:w="2015" w:type="pct"/>
            <w:vAlign w:val="center"/>
          </w:tcPr>
          <w:p w14:paraId="5359C904" w14:textId="4DEE4151" w:rsidR="00B0669A" w:rsidRPr="000B2AB8" w:rsidRDefault="00342C59" w:rsidP="00635A99">
            <w:pPr>
              <w:jc w:val="center"/>
              <w:rPr>
                <w:rFonts w:asciiTheme="minorHAnsi" w:hAnsiTheme="minorHAnsi"/>
                <w:sz w:val="24"/>
                <w:szCs w:val="24"/>
              </w:rPr>
            </w:pPr>
            <w:r w:rsidRPr="000B2AB8">
              <w:rPr>
                <w:rFonts w:asciiTheme="minorHAnsi" w:hAnsiTheme="minorHAnsi"/>
                <w:sz w:val="24"/>
                <w:szCs w:val="24"/>
              </w:rPr>
              <w:t xml:space="preserve">Abington, Braintree, Brockton, Cohasset, Duxbury, East Bridgewater, Halifax, Hanover, Hingham, Holbrook, Hull, Kingston, Marshfield, </w:t>
            </w:r>
            <w:r w:rsidRPr="000B2AB8">
              <w:rPr>
                <w:rFonts w:asciiTheme="minorHAnsi" w:hAnsiTheme="minorHAnsi"/>
                <w:b/>
                <w:bCs/>
                <w:sz w:val="24"/>
                <w:szCs w:val="24"/>
              </w:rPr>
              <w:t xml:space="preserve">Norwell </w:t>
            </w:r>
            <w:r w:rsidRPr="000B2AB8">
              <w:rPr>
                <w:rFonts w:asciiTheme="minorHAnsi" w:hAnsiTheme="minorHAnsi"/>
                <w:sz w:val="24"/>
                <w:szCs w:val="24"/>
              </w:rPr>
              <w:t>(locat</w:t>
            </w:r>
            <w:r w:rsidR="002E5F0C" w:rsidRPr="000B2AB8">
              <w:rPr>
                <w:rFonts w:asciiTheme="minorHAnsi" w:hAnsiTheme="minorHAnsi"/>
                <w:sz w:val="24"/>
                <w:szCs w:val="24"/>
              </w:rPr>
              <w:t>ion</w:t>
            </w:r>
            <w:r w:rsidRPr="000B2AB8">
              <w:rPr>
                <w:rFonts w:asciiTheme="minorHAnsi" w:hAnsiTheme="minorHAnsi"/>
                <w:sz w:val="24"/>
                <w:szCs w:val="24"/>
              </w:rPr>
              <w:t>), Pembroke, Plymouth, Plympton, Quincy, Randolph, Rockland, Scituate, Weymouth, and Whitman-Hanson</w:t>
            </w:r>
          </w:p>
        </w:tc>
        <w:tc>
          <w:tcPr>
            <w:tcW w:w="348" w:type="pct"/>
            <w:vAlign w:val="center"/>
          </w:tcPr>
          <w:p w14:paraId="36818FE5" w14:textId="63D6B789" w:rsidR="00B0669A" w:rsidRPr="000B2AB8" w:rsidRDefault="00B0669A" w:rsidP="00635A99">
            <w:pPr>
              <w:jc w:val="center"/>
              <w:rPr>
                <w:rFonts w:asciiTheme="minorHAnsi" w:eastAsiaTheme="majorEastAsia" w:hAnsiTheme="minorHAnsi"/>
                <w:sz w:val="24"/>
                <w:szCs w:val="24"/>
              </w:rPr>
            </w:pPr>
            <w:r w:rsidRPr="000B2AB8">
              <w:rPr>
                <w:rFonts w:asciiTheme="minorHAnsi" w:hAnsiTheme="minorHAnsi"/>
                <w:sz w:val="24"/>
                <w:szCs w:val="24"/>
              </w:rPr>
              <w:t>K–12</w:t>
            </w:r>
          </w:p>
        </w:tc>
        <w:tc>
          <w:tcPr>
            <w:tcW w:w="556" w:type="pct"/>
            <w:vAlign w:val="center"/>
          </w:tcPr>
          <w:p w14:paraId="237A1E2F" w14:textId="3F4BFCAE" w:rsidR="00B0669A" w:rsidRPr="000B2AB8" w:rsidRDefault="00B0669A" w:rsidP="00635A99">
            <w:pPr>
              <w:jc w:val="center"/>
              <w:rPr>
                <w:rFonts w:asciiTheme="minorHAnsi" w:hAnsiTheme="minorHAnsi"/>
                <w:sz w:val="24"/>
                <w:szCs w:val="24"/>
              </w:rPr>
            </w:pPr>
            <w:r w:rsidRPr="000B2AB8">
              <w:rPr>
                <w:rFonts w:asciiTheme="minorHAnsi" w:hAnsiTheme="minorHAnsi"/>
                <w:sz w:val="24"/>
                <w:szCs w:val="24"/>
              </w:rPr>
              <w:t>1,075</w:t>
            </w:r>
          </w:p>
        </w:tc>
        <w:tc>
          <w:tcPr>
            <w:tcW w:w="901" w:type="pct"/>
            <w:vAlign w:val="center"/>
          </w:tcPr>
          <w:p w14:paraId="1EE4AA52" w14:textId="2E58E215" w:rsidR="00B0669A" w:rsidRPr="000B2AB8" w:rsidRDefault="00635A99" w:rsidP="00635A99">
            <w:pPr>
              <w:jc w:val="center"/>
              <w:rPr>
                <w:rFonts w:asciiTheme="minorHAnsi" w:hAnsiTheme="minorHAnsi"/>
                <w:sz w:val="24"/>
                <w:szCs w:val="24"/>
              </w:rPr>
            </w:pPr>
            <w:r w:rsidRPr="000B2AB8">
              <w:rPr>
                <w:rFonts w:asciiTheme="minorHAnsi" w:hAnsiTheme="minorHAnsi"/>
                <w:sz w:val="24"/>
                <w:szCs w:val="24"/>
              </w:rPr>
              <w:t>Increase enrollment by 225 s</w:t>
            </w:r>
            <w:r w:rsidR="004931E2">
              <w:rPr>
                <w:rFonts w:asciiTheme="minorHAnsi" w:hAnsiTheme="minorHAnsi"/>
                <w:sz w:val="24"/>
                <w:szCs w:val="24"/>
              </w:rPr>
              <w:t>tudents</w:t>
            </w:r>
          </w:p>
        </w:tc>
      </w:tr>
    </w:tbl>
    <w:p w14:paraId="45CD9995" w14:textId="77777777" w:rsidR="009D3986" w:rsidRPr="000B2AB8" w:rsidRDefault="009D3986">
      <w:pPr>
        <w:rPr>
          <w:rFonts w:cs="Calibri"/>
          <w:b/>
          <w:bCs/>
        </w:rPr>
        <w:sectPr w:rsidR="009D3986" w:rsidRPr="000B2AB8" w:rsidSect="009D3986">
          <w:pgSz w:w="15840" w:h="12240" w:orient="landscape"/>
          <w:pgMar w:top="1440" w:right="1440" w:bottom="1440" w:left="1440" w:header="720" w:footer="720" w:gutter="0"/>
          <w:cols w:space="720"/>
          <w:docGrid w:linePitch="360"/>
        </w:sectPr>
      </w:pPr>
    </w:p>
    <w:p w14:paraId="2AEAFBA0" w14:textId="43EEDD1E" w:rsidR="00B941C7" w:rsidRPr="000B2AB8" w:rsidRDefault="00B941C7">
      <w:r w:rsidRPr="000B2AB8">
        <w:rPr>
          <w:rFonts w:cs="Calibri"/>
        </w:rPr>
        <w:lastRenderedPageBreak/>
        <w:t xml:space="preserve">The Department’s assessment of each request is described below in preparation for discussion and vote at the Board’s meeting on </w:t>
      </w:r>
      <w:r w:rsidR="00C555A7" w:rsidRPr="000B2AB8">
        <w:t>Febr</w:t>
      </w:r>
      <w:r w:rsidRPr="000B2AB8">
        <w:t>uary 2</w:t>
      </w:r>
      <w:r w:rsidR="00C555A7" w:rsidRPr="000B2AB8">
        <w:t>5</w:t>
      </w:r>
      <w:r w:rsidRPr="000B2AB8">
        <w:t>.</w:t>
      </w:r>
      <w:r w:rsidR="00067AC8" w:rsidRPr="000B2AB8">
        <w:t xml:space="preserve"> This memorandum details the Department’s review</w:t>
      </w:r>
      <w:r w:rsidR="00306342" w:rsidRPr="000B2AB8">
        <w:t xml:space="preserve"> process</w:t>
      </w:r>
      <w:r w:rsidR="00067AC8" w:rsidRPr="000B2AB8">
        <w:t>;</w:t>
      </w:r>
      <w:r w:rsidR="00254A65" w:rsidRPr="000B2AB8">
        <w:t xml:space="preserve"> each school’s request, and</w:t>
      </w:r>
      <w:r w:rsidR="00067AC8" w:rsidRPr="000B2AB8">
        <w:t xml:space="preserve"> </w:t>
      </w:r>
      <w:r w:rsidR="0013115A" w:rsidRPr="000B2AB8">
        <w:t xml:space="preserve">the availability of </w:t>
      </w:r>
      <w:r w:rsidR="00243281" w:rsidRPr="000B2AB8">
        <w:t xml:space="preserve">seats </w:t>
      </w:r>
      <w:r w:rsidR="00A82290" w:rsidRPr="000B2AB8">
        <w:t>to implement the</w:t>
      </w:r>
      <w:r w:rsidR="00243281" w:rsidRPr="000B2AB8">
        <w:t xml:space="preserve"> individual requests</w:t>
      </w:r>
      <w:r w:rsidR="00067AC8" w:rsidRPr="000B2AB8">
        <w:t>; public comment, if received</w:t>
      </w:r>
      <w:r w:rsidR="00306342" w:rsidRPr="000B2AB8">
        <w:t>;</w:t>
      </w:r>
      <w:r w:rsidR="00067AC8" w:rsidRPr="000B2AB8">
        <w:t xml:space="preserve"> and my recommendation. </w:t>
      </w:r>
      <w:r w:rsidR="002412A5" w:rsidRPr="000B2AB8">
        <w:t xml:space="preserve">This memorandum first presents the amendment requests related </w:t>
      </w:r>
      <w:r w:rsidR="005E6204" w:rsidRPr="000B2AB8">
        <w:t xml:space="preserve">to an increase in enrollment, </w:t>
      </w:r>
      <w:r w:rsidR="003F59DC" w:rsidRPr="000B2AB8">
        <w:t>and then</w:t>
      </w:r>
      <w:r w:rsidR="005E6204" w:rsidRPr="000B2AB8">
        <w:t xml:space="preserve"> the amendment request to </w:t>
      </w:r>
      <w:r w:rsidR="00C866B3" w:rsidRPr="000B2AB8">
        <w:t>remove some</w:t>
      </w:r>
      <w:r w:rsidR="005E6204" w:rsidRPr="000B2AB8">
        <w:t xml:space="preserve"> districts </w:t>
      </w:r>
      <w:r w:rsidR="00C866B3" w:rsidRPr="000B2AB8">
        <w:t>from a school’s</w:t>
      </w:r>
      <w:r w:rsidR="005E6204" w:rsidRPr="000B2AB8">
        <w:t xml:space="preserve"> charter region. </w:t>
      </w:r>
    </w:p>
    <w:p w14:paraId="31363C1D" w14:textId="77777777" w:rsidR="005E6204" w:rsidRPr="000B2AB8" w:rsidRDefault="005E6204"/>
    <w:p w14:paraId="70960FCF" w14:textId="0D726A89" w:rsidR="005E6204" w:rsidRPr="000B2AB8" w:rsidRDefault="005E6204">
      <w:r w:rsidRPr="000B2AB8">
        <w:rPr>
          <w:b/>
          <w:bCs/>
        </w:rPr>
        <w:t>Department Review</w:t>
      </w:r>
    </w:p>
    <w:p w14:paraId="0371DB02" w14:textId="77777777" w:rsidR="005E6204" w:rsidRPr="000B2AB8" w:rsidRDefault="005E6204"/>
    <w:p w14:paraId="0645FF88" w14:textId="7F935927" w:rsidR="005E6204" w:rsidRPr="000B2AB8" w:rsidRDefault="005E6204">
      <w:r w:rsidRPr="000B2AB8">
        <w:t xml:space="preserve">Section 1.10 of the Charter School Regulations contains several criteria to consider in determining whether to grant a school’s request to amend its charter. The Department considers the following factors when reviewing the amendment requests: </w:t>
      </w:r>
    </w:p>
    <w:p w14:paraId="194C7AF8" w14:textId="77777777" w:rsidR="005E6204" w:rsidRPr="000B2AB8" w:rsidRDefault="005E6204"/>
    <w:p w14:paraId="16EADF60" w14:textId="77777777" w:rsidR="005819B0" w:rsidRPr="000B2AB8" w:rsidRDefault="005819B0" w:rsidP="005819B0">
      <w:pPr>
        <w:pStyle w:val="ListParagraph"/>
        <w:numPr>
          <w:ilvl w:val="0"/>
          <w:numId w:val="2"/>
        </w:numPr>
        <w:rPr>
          <w:rFonts w:cs="Calibri"/>
        </w:rPr>
      </w:pPr>
      <w:r w:rsidRPr="000B2AB8">
        <w:rPr>
          <w:rFonts w:cs="Calibri"/>
        </w:rPr>
        <w:t>the charter school’s compliance with applicable state, federal, and local law;</w:t>
      </w:r>
    </w:p>
    <w:p w14:paraId="4B88245D" w14:textId="77777777" w:rsidR="005819B0" w:rsidRPr="000B2AB8" w:rsidRDefault="005819B0" w:rsidP="005819B0">
      <w:pPr>
        <w:pStyle w:val="ListParagraph"/>
        <w:numPr>
          <w:ilvl w:val="0"/>
          <w:numId w:val="2"/>
        </w:numPr>
        <w:rPr>
          <w:rFonts w:cs="Calibri"/>
        </w:rPr>
      </w:pPr>
      <w:r w:rsidRPr="000B2AB8">
        <w:rPr>
          <w:rFonts w:cs="Calibri"/>
        </w:rPr>
        <w:t>affirmative, credible evidence regarding the faithfulness of the school to the terms of its charter, including the extent to which the school has followed its recruitment and retention plan and has disseminated best practices;</w:t>
      </w:r>
    </w:p>
    <w:p w14:paraId="40E7F05B" w14:textId="77777777" w:rsidR="005819B0" w:rsidRPr="000B2AB8" w:rsidRDefault="005819B0" w:rsidP="005819B0">
      <w:pPr>
        <w:pStyle w:val="ListParagraph"/>
        <w:numPr>
          <w:ilvl w:val="0"/>
          <w:numId w:val="2"/>
        </w:numPr>
        <w:rPr>
          <w:rFonts w:cs="Calibri"/>
        </w:rPr>
      </w:pPr>
      <w:r w:rsidRPr="000B2AB8">
        <w:rPr>
          <w:rFonts w:cs="Calibri"/>
        </w:rPr>
        <w:t>affirmative, credible evidence regarding the success of the school’s academic program;</w:t>
      </w:r>
    </w:p>
    <w:p w14:paraId="1CFCB478" w14:textId="77777777" w:rsidR="005819B0" w:rsidRPr="000B2AB8" w:rsidRDefault="005819B0" w:rsidP="005819B0">
      <w:pPr>
        <w:pStyle w:val="ListParagraph"/>
        <w:numPr>
          <w:ilvl w:val="0"/>
          <w:numId w:val="2"/>
        </w:numPr>
        <w:rPr>
          <w:rFonts w:cs="Calibri"/>
        </w:rPr>
      </w:pPr>
      <w:r w:rsidRPr="000B2AB8">
        <w:rPr>
          <w:rFonts w:cs="Calibri"/>
        </w:rPr>
        <w:t>affirmative, credible evidence regarding the viability of the school as an organization;</w:t>
      </w:r>
    </w:p>
    <w:p w14:paraId="25A4182B" w14:textId="7C3E950A" w:rsidR="005819B0" w:rsidRPr="000B2AB8" w:rsidRDefault="005819B0" w:rsidP="005819B0">
      <w:pPr>
        <w:pStyle w:val="ListParagraph"/>
        <w:numPr>
          <w:ilvl w:val="0"/>
          <w:numId w:val="2"/>
        </w:numPr>
        <w:rPr>
          <w:rFonts w:cs="Calibri"/>
        </w:rPr>
      </w:pPr>
      <w:r w:rsidRPr="000B2AB8">
        <w:rPr>
          <w:rFonts w:cs="Calibri"/>
        </w:rPr>
        <w:t xml:space="preserve">the merits of the school’s amendment request when judged against the criteria outlined in the </w:t>
      </w:r>
      <w:hyperlink r:id="rId20" w:history="1">
        <w:r w:rsidR="00A024A1" w:rsidRPr="000B2AB8">
          <w:rPr>
            <w:rStyle w:val="Hyperlink"/>
            <w:rFonts w:cs="Calibri"/>
          </w:rPr>
          <w:t>Charter Amendment and Notification Guidelines</w:t>
        </w:r>
      </w:hyperlink>
      <w:r w:rsidR="00A024A1" w:rsidRPr="000B2AB8">
        <w:rPr>
          <w:rFonts w:cs="Calibri"/>
        </w:rPr>
        <w:t xml:space="preserve"> and the </w:t>
      </w:r>
      <w:hyperlink r:id="rId21" w:history="1">
        <w:r w:rsidR="00A024A1" w:rsidRPr="000B2AB8">
          <w:rPr>
            <w:rStyle w:val="Hyperlink"/>
            <w:rFonts w:cs="Calibri"/>
          </w:rPr>
          <w:t>Charter School Performance Criteria</w:t>
        </w:r>
      </w:hyperlink>
      <w:r w:rsidR="00A024A1" w:rsidRPr="000B2AB8">
        <w:rPr>
          <w:rFonts w:cs="Calibri"/>
        </w:rPr>
        <w:t>;  </w:t>
      </w:r>
    </w:p>
    <w:p w14:paraId="233FE26B" w14:textId="45158703" w:rsidR="005819B0" w:rsidRPr="000B2AB8" w:rsidRDefault="005819B0" w:rsidP="005819B0">
      <w:pPr>
        <w:pStyle w:val="ListParagraph"/>
        <w:numPr>
          <w:ilvl w:val="0"/>
          <w:numId w:val="2"/>
        </w:numPr>
        <w:rPr>
          <w:rFonts w:cs="Calibri"/>
        </w:rPr>
      </w:pPr>
      <w:r w:rsidRPr="000B2AB8">
        <w:rPr>
          <w:rFonts w:cs="Calibri"/>
        </w:rPr>
        <w:t xml:space="preserve">the eligibility of the board of trustees for proven provider status, if required, based upon the </w:t>
      </w:r>
      <w:r w:rsidR="00356AC3" w:rsidRPr="000B2AB8">
        <w:rPr>
          <w:rFonts w:cs="Calibri"/>
        </w:rPr>
        <w:t>qualifications</w:t>
      </w:r>
      <w:r w:rsidRPr="000B2AB8">
        <w:rPr>
          <w:rFonts w:cs="Calibri"/>
        </w:rPr>
        <w:t xml:space="preserve"> described in </w:t>
      </w:r>
      <w:hyperlink r:id="rId22" w:history="1">
        <w:r w:rsidRPr="000B2AB8">
          <w:rPr>
            <w:rStyle w:val="Hyperlink"/>
            <w:rFonts w:cs="Calibri"/>
          </w:rPr>
          <w:t>603 CMR 1.04(4)</w:t>
        </w:r>
      </w:hyperlink>
      <w:r w:rsidRPr="000B2AB8">
        <w:rPr>
          <w:rFonts w:cs="Calibri"/>
        </w:rPr>
        <w:t>; and</w:t>
      </w:r>
    </w:p>
    <w:p w14:paraId="190754A3" w14:textId="2EED8D01" w:rsidR="005E6204" w:rsidRPr="000B2AB8" w:rsidRDefault="005819B0" w:rsidP="005819B0">
      <w:pPr>
        <w:pStyle w:val="ListParagraph"/>
        <w:numPr>
          <w:ilvl w:val="0"/>
          <w:numId w:val="2"/>
        </w:numPr>
        <w:rPr>
          <w:rFonts w:cs="Calibri"/>
        </w:rPr>
      </w:pPr>
      <w:r w:rsidRPr="000B2AB8">
        <w:rPr>
          <w:rFonts w:cs="Calibri"/>
        </w:rPr>
        <w:t>public comment received regarding the request.</w:t>
      </w:r>
      <w:r w:rsidR="0010493F" w:rsidRPr="000B2AB8">
        <w:rPr>
          <w:rStyle w:val="FootnoteReference"/>
          <w:rFonts w:cs="Calibri"/>
        </w:rPr>
        <w:footnoteReference w:id="3"/>
      </w:r>
    </w:p>
    <w:p w14:paraId="795C705A" w14:textId="77777777" w:rsidR="005819B0" w:rsidRPr="000B2AB8" w:rsidRDefault="005819B0" w:rsidP="005819B0">
      <w:pPr>
        <w:rPr>
          <w:rFonts w:cs="Calibri"/>
        </w:rPr>
      </w:pPr>
    </w:p>
    <w:p w14:paraId="3E9CAF7A" w14:textId="001A10DB" w:rsidR="00F7023C" w:rsidRPr="000B2AB8" w:rsidRDefault="00F7023C" w:rsidP="00F7023C">
      <w:pPr>
        <w:rPr>
          <w:bCs/>
        </w:rPr>
      </w:pPr>
      <w:r w:rsidRPr="000B2AB8">
        <w:rPr>
          <w:bCs/>
        </w:rPr>
        <w:t>In general, the Department considers requests for increases in maximum enrollment and changes in the districts specified in a school’s charter only after the school undergoes a comprehensive evaluation by the Department following the first renewal</w:t>
      </w:r>
      <w:r w:rsidR="00C25025" w:rsidRPr="000B2AB8">
        <w:rPr>
          <w:bCs/>
        </w:rPr>
        <w:t xml:space="preserve"> of a school’s charter</w:t>
      </w:r>
      <w:r w:rsidRPr="000B2AB8">
        <w:rPr>
          <w:bCs/>
        </w:rPr>
        <w:t xml:space="preserve">. The Department also </w:t>
      </w:r>
      <w:r w:rsidR="00C25025" w:rsidRPr="000B2AB8">
        <w:rPr>
          <w:bCs/>
        </w:rPr>
        <w:t xml:space="preserve">generally </w:t>
      </w:r>
      <w:r w:rsidRPr="000B2AB8">
        <w:rPr>
          <w:bCs/>
        </w:rPr>
        <w:t xml:space="preserve">considers such requests </w:t>
      </w:r>
      <w:r w:rsidR="00C25025" w:rsidRPr="000B2AB8">
        <w:rPr>
          <w:bCs/>
        </w:rPr>
        <w:t xml:space="preserve">only </w:t>
      </w:r>
      <w:r w:rsidRPr="000B2AB8">
        <w:rPr>
          <w:bCs/>
        </w:rPr>
        <w:t xml:space="preserve">if a school </w:t>
      </w:r>
      <w:r w:rsidR="00C25025" w:rsidRPr="000B2AB8">
        <w:rPr>
          <w:bCs/>
        </w:rPr>
        <w:t xml:space="preserve">is </w:t>
      </w:r>
      <w:r w:rsidRPr="000B2AB8">
        <w:rPr>
          <w:bCs/>
        </w:rPr>
        <w:t>operat</w:t>
      </w:r>
      <w:r w:rsidR="00C25025" w:rsidRPr="000B2AB8">
        <w:rPr>
          <w:bCs/>
        </w:rPr>
        <w:t>ing</w:t>
      </w:r>
      <w:r w:rsidRPr="000B2AB8">
        <w:rPr>
          <w:bCs/>
        </w:rPr>
        <w:t xml:space="preserve"> without explicit conditions imposed</w:t>
      </w:r>
      <w:r w:rsidR="00C25025" w:rsidRPr="000B2AB8">
        <w:rPr>
          <w:bCs/>
        </w:rPr>
        <w:t xml:space="preserve"> upon its charter</w:t>
      </w:r>
      <w:r w:rsidRPr="000B2AB8">
        <w:rPr>
          <w:bCs/>
        </w:rPr>
        <w:t>.</w:t>
      </w:r>
    </w:p>
    <w:p w14:paraId="1C04BADB" w14:textId="77777777" w:rsidR="00F7023C" w:rsidRDefault="00F7023C" w:rsidP="00F7023C">
      <w:pPr>
        <w:rPr>
          <w:bCs/>
        </w:rPr>
      </w:pPr>
    </w:p>
    <w:p w14:paraId="65FA1508" w14:textId="12B26395" w:rsidR="00F66589" w:rsidRDefault="00F66589" w:rsidP="00F7023C">
      <w:pPr>
        <w:rPr>
          <w:bCs/>
        </w:rPr>
      </w:pPr>
      <w:r>
        <w:rPr>
          <w:bCs/>
        </w:rPr>
        <w:t xml:space="preserve">The Department </w:t>
      </w:r>
      <w:r w:rsidR="007450AC">
        <w:rPr>
          <w:bCs/>
        </w:rPr>
        <w:t>ha</w:t>
      </w:r>
      <w:r w:rsidR="00191B2A">
        <w:rPr>
          <w:bCs/>
        </w:rPr>
        <w:t>s</w:t>
      </w:r>
      <w:r w:rsidR="007450AC">
        <w:rPr>
          <w:bCs/>
        </w:rPr>
        <w:t xml:space="preserve"> developed a variety of tools to review and assess school performance. The following</w:t>
      </w:r>
      <w:r w:rsidR="00D27BAC">
        <w:rPr>
          <w:bCs/>
        </w:rPr>
        <w:t xml:space="preserve"> tools were used to review school performance </w:t>
      </w:r>
      <w:r w:rsidR="00EC4316">
        <w:rPr>
          <w:bCs/>
        </w:rPr>
        <w:t>during the Department’s process</w:t>
      </w:r>
      <w:r w:rsidR="00350BCB">
        <w:rPr>
          <w:bCs/>
        </w:rPr>
        <w:t>.</w:t>
      </w:r>
      <w:r w:rsidR="00047A6C">
        <w:rPr>
          <w:bCs/>
        </w:rPr>
        <w:t xml:space="preserve"> </w:t>
      </w:r>
      <w:r w:rsidR="00A95239">
        <w:rPr>
          <w:bCs/>
        </w:rPr>
        <w:t>The Department has developed</w:t>
      </w:r>
      <w:r w:rsidR="00047A6C">
        <w:rPr>
          <w:bCs/>
        </w:rPr>
        <w:t xml:space="preserve"> tools for </w:t>
      </w:r>
      <w:r w:rsidR="00EC4316">
        <w:rPr>
          <w:bCs/>
        </w:rPr>
        <w:t xml:space="preserve">both </w:t>
      </w:r>
      <w:r w:rsidR="00047A6C">
        <w:rPr>
          <w:bCs/>
        </w:rPr>
        <w:t xml:space="preserve">general </w:t>
      </w:r>
      <w:r w:rsidR="007525CA">
        <w:rPr>
          <w:bCs/>
        </w:rPr>
        <w:t xml:space="preserve">and charter-specific </w:t>
      </w:r>
      <w:r w:rsidR="00047A6C">
        <w:rPr>
          <w:bCs/>
        </w:rPr>
        <w:t>use.</w:t>
      </w:r>
      <w:r w:rsidR="004F4723">
        <w:rPr>
          <w:bCs/>
        </w:rPr>
        <w:t xml:space="preserve"> </w:t>
      </w:r>
      <w:r w:rsidR="00BE7E8D">
        <w:rPr>
          <w:bCs/>
        </w:rPr>
        <w:t xml:space="preserve">The tools below </w:t>
      </w:r>
      <w:r w:rsidR="00AD1BFB">
        <w:rPr>
          <w:bCs/>
        </w:rPr>
        <w:t>provide</w:t>
      </w:r>
      <w:r w:rsidR="00BE7E8D">
        <w:rPr>
          <w:bCs/>
        </w:rPr>
        <w:t xml:space="preserve"> </w:t>
      </w:r>
      <w:r w:rsidR="00AD1BFB">
        <w:rPr>
          <w:rFonts w:cs="Calibri"/>
        </w:rPr>
        <w:t xml:space="preserve">evidence </w:t>
      </w:r>
      <w:r w:rsidR="004F4723">
        <w:rPr>
          <w:rFonts w:cs="Calibri"/>
        </w:rPr>
        <w:t>relat</w:t>
      </w:r>
      <w:r w:rsidR="00EA45EC">
        <w:rPr>
          <w:rFonts w:cs="Calibri"/>
        </w:rPr>
        <w:t>ed</w:t>
      </w:r>
      <w:r w:rsidR="004F4723">
        <w:rPr>
          <w:rFonts w:cs="Calibri"/>
        </w:rPr>
        <w:t xml:space="preserve"> to each school’s </w:t>
      </w:r>
      <w:r w:rsidR="00FA1924">
        <w:rPr>
          <w:rFonts w:cs="Calibri"/>
        </w:rPr>
        <w:t>faithfulness to the terms of its ch</w:t>
      </w:r>
      <w:r w:rsidR="000D65F9">
        <w:rPr>
          <w:rFonts w:cs="Calibri"/>
        </w:rPr>
        <w:t xml:space="preserve">arter, academic success, and organizational viability. </w:t>
      </w:r>
      <w:r w:rsidR="00A76E4B">
        <w:rPr>
          <w:rFonts w:cs="Calibri"/>
        </w:rPr>
        <w:t>Specifically</w:t>
      </w:r>
      <w:r w:rsidR="000D65F9">
        <w:rPr>
          <w:rFonts w:cs="Calibri"/>
        </w:rPr>
        <w:t xml:space="preserve">, the tools present data and information about each school’s </w:t>
      </w:r>
      <w:r w:rsidR="004F4723">
        <w:rPr>
          <w:rFonts w:cs="Calibri"/>
        </w:rPr>
        <w:t xml:space="preserve">academic performance, recruitment and retention of students, student attendance, comparability of enrolled populations to sending districts, graduation rates, and financial health. </w:t>
      </w:r>
    </w:p>
    <w:p w14:paraId="653F45B1" w14:textId="77777777" w:rsidR="00350BCB" w:rsidRDefault="00350BCB" w:rsidP="00F7023C">
      <w:pPr>
        <w:rPr>
          <w:bCs/>
        </w:rPr>
      </w:pPr>
    </w:p>
    <w:p w14:paraId="4D660D14" w14:textId="77777777" w:rsidR="00047A6C" w:rsidRPr="00370817" w:rsidRDefault="00047A6C" w:rsidP="00047A6C">
      <w:pPr>
        <w:pStyle w:val="ListParagraph"/>
        <w:numPr>
          <w:ilvl w:val="0"/>
          <w:numId w:val="21"/>
        </w:numPr>
        <w:rPr>
          <w:rFonts w:cs="Calibri"/>
        </w:rPr>
      </w:pPr>
      <w:hyperlink r:id="rId23">
        <w:r w:rsidRPr="5B2697A3">
          <w:rPr>
            <w:rStyle w:val="Hyperlink"/>
            <w:rFonts w:cs="Calibri"/>
          </w:rPr>
          <w:t>School and District Performance Summaries</w:t>
        </w:r>
      </w:hyperlink>
    </w:p>
    <w:p w14:paraId="59E306C3" w14:textId="1F901A29" w:rsidR="00370817" w:rsidRPr="00654493" w:rsidRDefault="00370817" w:rsidP="00047A6C">
      <w:pPr>
        <w:pStyle w:val="ListParagraph"/>
        <w:numPr>
          <w:ilvl w:val="0"/>
          <w:numId w:val="21"/>
        </w:numPr>
        <w:rPr>
          <w:rFonts w:cs="Calibri"/>
        </w:rPr>
      </w:pPr>
      <w:hyperlink r:id="rId24" w:history="1">
        <w:r>
          <w:rPr>
            <w:rStyle w:val="Hyperlink"/>
            <w:rFonts w:cs="Calibri"/>
          </w:rPr>
          <w:t>School and District Profiles</w:t>
        </w:r>
      </w:hyperlink>
    </w:p>
    <w:p w14:paraId="5F109600" w14:textId="7375489C" w:rsidR="00047A6C" w:rsidRDefault="00DC4707" w:rsidP="00047A6C">
      <w:pPr>
        <w:pStyle w:val="ListParagraph"/>
        <w:numPr>
          <w:ilvl w:val="0"/>
          <w:numId w:val="21"/>
        </w:numPr>
        <w:rPr>
          <w:rFonts w:cs="Calibri"/>
        </w:rPr>
      </w:pPr>
      <w:r>
        <w:rPr>
          <w:rFonts w:cs="Calibri"/>
        </w:rPr>
        <w:t xml:space="preserve">Charter School </w:t>
      </w:r>
      <w:r w:rsidR="00047A6C" w:rsidRPr="5B2697A3">
        <w:rPr>
          <w:rFonts w:cs="Calibri"/>
        </w:rPr>
        <w:t xml:space="preserve">Recruitment and Retention Reporting: </w:t>
      </w:r>
      <w:hyperlink r:id="rId25">
        <w:r w:rsidR="000856B6">
          <w:rPr>
            <w:rStyle w:val="Hyperlink"/>
            <w:rFonts w:cs="Calibri"/>
          </w:rPr>
          <w:t>Charter Analysis and Review Tool (CHART)</w:t>
        </w:r>
      </w:hyperlink>
    </w:p>
    <w:p w14:paraId="1A5760C2" w14:textId="248FED39" w:rsidR="00047A6C" w:rsidRDefault="00047A6C" w:rsidP="00047A6C">
      <w:pPr>
        <w:pStyle w:val="ListParagraph"/>
        <w:numPr>
          <w:ilvl w:val="0"/>
          <w:numId w:val="21"/>
        </w:numPr>
        <w:rPr>
          <w:rFonts w:cs="Calibri"/>
        </w:rPr>
      </w:pPr>
      <w:r w:rsidRPr="5B2697A3">
        <w:rPr>
          <w:rFonts w:cs="Calibri"/>
        </w:rPr>
        <w:t xml:space="preserve">Charter School Accountability: </w:t>
      </w:r>
      <w:hyperlink r:id="rId26">
        <w:r w:rsidRPr="5B2697A3">
          <w:rPr>
            <w:rStyle w:val="Hyperlink"/>
            <w:rFonts w:cs="Calibri"/>
          </w:rPr>
          <w:t>Charter School Dashboard</w:t>
        </w:r>
      </w:hyperlink>
      <w:r w:rsidR="00A07CF2">
        <w:rPr>
          <w:rStyle w:val="FootnoteReference"/>
        </w:rPr>
        <w:footnoteReference w:id="4"/>
      </w:r>
    </w:p>
    <w:p w14:paraId="2527B564" w14:textId="7E3BB1B1" w:rsidR="00047A6C" w:rsidRDefault="00047A6C" w:rsidP="00047A6C">
      <w:pPr>
        <w:pStyle w:val="ListParagraph"/>
        <w:numPr>
          <w:ilvl w:val="0"/>
          <w:numId w:val="21"/>
        </w:numPr>
        <w:rPr>
          <w:rFonts w:cs="Calibri"/>
        </w:rPr>
      </w:pPr>
      <w:r>
        <w:rPr>
          <w:rFonts w:cs="Calibri"/>
        </w:rPr>
        <w:t xml:space="preserve">Charter School </w:t>
      </w:r>
      <w:r w:rsidRPr="5B2697A3">
        <w:rPr>
          <w:rFonts w:cs="Calibri"/>
        </w:rPr>
        <w:t xml:space="preserve">Financial Reporting: </w:t>
      </w:r>
      <w:hyperlink r:id="rId27">
        <w:r w:rsidRPr="5B2697A3">
          <w:rPr>
            <w:rStyle w:val="Hyperlink"/>
            <w:rFonts w:cs="Calibri"/>
          </w:rPr>
          <w:t>Charter School Financial Dashboard</w:t>
        </w:r>
      </w:hyperlink>
      <w:r w:rsidRPr="5B2697A3">
        <w:rPr>
          <w:rFonts w:cs="Calibri"/>
        </w:rPr>
        <w:t xml:space="preserve"> </w:t>
      </w:r>
    </w:p>
    <w:p w14:paraId="61C75B53" w14:textId="77777777" w:rsidR="00350BCB" w:rsidRPr="000B2AB8" w:rsidRDefault="00350BCB" w:rsidP="00F7023C">
      <w:pPr>
        <w:rPr>
          <w:bCs/>
        </w:rPr>
      </w:pPr>
    </w:p>
    <w:p w14:paraId="27A73F80" w14:textId="02C47EC2" w:rsidR="00F7023C" w:rsidRPr="000B2AB8" w:rsidRDefault="00F7023C" w:rsidP="00F7023C">
      <w:pPr>
        <w:rPr>
          <w:bCs/>
        </w:rPr>
      </w:pPr>
      <w:r w:rsidRPr="000B2AB8">
        <w:rPr>
          <w:bCs/>
        </w:rPr>
        <w:t>If the Commissioner denies a charter school’s amendment request and does not bring the request to the Board for consideration, the school’s board of trustees may seek review of that decision by the Board directly, as provided in 603 CMR 1.10(8).</w:t>
      </w:r>
    </w:p>
    <w:p w14:paraId="5048023D" w14:textId="77777777" w:rsidR="00F7023C" w:rsidRPr="000B2AB8" w:rsidRDefault="00F7023C" w:rsidP="00073D05">
      <w:pPr>
        <w:rPr>
          <w:b/>
        </w:rPr>
      </w:pPr>
    </w:p>
    <w:p w14:paraId="3A72B6E0" w14:textId="563BD42F" w:rsidR="00073D05" w:rsidRPr="000B2AB8" w:rsidRDefault="00073D05" w:rsidP="00CA47D0">
      <w:pPr>
        <w:keepNext/>
        <w:rPr>
          <w:b/>
        </w:rPr>
      </w:pPr>
      <w:r w:rsidRPr="000B2AB8">
        <w:rPr>
          <w:b/>
        </w:rPr>
        <w:t>Availability of Seats for Commonwealth Charter Schools</w:t>
      </w:r>
    </w:p>
    <w:p w14:paraId="5DDE85FE" w14:textId="0A98EFE5" w:rsidR="00073D05" w:rsidRPr="000B2AB8" w:rsidRDefault="00073D05" w:rsidP="2A1C3445">
      <w:pPr>
        <w:pStyle w:val="NormalWeb"/>
        <w:keepNext/>
        <w:rPr>
          <w:rFonts w:asciiTheme="minorHAnsi" w:hAnsiTheme="minorHAnsi"/>
          <w:color w:val="000000"/>
        </w:rPr>
      </w:pPr>
      <w:r w:rsidRPr="2A1C3445">
        <w:rPr>
          <w:rFonts w:asciiTheme="minorHAnsi" w:hAnsiTheme="minorHAnsi"/>
          <w:color w:val="000000"/>
        </w:rPr>
        <w:t>The charter school statute establishes limits on the amount of charter school tuition that districts can transfer to Commonwealth charter schools in any given year.</w:t>
      </w:r>
      <w:r w:rsidR="006953A8" w:rsidRPr="2A1C3445">
        <w:rPr>
          <w:rStyle w:val="FootnoteReference"/>
          <w:rFonts w:asciiTheme="minorHAnsi" w:hAnsiTheme="minorHAnsi"/>
          <w:color w:val="000000"/>
        </w:rPr>
        <w:footnoteReference w:id="5"/>
      </w:r>
      <w:r w:rsidRPr="2A1C3445">
        <w:rPr>
          <w:rFonts w:asciiTheme="minorHAnsi" w:hAnsiTheme="minorHAnsi"/>
          <w:color w:val="000000"/>
        </w:rPr>
        <w:t xml:space="preserve"> The limits are expressed as a percentage of the district's net school spending (NSS) for that year. </w:t>
      </w:r>
      <w:r w:rsidR="00033161" w:rsidRPr="2A1C3445">
        <w:rPr>
          <w:rFonts w:asciiTheme="minorHAnsi" w:hAnsiTheme="minorHAnsi"/>
          <w:color w:val="000000"/>
        </w:rPr>
        <w:t xml:space="preserve"> </w:t>
      </w:r>
      <w:r w:rsidRPr="2A1C3445">
        <w:rPr>
          <w:rFonts w:asciiTheme="minorHAnsi" w:hAnsiTheme="minorHAnsi"/>
          <w:color w:val="000000"/>
        </w:rPr>
        <w:t>Chapter 70 of the General Laws defines NSS, which represents the district's spending on school operations from state and local funds.</w:t>
      </w:r>
      <w:r w:rsidRPr="2A1C3445">
        <w:rPr>
          <w:rStyle w:val="FootnoteReference"/>
          <w:rFonts w:asciiTheme="minorHAnsi" w:eastAsiaTheme="majorEastAsia" w:hAnsiTheme="minorHAnsi"/>
          <w:color w:val="000000"/>
        </w:rPr>
        <w:footnoteReference w:id="6"/>
      </w:r>
      <w:r w:rsidRPr="2A1C3445">
        <w:rPr>
          <w:rFonts w:asciiTheme="minorHAnsi" w:hAnsiTheme="minorHAnsi"/>
          <w:color w:val="000000"/>
        </w:rPr>
        <w:t xml:space="preserve"> The majority of school districts are subject to a 9 percent NSS cap for charter school tuition, with the exception of districts performing in the lowest 10 percent statewide based on two years of MCAS performance.</w:t>
      </w:r>
      <w:r w:rsidR="00B63792" w:rsidRPr="2A1C3445">
        <w:rPr>
          <w:rStyle w:val="FootnoteReference"/>
          <w:rFonts w:asciiTheme="minorHAnsi" w:hAnsiTheme="minorHAnsi"/>
          <w:color w:val="000000"/>
        </w:rPr>
        <w:footnoteReference w:id="7"/>
      </w:r>
      <w:r w:rsidRPr="2A1C3445">
        <w:rPr>
          <w:rFonts w:asciiTheme="minorHAnsi" w:hAnsiTheme="minorHAnsi"/>
          <w:color w:val="000000"/>
        </w:rPr>
        <w:t xml:space="preserve"> School districts performing in the lowest 10 percent have a higher NSS cap of 18 percent. </w:t>
      </w:r>
      <w:r w:rsidR="00033161" w:rsidRPr="2A1C3445">
        <w:rPr>
          <w:rFonts w:asciiTheme="minorHAnsi" w:hAnsiTheme="minorHAnsi"/>
          <w:color w:val="000000"/>
        </w:rPr>
        <w:t xml:space="preserve"> </w:t>
      </w:r>
      <w:r w:rsidRPr="2A1C3445">
        <w:rPr>
          <w:rFonts w:asciiTheme="minorHAnsi" w:hAnsiTheme="minorHAnsi"/>
          <w:color w:val="000000"/>
        </w:rPr>
        <w:t>The 9 and 18 percent NSS caps are described in the charter school statute at G.L. c. 71, § 89(i)(2) and (3).</w:t>
      </w:r>
      <w:r w:rsidRPr="2A1C3445">
        <w:rPr>
          <w:rStyle w:val="FootnoteReference"/>
          <w:rFonts w:asciiTheme="minorHAnsi" w:eastAsiaTheme="majorEastAsia" w:hAnsiTheme="minorHAnsi"/>
          <w:color w:val="000000"/>
        </w:rPr>
        <w:footnoteReference w:id="8"/>
      </w:r>
    </w:p>
    <w:p w14:paraId="3CC73A37" w14:textId="09936F64" w:rsidR="00073D05" w:rsidRPr="000B2AB8" w:rsidRDefault="00073D05" w:rsidP="00073D05">
      <w:pPr>
        <w:pStyle w:val="NormalWeb"/>
        <w:rPr>
          <w:rFonts w:asciiTheme="minorHAnsi" w:hAnsiTheme="minorHAnsi"/>
          <w:color w:val="000000"/>
        </w:rPr>
      </w:pPr>
      <w:r w:rsidRPr="000B2AB8">
        <w:rPr>
          <w:rFonts w:asciiTheme="minorHAnsi" w:hAnsiTheme="minorHAnsi"/>
          <w:color w:val="000000"/>
        </w:rPr>
        <w:t>If the tuition for all students who live in a district and attend Commonwealth charter schools exceeds the district's NSS cap, the Department reduces the tuition to bring the amount under the cap.</w:t>
      </w:r>
      <w:r w:rsidRPr="000B2AB8">
        <w:rPr>
          <w:rStyle w:val="FootnoteReference"/>
          <w:rFonts w:asciiTheme="minorHAnsi" w:eastAsiaTheme="majorEastAsia" w:hAnsiTheme="minorHAnsi"/>
          <w:color w:val="000000"/>
        </w:rPr>
        <w:footnoteReference w:id="9"/>
      </w:r>
      <w:r w:rsidRPr="000B2AB8">
        <w:rPr>
          <w:rFonts w:asciiTheme="minorHAnsi" w:hAnsiTheme="minorHAnsi"/>
          <w:color w:val="000000"/>
        </w:rPr>
        <w:t xml:space="preserve"> Any such </w:t>
      </w:r>
      <w:r w:rsidR="004B4009" w:rsidRPr="000B2AB8">
        <w:rPr>
          <w:rFonts w:asciiTheme="minorHAnsi" w:hAnsiTheme="minorHAnsi"/>
          <w:color w:val="000000"/>
        </w:rPr>
        <w:t>tuition</w:t>
      </w:r>
      <w:r w:rsidRPr="000B2AB8">
        <w:rPr>
          <w:rFonts w:asciiTheme="minorHAnsi" w:hAnsiTheme="minorHAnsi"/>
          <w:color w:val="000000"/>
        </w:rPr>
        <w:t xml:space="preserve"> </w:t>
      </w:r>
      <w:r w:rsidR="00EC5DE9" w:rsidRPr="000B2AB8">
        <w:rPr>
          <w:rFonts w:asciiTheme="minorHAnsi" w:hAnsiTheme="minorHAnsi"/>
          <w:color w:val="000000"/>
        </w:rPr>
        <w:t>d</w:t>
      </w:r>
      <w:r w:rsidR="00B22D9D" w:rsidRPr="000B2AB8">
        <w:rPr>
          <w:rFonts w:asciiTheme="minorHAnsi" w:hAnsiTheme="minorHAnsi"/>
          <w:color w:val="000000"/>
        </w:rPr>
        <w:t>eduction</w:t>
      </w:r>
      <w:r w:rsidR="00EC5DE9" w:rsidRPr="000B2AB8">
        <w:rPr>
          <w:rFonts w:asciiTheme="minorHAnsi" w:hAnsiTheme="minorHAnsi"/>
          <w:color w:val="000000"/>
        </w:rPr>
        <w:t xml:space="preserve"> </w:t>
      </w:r>
      <w:r w:rsidRPr="000B2AB8">
        <w:rPr>
          <w:rFonts w:asciiTheme="minorHAnsi" w:hAnsiTheme="minorHAnsi"/>
          <w:color w:val="000000"/>
        </w:rPr>
        <w:t>is prorated proportionately across all of the charter schools enrolling students who live in that district. The Department works to avoid such situations, using a variety of regulatory and administrative tools to monitor and control enrollment. Listed below are several of the tools used by the Department.</w:t>
      </w:r>
    </w:p>
    <w:p w14:paraId="42111AC2" w14:textId="08414446" w:rsidR="00073D05" w:rsidRPr="000B2AB8" w:rsidRDefault="00073D05" w:rsidP="00073D05">
      <w:pPr>
        <w:pStyle w:val="NormalWeb"/>
        <w:numPr>
          <w:ilvl w:val="0"/>
          <w:numId w:val="3"/>
        </w:numPr>
        <w:rPr>
          <w:rFonts w:asciiTheme="minorHAnsi" w:hAnsiTheme="minorHAnsi"/>
          <w:color w:val="000000"/>
        </w:rPr>
      </w:pPr>
      <w:r w:rsidRPr="000B2AB8">
        <w:rPr>
          <w:rFonts w:asciiTheme="minorHAnsi" w:hAnsiTheme="minorHAnsi"/>
          <w:color w:val="000000"/>
        </w:rPr>
        <w:t>Each year</w:t>
      </w:r>
      <w:r w:rsidR="00AC5F69" w:rsidRPr="000B2AB8">
        <w:rPr>
          <w:rFonts w:asciiTheme="minorHAnsi" w:hAnsiTheme="minorHAnsi"/>
          <w:color w:val="000000"/>
        </w:rPr>
        <w:t>, and for each district</w:t>
      </w:r>
      <w:r w:rsidRPr="000B2AB8">
        <w:rPr>
          <w:rFonts w:asciiTheme="minorHAnsi" w:hAnsiTheme="minorHAnsi"/>
          <w:color w:val="000000"/>
        </w:rPr>
        <w:t>, the Department calculates an administrative holdback of five percent of total NSS when projecting seats available for the Board to award to new or existing Commonwealth charter schools.</w:t>
      </w:r>
    </w:p>
    <w:p w14:paraId="253C68F5" w14:textId="506F9061" w:rsidR="00073D05" w:rsidRPr="000B2AB8" w:rsidRDefault="00073D05" w:rsidP="00073D05">
      <w:pPr>
        <w:pStyle w:val="NormalWeb"/>
        <w:numPr>
          <w:ilvl w:val="0"/>
          <w:numId w:val="3"/>
        </w:numPr>
        <w:rPr>
          <w:rFonts w:asciiTheme="minorHAnsi" w:hAnsiTheme="minorHAnsi"/>
          <w:color w:val="000000"/>
        </w:rPr>
      </w:pPr>
      <w:r w:rsidRPr="000B2AB8">
        <w:rPr>
          <w:rFonts w:asciiTheme="minorHAnsi" w:hAnsiTheme="minorHAnsi"/>
          <w:color w:val="000000"/>
        </w:rPr>
        <w:t>In its award of new charters or amendments to existing charters, the Board establishes maximum enrollment limits as material terms of every charter.</w:t>
      </w:r>
      <w:r w:rsidRPr="000B2AB8">
        <w:rPr>
          <w:rStyle w:val="FootnoteReference"/>
          <w:rFonts w:asciiTheme="minorHAnsi" w:eastAsiaTheme="majorEastAsia" w:hAnsiTheme="minorHAnsi"/>
          <w:color w:val="000000"/>
        </w:rPr>
        <w:footnoteReference w:id="10"/>
      </w:r>
    </w:p>
    <w:p w14:paraId="199348BC" w14:textId="77777777" w:rsidR="00073D05" w:rsidRPr="000B2AB8" w:rsidRDefault="00073D05" w:rsidP="00073D05">
      <w:pPr>
        <w:pStyle w:val="NormalWeb"/>
        <w:numPr>
          <w:ilvl w:val="0"/>
          <w:numId w:val="3"/>
        </w:numPr>
        <w:rPr>
          <w:rFonts w:asciiTheme="minorHAnsi" w:hAnsiTheme="minorHAnsi"/>
          <w:color w:val="000000"/>
        </w:rPr>
      </w:pPr>
      <w:r w:rsidRPr="000B2AB8">
        <w:rPr>
          <w:rFonts w:asciiTheme="minorHAnsi" w:hAnsiTheme="minorHAnsi"/>
          <w:color w:val="000000"/>
        </w:rPr>
        <w:t>The Department may establish specific enrollment limits by sending district, known as sub-caps, for individual Commonwealth charter schools.</w:t>
      </w:r>
    </w:p>
    <w:p w14:paraId="425A23F2" w14:textId="408C6798" w:rsidR="00073D05" w:rsidRPr="000B2AB8" w:rsidRDefault="008735B0" w:rsidP="00073D05">
      <w:pPr>
        <w:pStyle w:val="NormalWeb"/>
        <w:numPr>
          <w:ilvl w:val="0"/>
          <w:numId w:val="3"/>
        </w:numPr>
        <w:rPr>
          <w:rFonts w:asciiTheme="minorHAnsi" w:hAnsiTheme="minorHAnsi"/>
          <w:color w:val="000000"/>
        </w:rPr>
      </w:pPr>
      <w:r w:rsidRPr="000B2AB8">
        <w:rPr>
          <w:rFonts w:asciiTheme="minorHAnsi" w:hAnsiTheme="minorHAnsi"/>
          <w:color w:val="000000"/>
        </w:rPr>
        <w:t xml:space="preserve">Annually, the Department </w:t>
      </w:r>
      <w:r w:rsidR="004C5CD1" w:rsidRPr="000B2AB8">
        <w:rPr>
          <w:rFonts w:asciiTheme="minorHAnsi" w:hAnsiTheme="minorHAnsi"/>
          <w:color w:val="000000"/>
        </w:rPr>
        <w:t xml:space="preserve">provides </w:t>
      </w:r>
      <w:r w:rsidR="00D82EE4" w:rsidRPr="000B2AB8">
        <w:rPr>
          <w:rFonts w:asciiTheme="minorHAnsi" w:hAnsiTheme="minorHAnsi"/>
          <w:color w:val="000000"/>
        </w:rPr>
        <w:t xml:space="preserve">projections related to </w:t>
      </w:r>
      <w:r w:rsidR="00DE785F" w:rsidRPr="000B2AB8">
        <w:rPr>
          <w:rFonts w:asciiTheme="minorHAnsi" w:hAnsiTheme="minorHAnsi"/>
          <w:color w:val="000000"/>
        </w:rPr>
        <w:t>the number</w:t>
      </w:r>
      <w:r w:rsidR="00D82EE4" w:rsidRPr="000B2AB8">
        <w:rPr>
          <w:rFonts w:asciiTheme="minorHAnsi" w:hAnsiTheme="minorHAnsi"/>
          <w:color w:val="000000"/>
        </w:rPr>
        <w:t xml:space="preserve"> of charter seats </w:t>
      </w:r>
      <w:r w:rsidR="003217B0" w:rsidRPr="000B2AB8">
        <w:rPr>
          <w:rFonts w:asciiTheme="minorHAnsi" w:hAnsiTheme="minorHAnsi"/>
          <w:color w:val="000000"/>
        </w:rPr>
        <w:t xml:space="preserve">available </w:t>
      </w:r>
      <w:r w:rsidR="00E00C9F" w:rsidRPr="000B2AB8">
        <w:rPr>
          <w:rFonts w:asciiTheme="minorHAnsi" w:hAnsiTheme="minorHAnsi"/>
          <w:color w:val="000000"/>
        </w:rPr>
        <w:t>under relevant</w:t>
      </w:r>
      <w:r w:rsidR="00D82EE4" w:rsidRPr="000B2AB8">
        <w:rPr>
          <w:rFonts w:asciiTheme="minorHAnsi" w:hAnsiTheme="minorHAnsi"/>
          <w:color w:val="000000"/>
        </w:rPr>
        <w:t xml:space="preserve"> district NSS caps</w:t>
      </w:r>
      <w:r w:rsidR="004C5CD1" w:rsidRPr="000B2AB8">
        <w:rPr>
          <w:rFonts w:asciiTheme="minorHAnsi" w:hAnsiTheme="minorHAnsi"/>
          <w:color w:val="000000"/>
        </w:rPr>
        <w:t xml:space="preserve">. Based on these projections, </w:t>
      </w:r>
      <w:r w:rsidR="00D82EE4" w:rsidRPr="000B2AB8">
        <w:rPr>
          <w:rFonts w:asciiTheme="minorHAnsi" w:hAnsiTheme="minorHAnsi"/>
          <w:color w:val="000000"/>
        </w:rPr>
        <w:t>t</w:t>
      </w:r>
      <w:r w:rsidR="00073D05" w:rsidRPr="000B2AB8">
        <w:rPr>
          <w:rFonts w:asciiTheme="minorHAnsi" w:hAnsiTheme="minorHAnsi"/>
          <w:color w:val="000000"/>
        </w:rPr>
        <w:t xml:space="preserve">he Department permits Commonwealth charter schools to skip over students who live in districts that are near or at NSS caps when enrolling students. </w:t>
      </w:r>
    </w:p>
    <w:p w14:paraId="1721D7FA" w14:textId="77777777" w:rsidR="00073D05" w:rsidRPr="000B2AB8" w:rsidRDefault="00073D05" w:rsidP="00073D05">
      <w:pPr>
        <w:pStyle w:val="NormalWeb"/>
        <w:rPr>
          <w:rFonts w:asciiTheme="minorHAnsi" w:hAnsiTheme="minorHAnsi"/>
          <w:color w:val="000000"/>
        </w:rPr>
      </w:pPr>
      <w:r w:rsidRPr="000B2AB8">
        <w:rPr>
          <w:rFonts w:asciiTheme="minorHAnsi" w:hAnsiTheme="minorHAnsi"/>
          <w:color w:val="000000"/>
        </w:rPr>
        <w:t>Managing NSS caps is inherently inexact because the calculation of NSS is made based upon several projected variables to inform the award of charter seats and the admission of students by individual Commonwealth charter schools. Final tuition rates, enrollment numbers, and district spending needed to calculate NSS caps and determine actual compliance are not available until well into the school year for which students were already admitted and are attending Commonwealth charter schools.</w:t>
      </w:r>
    </w:p>
    <w:p w14:paraId="08675C3A" w14:textId="4115DE4C" w:rsidR="00073D05" w:rsidRDefault="00073D05" w:rsidP="00073D05">
      <w:r w:rsidRPr="000B2AB8">
        <w:rPr>
          <w:color w:val="000000"/>
        </w:rPr>
        <w:t xml:space="preserve">The situation is further complicated by the fact that a Commonwealth charter school can enroll students from multiple districts, and multiple Commonwealth charter schools can enroll students from a single district. Students who live in the district or districts specified in a school’s charter are given preference in enrollment, but students who live outside those districts may also apply and be admitted to those schools. Enrollment preferences based upon residence may enhance a student's likelihood of admission, but they do not deprive other students of consideration for admission or of inclusion in an admission lottery. Managing the NSS caps requires the Department to estimate and </w:t>
      </w:r>
      <w:r w:rsidR="001C0960" w:rsidRPr="000B2AB8">
        <w:rPr>
          <w:color w:val="000000"/>
        </w:rPr>
        <w:t xml:space="preserve">to </w:t>
      </w:r>
      <w:r w:rsidRPr="000B2AB8">
        <w:rPr>
          <w:color w:val="000000"/>
        </w:rPr>
        <w:t xml:space="preserve">project how many students from a particular district will be attending charter schools in future years and to consider enrollment trends generally. As a result, the Department relies heavily on estimates, projections, and administrative safeguards when recommendations are made to the Board for the award of new seats to Commonwealth charter schools. </w:t>
      </w:r>
      <w:r w:rsidRPr="000B2AB8">
        <w:t>My recommendations take these factors into account when considering whether proposed amendments are reasonable in light of current estimates and projections.</w:t>
      </w:r>
    </w:p>
    <w:p w14:paraId="400836FD" w14:textId="77777777" w:rsidR="0080106D" w:rsidRPr="000B2AB8" w:rsidRDefault="0080106D" w:rsidP="00073D05"/>
    <w:p w14:paraId="33F8AB27" w14:textId="317485BE" w:rsidR="000F6294" w:rsidRPr="000B2AB8" w:rsidRDefault="000F6294" w:rsidP="000F6294">
      <w:pPr>
        <w:rPr>
          <w:rFonts w:cs="Calibri"/>
        </w:rPr>
      </w:pPr>
      <w:r w:rsidRPr="000B2AB8">
        <w:rPr>
          <w:rFonts w:cs="Calibri"/>
        </w:rPr>
        <w:t xml:space="preserve">Additionally, </w:t>
      </w:r>
      <w:r w:rsidR="0066630B" w:rsidRPr="000B2AB8">
        <w:rPr>
          <w:rFonts w:cs="Calibri"/>
        </w:rPr>
        <w:t xml:space="preserve">the Department </w:t>
      </w:r>
      <w:r w:rsidR="001702AE" w:rsidRPr="000B2AB8">
        <w:rPr>
          <w:rFonts w:cs="Calibri"/>
        </w:rPr>
        <w:t xml:space="preserve">annually determines which </w:t>
      </w:r>
      <w:r w:rsidRPr="000B2AB8">
        <w:rPr>
          <w:rFonts w:cs="Calibri"/>
        </w:rPr>
        <w:t>districts perform</w:t>
      </w:r>
      <w:r w:rsidR="001702AE" w:rsidRPr="000B2AB8">
        <w:rPr>
          <w:rFonts w:cs="Calibri"/>
        </w:rPr>
        <w:t>ed</w:t>
      </w:r>
      <w:r w:rsidRPr="000B2AB8">
        <w:rPr>
          <w:rFonts w:cs="Calibri"/>
        </w:rPr>
        <w:t xml:space="preserve"> in the lowest 10 percent statewide. The Department issued the current list of districts in the lowest 10 percent in May </w:t>
      </w:r>
      <w:r w:rsidR="00322FBB" w:rsidRPr="000B2AB8">
        <w:rPr>
          <w:rFonts w:cs="Calibri"/>
        </w:rPr>
        <w:t>2024</w:t>
      </w:r>
      <w:r w:rsidRPr="000B2AB8">
        <w:rPr>
          <w:rFonts w:cs="Calibri"/>
        </w:rPr>
        <w:t xml:space="preserve">, based on results </w:t>
      </w:r>
      <w:r w:rsidR="0066630B" w:rsidRPr="000B2AB8">
        <w:rPr>
          <w:rFonts w:cs="Calibri"/>
        </w:rPr>
        <w:t xml:space="preserve">on the </w:t>
      </w:r>
      <w:r w:rsidR="001A5E62" w:rsidRPr="000B2AB8">
        <w:rPr>
          <w:rFonts w:cs="Calibri"/>
        </w:rPr>
        <w:t>MCAS</w:t>
      </w:r>
      <w:r w:rsidRPr="000B2AB8">
        <w:rPr>
          <w:rFonts w:cs="Calibri"/>
        </w:rPr>
        <w:t xml:space="preserve"> administered in the two previous school years. The Department calculates and publishes this list annually, in advance of the submission of charter applications and amendment requests. Each year's list informs:</w:t>
      </w:r>
    </w:p>
    <w:p w14:paraId="7E39E9A7" w14:textId="77777777" w:rsidR="005555DC" w:rsidRPr="000B2AB8" w:rsidRDefault="005555DC" w:rsidP="000F6294">
      <w:pPr>
        <w:rPr>
          <w:rFonts w:cs="Calibri"/>
        </w:rPr>
      </w:pPr>
    </w:p>
    <w:p w14:paraId="65CAB80E" w14:textId="77777777" w:rsidR="000F6294" w:rsidRPr="000B2AB8" w:rsidRDefault="000F6294" w:rsidP="008C3204">
      <w:pPr>
        <w:ind w:left="720"/>
        <w:rPr>
          <w:rFonts w:cs="Calibri"/>
        </w:rPr>
      </w:pPr>
      <w:r w:rsidRPr="000B2AB8">
        <w:rPr>
          <w:rFonts w:cs="Calibri"/>
        </w:rPr>
        <w:t>(1) the seats available for award by the Board to new Commonwealth charter schools and to existing Commonwealth charter schools in the coming year; and</w:t>
      </w:r>
    </w:p>
    <w:p w14:paraId="2D03D677" w14:textId="77777777" w:rsidR="000F6294" w:rsidRPr="000B2AB8" w:rsidRDefault="000F6294" w:rsidP="00322FBB">
      <w:pPr>
        <w:ind w:left="720"/>
        <w:rPr>
          <w:rFonts w:cs="Calibri"/>
        </w:rPr>
      </w:pPr>
      <w:r w:rsidRPr="000B2AB8">
        <w:rPr>
          <w:rFonts w:cs="Calibri"/>
        </w:rPr>
        <w:t>(2) the admissions decisions by Commonwealth charter schools for the subsequent school year.</w:t>
      </w:r>
    </w:p>
    <w:p w14:paraId="63517238" w14:textId="77777777" w:rsidR="005555DC" w:rsidRPr="000B2AB8" w:rsidRDefault="005555DC" w:rsidP="008C3204">
      <w:pPr>
        <w:ind w:left="720"/>
        <w:rPr>
          <w:rFonts w:cs="Calibri"/>
        </w:rPr>
      </w:pPr>
    </w:p>
    <w:p w14:paraId="074763DB" w14:textId="487D017F" w:rsidR="000F6294" w:rsidRPr="000B2AB8" w:rsidRDefault="000F6294" w:rsidP="000F6294">
      <w:pPr>
        <w:rPr>
          <w:rFonts w:cs="Calibri"/>
        </w:rPr>
      </w:pPr>
      <w:r w:rsidRPr="000B2AB8">
        <w:rPr>
          <w:rFonts w:cs="Calibri"/>
        </w:rPr>
        <w:t>For example, the list published during the</w:t>
      </w:r>
      <w:r w:rsidR="007475FD" w:rsidRPr="000B2AB8">
        <w:rPr>
          <w:rFonts w:cs="Calibri"/>
        </w:rPr>
        <w:t xml:space="preserve"> last school year,</w:t>
      </w:r>
      <w:r w:rsidRPr="000B2AB8">
        <w:rPr>
          <w:rFonts w:cs="Calibri"/>
        </w:rPr>
        <w:t xml:space="preserve"> </w:t>
      </w:r>
      <w:r w:rsidR="00322FBB" w:rsidRPr="000B2AB8">
        <w:rPr>
          <w:rFonts w:cs="Calibri"/>
        </w:rPr>
        <w:t>2023-2024</w:t>
      </w:r>
      <w:r w:rsidR="00C542D7" w:rsidRPr="000B2AB8">
        <w:rPr>
          <w:rFonts w:cs="Calibri"/>
        </w:rPr>
        <w:t>,</w:t>
      </w:r>
      <w:r w:rsidR="00CE0026" w:rsidRPr="000B2AB8">
        <w:rPr>
          <w:rFonts w:cs="Calibri"/>
        </w:rPr>
        <w:t xml:space="preserve"> was</w:t>
      </w:r>
      <w:r w:rsidRPr="000B2AB8">
        <w:rPr>
          <w:rFonts w:cs="Calibri"/>
        </w:rPr>
        <w:t xml:space="preserve"> based on MCAS results</w:t>
      </w:r>
      <w:r w:rsidR="002E5D0A" w:rsidRPr="000B2AB8">
        <w:rPr>
          <w:rFonts w:cs="Calibri"/>
        </w:rPr>
        <w:t xml:space="preserve"> from 2021-2022 and 20</w:t>
      </w:r>
      <w:r w:rsidR="003D506C" w:rsidRPr="000B2AB8">
        <w:rPr>
          <w:rFonts w:cs="Calibri"/>
        </w:rPr>
        <w:t>22-</w:t>
      </w:r>
      <w:r w:rsidR="002E5D0A" w:rsidRPr="000B2AB8">
        <w:rPr>
          <w:rFonts w:cs="Calibri"/>
        </w:rPr>
        <w:t>2023</w:t>
      </w:r>
      <w:r w:rsidR="00CE0026" w:rsidRPr="000B2AB8">
        <w:rPr>
          <w:rFonts w:cs="Calibri"/>
        </w:rPr>
        <w:t>. This list</w:t>
      </w:r>
      <w:r w:rsidRPr="000B2AB8">
        <w:rPr>
          <w:rFonts w:cs="Calibri"/>
        </w:rPr>
        <w:t xml:space="preserve"> is used for Board decisions during the </w:t>
      </w:r>
      <w:r w:rsidR="003D506C" w:rsidRPr="000B2AB8">
        <w:rPr>
          <w:rFonts w:cs="Calibri"/>
        </w:rPr>
        <w:t xml:space="preserve">current </w:t>
      </w:r>
      <w:r w:rsidRPr="000B2AB8">
        <w:rPr>
          <w:rFonts w:cs="Calibri"/>
        </w:rPr>
        <w:t>school year</w:t>
      </w:r>
      <w:r w:rsidR="003D506C" w:rsidRPr="000B2AB8">
        <w:rPr>
          <w:rFonts w:cs="Calibri"/>
        </w:rPr>
        <w:t>, 2024-2025</w:t>
      </w:r>
      <w:r w:rsidR="00C752CA" w:rsidRPr="000B2AB8">
        <w:rPr>
          <w:rFonts w:cs="Calibri"/>
        </w:rPr>
        <w:t>. This list is also used</w:t>
      </w:r>
      <w:r w:rsidRPr="000B2AB8">
        <w:rPr>
          <w:rFonts w:cs="Calibri"/>
        </w:rPr>
        <w:t xml:space="preserve"> by Commonwealth charter schools when making enrollment decisions for the </w:t>
      </w:r>
      <w:r w:rsidR="00C752CA" w:rsidRPr="000B2AB8">
        <w:rPr>
          <w:rFonts w:cs="Calibri"/>
        </w:rPr>
        <w:t xml:space="preserve">upcoming </w:t>
      </w:r>
      <w:r w:rsidRPr="000B2AB8">
        <w:rPr>
          <w:rFonts w:cs="Calibri"/>
        </w:rPr>
        <w:t>school year</w:t>
      </w:r>
      <w:r w:rsidR="00C752CA" w:rsidRPr="000B2AB8">
        <w:rPr>
          <w:rFonts w:cs="Calibri"/>
        </w:rPr>
        <w:t>, 2025-2026</w:t>
      </w:r>
      <w:r w:rsidRPr="000B2AB8">
        <w:rPr>
          <w:rFonts w:cs="Calibri"/>
        </w:rPr>
        <w:t>.</w:t>
      </w:r>
      <w:r w:rsidRPr="000B2AB8">
        <w:rPr>
          <w:rStyle w:val="FootnoteReference"/>
          <w:rFonts w:cs="Calibri"/>
        </w:rPr>
        <w:footnoteReference w:id="11"/>
      </w:r>
    </w:p>
    <w:p w14:paraId="17B4BA9C" w14:textId="77777777" w:rsidR="000F6294" w:rsidRPr="000B2AB8" w:rsidRDefault="000F6294" w:rsidP="005819B0">
      <w:pPr>
        <w:rPr>
          <w:rFonts w:cs="Calibri"/>
          <w:b/>
          <w:bCs/>
        </w:rPr>
      </w:pPr>
    </w:p>
    <w:p w14:paraId="6988B288" w14:textId="01B5C096" w:rsidR="00513DEB" w:rsidRPr="000B2AB8" w:rsidRDefault="009F38C0" w:rsidP="002D33BE">
      <w:pPr>
        <w:keepNext/>
        <w:rPr>
          <w:rFonts w:cs="Calibri"/>
          <w:b/>
          <w:bCs/>
        </w:rPr>
      </w:pPr>
      <w:r w:rsidRPr="000B2AB8">
        <w:rPr>
          <w:rFonts w:cs="Calibri"/>
          <w:b/>
          <w:bCs/>
        </w:rPr>
        <w:t xml:space="preserve">Amendments to </w:t>
      </w:r>
      <w:r w:rsidR="00FD0F67" w:rsidRPr="000B2AB8">
        <w:rPr>
          <w:rFonts w:cs="Calibri"/>
          <w:b/>
          <w:bCs/>
        </w:rPr>
        <w:t xml:space="preserve">Increase </w:t>
      </w:r>
      <w:r w:rsidR="00880A3A" w:rsidRPr="000B2AB8">
        <w:rPr>
          <w:rFonts w:cs="Calibri"/>
          <w:b/>
          <w:bCs/>
        </w:rPr>
        <w:t xml:space="preserve">Maximum </w:t>
      </w:r>
      <w:r w:rsidR="005819B0" w:rsidRPr="000B2AB8">
        <w:rPr>
          <w:rFonts w:cs="Calibri"/>
          <w:b/>
          <w:bCs/>
        </w:rPr>
        <w:t>Enrollment</w:t>
      </w:r>
    </w:p>
    <w:p w14:paraId="7C26C25B" w14:textId="77777777" w:rsidR="00513DEB" w:rsidRPr="000B2AB8" w:rsidRDefault="00513DEB" w:rsidP="002D33BE">
      <w:pPr>
        <w:keepNext/>
        <w:rPr>
          <w:rFonts w:cs="Calibri"/>
        </w:rPr>
      </w:pPr>
    </w:p>
    <w:p w14:paraId="0CEEEDFC" w14:textId="5F6380D2" w:rsidR="00513DEB" w:rsidRPr="000B2AB8" w:rsidRDefault="00513DEB" w:rsidP="005A7C3B">
      <w:pPr>
        <w:keepNext/>
        <w:rPr>
          <w:rFonts w:cs="Calibri"/>
          <w:b/>
          <w:bCs/>
        </w:rPr>
      </w:pPr>
      <w:r w:rsidRPr="000B2AB8">
        <w:rPr>
          <w:rFonts w:cs="Calibri"/>
        </w:rPr>
        <w:tab/>
      </w:r>
      <w:r w:rsidRPr="000B2AB8">
        <w:rPr>
          <w:rFonts w:cs="Calibri"/>
          <w:b/>
          <w:bCs/>
        </w:rPr>
        <w:t>Proven Provider Considerations</w:t>
      </w:r>
    </w:p>
    <w:p w14:paraId="6CEDC001" w14:textId="77777777" w:rsidR="00513DEB" w:rsidRPr="000B2AB8" w:rsidRDefault="00513DEB" w:rsidP="005A7C3B">
      <w:pPr>
        <w:keepNext/>
        <w:rPr>
          <w:rFonts w:cs="Calibri"/>
        </w:rPr>
      </w:pPr>
    </w:p>
    <w:p w14:paraId="5C1C5E74" w14:textId="0B6698F8" w:rsidR="005A7C3B" w:rsidRPr="000B2AB8" w:rsidRDefault="00513DEB" w:rsidP="005A7C3B">
      <w:pPr>
        <w:keepNext/>
        <w:rPr>
          <w:rFonts w:cs="Calibri"/>
        </w:rPr>
      </w:pPr>
      <w:r w:rsidRPr="000B2AB8">
        <w:rPr>
          <w:rFonts w:cs="Calibri"/>
        </w:rPr>
        <w:t xml:space="preserve">Proven </w:t>
      </w:r>
      <w:r w:rsidR="006D109A" w:rsidRPr="000B2AB8">
        <w:rPr>
          <w:rFonts w:cs="Calibri"/>
        </w:rPr>
        <w:t>p</w:t>
      </w:r>
      <w:r w:rsidRPr="000B2AB8">
        <w:rPr>
          <w:rFonts w:cs="Calibri"/>
        </w:rPr>
        <w:t xml:space="preserve">rovider status is required to award additional seats to </w:t>
      </w:r>
      <w:r w:rsidR="00877478" w:rsidRPr="000B2AB8">
        <w:rPr>
          <w:rFonts w:cs="Calibri"/>
        </w:rPr>
        <w:t>KIPP Lynn</w:t>
      </w:r>
      <w:r w:rsidR="00C941AB">
        <w:rPr>
          <w:rFonts w:cs="Calibri"/>
        </w:rPr>
        <w:t xml:space="preserve"> and</w:t>
      </w:r>
      <w:r w:rsidR="00877478" w:rsidRPr="000B2AB8">
        <w:rPr>
          <w:rFonts w:cs="Calibri"/>
        </w:rPr>
        <w:t xml:space="preserve"> </w:t>
      </w:r>
      <w:r w:rsidR="003E2D75" w:rsidRPr="000B2AB8">
        <w:rPr>
          <w:rFonts w:cs="Calibri"/>
        </w:rPr>
        <w:t>PVCI</w:t>
      </w:r>
      <w:r w:rsidR="006D109A" w:rsidRPr="000B2AB8">
        <w:rPr>
          <w:rFonts w:cs="Calibri"/>
        </w:rPr>
        <w:t>CS</w:t>
      </w:r>
      <w:r w:rsidR="00877478" w:rsidRPr="000B2AB8">
        <w:rPr>
          <w:rFonts w:cs="Calibri"/>
        </w:rPr>
        <w:t>.</w:t>
      </w:r>
      <w:r w:rsidR="00774B3F" w:rsidRPr="000B2AB8">
        <w:rPr>
          <w:rFonts w:cs="Calibri"/>
        </w:rPr>
        <w:t xml:space="preserve"> The</w:t>
      </w:r>
      <w:r w:rsidR="00073D9C" w:rsidRPr="000B2AB8">
        <w:rPr>
          <w:rFonts w:cs="Calibri"/>
        </w:rPr>
        <w:t>se</w:t>
      </w:r>
      <w:r w:rsidR="00774B3F" w:rsidRPr="000B2AB8">
        <w:rPr>
          <w:rFonts w:cs="Calibri"/>
        </w:rPr>
        <w:t xml:space="preserve"> t</w:t>
      </w:r>
      <w:r w:rsidR="00C941AB">
        <w:rPr>
          <w:rFonts w:cs="Calibri"/>
        </w:rPr>
        <w:t>wo</w:t>
      </w:r>
      <w:r w:rsidR="00774B3F" w:rsidRPr="000B2AB8">
        <w:rPr>
          <w:rFonts w:cs="Calibri"/>
        </w:rPr>
        <w:t xml:space="preserve"> schools</w:t>
      </w:r>
      <w:r w:rsidR="00CD6DD1" w:rsidRPr="000B2AB8">
        <w:rPr>
          <w:rFonts w:cs="Calibri"/>
        </w:rPr>
        <w:t xml:space="preserve"> serve school districts that performed in the lowest 10 percent of all districts based on MCAS results from </w:t>
      </w:r>
      <w:r w:rsidR="00F11BC0" w:rsidRPr="000B2AB8">
        <w:rPr>
          <w:rFonts w:cs="Calibri"/>
        </w:rPr>
        <w:t>2021-</w:t>
      </w:r>
      <w:r w:rsidR="00CD6DD1" w:rsidRPr="000B2AB8">
        <w:rPr>
          <w:rFonts w:cs="Calibri"/>
        </w:rPr>
        <w:t>202</w:t>
      </w:r>
      <w:r w:rsidR="00723B03" w:rsidRPr="000B2AB8">
        <w:rPr>
          <w:rFonts w:cs="Calibri"/>
        </w:rPr>
        <w:t>2</w:t>
      </w:r>
      <w:r w:rsidR="00CD6DD1" w:rsidRPr="000B2AB8">
        <w:rPr>
          <w:rFonts w:cs="Calibri"/>
        </w:rPr>
        <w:t xml:space="preserve"> and </w:t>
      </w:r>
      <w:r w:rsidR="00F11BC0" w:rsidRPr="000B2AB8">
        <w:rPr>
          <w:rFonts w:cs="Calibri"/>
        </w:rPr>
        <w:t>2022-</w:t>
      </w:r>
      <w:r w:rsidR="00CD6DD1" w:rsidRPr="000B2AB8">
        <w:rPr>
          <w:rFonts w:cs="Calibri"/>
        </w:rPr>
        <w:t>202</w:t>
      </w:r>
      <w:r w:rsidR="00723B03" w:rsidRPr="000B2AB8">
        <w:rPr>
          <w:rFonts w:cs="Calibri"/>
        </w:rPr>
        <w:t>3</w:t>
      </w:r>
      <w:r w:rsidR="00C542D7" w:rsidRPr="000B2AB8">
        <w:rPr>
          <w:rFonts w:cs="Calibri"/>
        </w:rPr>
        <w:t>,</w:t>
      </w:r>
      <w:r w:rsidR="00F11BC0" w:rsidRPr="000B2AB8">
        <w:rPr>
          <w:rFonts w:cs="Calibri"/>
        </w:rPr>
        <w:t xml:space="preserve"> and enrollment </w:t>
      </w:r>
      <w:r w:rsidR="00C542D7" w:rsidRPr="000B2AB8">
        <w:rPr>
          <w:rFonts w:cs="Calibri"/>
        </w:rPr>
        <w:t xml:space="preserve">in Commonwealth charter schools </w:t>
      </w:r>
      <w:r w:rsidR="00F11BC0" w:rsidRPr="000B2AB8">
        <w:rPr>
          <w:rFonts w:cs="Calibri"/>
        </w:rPr>
        <w:t xml:space="preserve">from these districts </w:t>
      </w:r>
      <w:r w:rsidR="009034CB" w:rsidRPr="000B2AB8">
        <w:rPr>
          <w:rFonts w:cs="Calibri"/>
        </w:rPr>
        <w:t>already</w:t>
      </w:r>
      <w:r w:rsidR="00F03B9B" w:rsidRPr="000B2AB8">
        <w:rPr>
          <w:rFonts w:cs="Calibri"/>
        </w:rPr>
        <w:t xml:space="preserve"> </w:t>
      </w:r>
      <w:r w:rsidR="00B0146B" w:rsidRPr="000B2AB8">
        <w:rPr>
          <w:rFonts w:cs="Calibri"/>
        </w:rPr>
        <w:t>exceed</w:t>
      </w:r>
      <w:r w:rsidR="00D454E9" w:rsidRPr="000B2AB8">
        <w:rPr>
          <w:rFonts w:cs="Calibri"/>
        </w:rPr>
        <w:t>s</w:t>
      </w:r>
      <w:r w:rsidR="00B0146B" w:rsidRPr="000B2AB8">
        <w:rPr>
          <w:rFonts w:cs="Calibri"/>
        </w:rPr>
        <w:t xml:space="preserve"> or will exceed 9 percent NSS</w:t>
      </w:r>
      <w:r w:rsidR="009034CB" w:rsidRPr="000B2AB8">
        <w:rPr>
          <w:rFonts w:cs="Calibri"/>
        </w:rPr>
        <w:t xml:space="preserve"> </w:t>
      </w:r>
      <w:r w:rsidR="008064DC" w:rsidRPr="000B2AB8">
        <w:rPr>
          <w:rFonts w:cs="Calibri"/>
        </w:rPr>
        <w:t>if these requests are granted</w:t>
      </w:r>
      <w:r w:rsidR="000F7873" w:rsidRPr="000B2AB8">
        <w:rPr>
          <w:rFonts w:cs="Calibri"/>
        </w:rPr>
        <w:t>.</w:t>
      </w:r>
      <w:r w:rsidR="009C4E2F" w:rsidRPr="000B2AB8">
        <w:rPr>
          <w:rStyle w:val="FootnoteReference"/>
          <w:rFonts w:cs="Calibri"/>
        </w:rPr>
        <w:footnoteReference w:id="12"/>
      </w:r>
      <w:r w:rsidR="00E43A8B" w:rsidRPr="000B2AB8">
        <w:rPr>
          <w:rFonts w:cs="Calibri"/>
          <w:vertAlign w:val="superscript"/>
        </w:rPr>
        <w:t xml:space="preserve">, </w:t>
      </w:r>
      <w:r w:rsidR="00E43A8B" w:rsidRPr="000B2AB8">
        <w:rPr>
          <w:rStyle w:val="FootnoteReference"/>
          <w:rFonts w:cs="Calibri"/>
        </w:rPr>
        <w:footnoteReference w:id="13"/>
      </w:r>
      <w:r w:rsidR="000F7873" w:rsidRPr="000B2AB8">
        <w:rPr>
          <w:rFonts w:cs="Calibri"/>
        </w:rPr>
        <w:t xml:space="preserve"> </w:t>
      </w:r>
    </w:p>
    <w:p w14:paraId="305DB5F9" w14:textId="79647088" w:rsidR="00513DEB" w:rsidRPr="000B2AB8" w:rsidRDefault="00513DEB" w:rsidP="005819B0">
      <w:pPr>
        <w:rPr>
          <w:rFonts w:cs="Calibri"/>
        </w:rPr>
      </w:pPr>
    </w:p>
    <w:p w14:paraId="7B64E20F" w14:textId="1187EDE2" w:rsidR="00066DF0" w:rsidRPr="000B2AB8" w:rsidRDefault="000E3F5F" w:rsidP="00AC4BE2">
      <w:pPr>
        <w:keepNext/>
        <w:rPr>
          <w:rFonts w:cs="Calibri"/>
        </w:rPr>
      </w:pPr>
      <w:r w:rsidRPr="000B2AB8">
        <w:rPr>
          <w:rFonts w:cs="Calibri"/>
        </w:rPr>
        <w:t xml:space="preserve">As defined in </w:t>
      </w:r>
      <w:r w:rsidR="003710BE" w:rsidRPr="000B2AB8">
        <w:rPr>
          <w:rFonts w:cs="Calibri"/>
        </w:rPr>
        <w:t xml:space="preserve">603 CMR 1.02, a proven provider is “the board of trustees of an existing charter school that has a record of academic success and organizational viability.” </w:t>
      </w:r>
      <w:r w:rsidR="00066DF0" w:rsidRPr="000B2AB8">
        <w:rPr>
          <w:rFonts w:cs="Calibri"/>
        </w:rPr>
        <w:t xml:space="preserve">In order to determine if a current board of trustees qualifies for proven provider status, </w:t>
      </w:r>
      <w:r w:rsidR="008064DC" w:rsidRPr="000B2AB8">
        <w:rPr>
          <w:rFonts w:cs="Calibri"/>
        </w:rPr>
        <w:t xml:space="preserve">the Commissioner </w:t>
      </w:r>
      <w:r w:rsidR="00066DF0" w:rsidRPr="000B2AB8">
        <w:rPr>
          <w:rFonts w:cs="Calibri"/>
        </w:rPr>
        <w:t>consider</w:t>
      </w:r>
      <w:r w:rsidR="008064DC" w:rsidRPr="000B2AB8">
        <w:rPr>
          <w:rFonts w:cs="Calibri"/>
        </w:rPr>
        <w:t>s</w:t>
      </w:r>
      <w:r w:rsidR="00066DF0" w:rsidRPr="000B2AB8">
        <w:rPr>
          <w:rFonts w:cs="Calibri"/>
        </w:rPr>
        <w:t xml:space="preserve"> affirmative, credible evidence of the existing school's success in each of the three accountability areas: academic program success, organizational viability, and faithfulness to the terms of its charter.</w:t>
      </w:r>
      <w:r w:rsidR="00A116F4" w:rsidRPr="000B2AB8">
        <w:rPr>
          <w:rStyle w:val="FootnoteReference"/>
          <w:rFonts w:cs="Calibri"/>
        </w:rPr>
        <w:footnoteReference w:id="14"/>
      </w:r>
      <w:r w:rsidR="00066DF0" w:rsidRPr="000B2AB8">
        <w:rPr>
          <w:rFonts w:cs="Calibri"/>
        </w:rPr>
        <w:t xml:space="preserve"> </w:t>
      </w:r>
      <w:r w:rsidR="004A1289" w:rsidRPr="000B2AB8">
        <w:rPr>
          <w:rFonts w:cs="Calibri"/>
        </w:rPr>
        <w:t xml:space="preserve">The Commissioner </w:t>
      </w:r>
      <w:r w:rsidR="008064DC" w:rsidRPr="000B2AB8">
        <w:rPr>
          <w:rFonts w:cs="Calibri"/>
        </w:rPr>
        <w:t xml:space="preserve">also </w:t>
      </w:r>
      <w:r w:rsidR="004A1289" w:rsidRPr="000B2AB8">
        <w:rPr>
          <w:rFonts w:cs="Calibri"/>
        </w:rPr>
        <w:t>consider</w:t>
      </w:r>
      <w:r w:rsidR="008064DC" w:rsidRPr="000B2AB8">
        <w:rPr>
          <w:rFonts w:cs="Calibri"/>
        </w:rPr>
        <w:t>s</w:t>
      </w:r>
      <w:r w:rsidR="004A1289" w:rsidRPr="000B2AB8">
        <w:rPr>
          <w:rFonts w:cs="Calibri"/>
        </w:rPr>
        <w:t xml:space="preserve"> all information related to </w:t>
      </w:r>
      <w:r w:rsidR="001D5F58" w:rsidRPr="000B2AB8">
        <w:rPr>
          <w:rFonts w:cs="Calibri"/>
        </w:rPr>
        <w:t>the</w:t>
      </w:r>
      <w:r w:rsidR="004A1289" w:rsidRPr="000B2AB8">
        <w:rPr>
          <w:rFonts w:cs="Calibri"/>
        </w:rPr>
        <w:t xml:space="preserve"> school's performance, including evaluation</w:t>
      </w:r>
      <w:r w:rsidR="008064DC" w:rsidRPr="000B2AB8">
        <w:rPr>
          <w:rFonts w:cs="Calibri"/>
        </w:rPr>
        <w:t>s</w:t>
      </w:r>
      <w:r w:rsidR="004A1289" w:rsidRPr="000B2AB8">
        <w:rPr>
          <w:rFonts w:cs="Calibri"/>
        </w:rPr>
        <w:t xml:space="preserve"> </w:t>
      </w:r>
      <w:r w:rsidR="008064DC" w:rsidRPr="000B2AB8">
        <w:rPr>
          <w:rFonts w:cs="Calibri"/>
        </w:rPr>
        <w:t>during</w:t>
      </w:r>
      <w:r w:rsidR="004A1289" w:rsidRPr="000B2AB8">
        <w:rPr>
          <w:rFonts w:cs="Calibri"/>
        </w:rPr>
        <w:t xml:space="preserve"> </w:t>
      </w:r>
      <w:r w:rsidR="00434951" w:rsidRPr="000B2AB8">
        <w:rPr>
          <w:rFonts w:cs="Calibri"/>
        </w:rPr>
        <w:t>charter</w:t>
      </w:r>
      <w:r w:rsidR="004A1289" w:rsidRPr="000B2AB8">
        <w:rPr>
          <w:rFonts w:cs="Calibri"/>
        </w:rPr>
        <w:t xml:space="preserve"> renewal.</w:t>
      </w:r>
      <w:r w:rsidR="001D5F58" w:rsidRPr="000B2AB8">
        <w:rPr>
          <w:rFonts w:cs="Calibri"/>
        </w:rPr>
        <w:t xml:space="preserve"> </w:t>
      </w:r>
      <w:r w:rsidR="00066DF0" w:rsidRPr="000B2AB8">
        <w:rPr>
          <w:rFonts w:cs="Calibri"/>
        </w:rPr>
        <w:t xml:space="preserve">Pursuant to 603 CMR 1.04(4)(b), </w:t>
      </w:r>
      <w:r w:rsidR="00170914" w:rsidRPr="000B2AB8">
        <w:rPr>
          <w:rFonts w:cs="Calibri"/>
        </w:rPr>
        <w:t xml:space="preserve">schools </w:t>
      </w:r>
      <w:r w:rsidR="00066DF0" w:rsidRPr="000B2AB8">
        <w:rPr>
          <w:rFonts w:cs="Calibri"/>
        </w:rPr>
        <w:t xml:space="preserve">for </w:t>
      </w:r>
      <w:r w:rsidR="00170914" w:rsidRPr="000B2AB8">
        <w:rPr>
          <w:rFonts w:cs="Calibri"/>
        </w:rPr>
        <w:t xml:space="preserve">which </w:t>
      </w:r>
      <w:r w:rsidR="00066DF0" w:rsidRPr="000B2AB8">
        <w:rPr>
          <w:rFonts w:cs="Calibri"/>
        </w:rPr>
        <w:t xml:space="preserve">proven provider status </w:t>
      </w:r>
      <w:r w:rsidR="00170914" w:rsidRPr="000B2AB8">
        <w:rPr>
          <w:rFonts w:cs="Calibri"/>
        </w:rPr>
        <w:t xml:space="preserve">is required </w:t>
      </w:r>
      <w:r w:rsidR="00066DF0" w:rsidRPr="000B2AB8">
        <w:rPr>
          <w:rFonts w:cs="Calibri"/>
        </w:rPr>
        <w:t>must demonstrate success in student academic performance and evidence of overall academic program success</w:t>
      </w:r>
      <w:r w:rsidR="00B502E1" w:rsidRPr="000B2AB8">
        <w:rPr>
          <w:rFonts w:cs="Calibri"/>
        </w:rPr>
        <w:t xml:space="preserve">. </w:t>
      </w:r>
      <w:r w:rsidR="00F3706F" w:rsidRPr="000B2AB8">
        <w:rPr>
          <w:rFonts w:cs="Calibri"/>
        </w:rPr>
        <w:t>In making such a determination,</w:t>
      </w:r>
      <w:r w:rsidR="00B502E1" w:rsidRPr="000B2AB8">
        <w:rPr>
          <w:rFonts w:cs="Calibri"/>
        </w:rPr>
        <w:t xml:space="preserve"> the Comm</w:t>
      </w:r>
      <w:r w:rsidR="00F3706F" w:rsidRPr="000B2AB8">
        <w:rPr>
          <w:rFonts w:cs="Calibri"/>
        </w:rPr>
        <w:t xml:space="preserve">issioner </w:t>
      </w:r>
      <w:r w:rsidR="007E545E" w:rsidRPr="000B2AB8">
        <w:rPr>
          <w:rFonts w:cs="Calibri"/>
        </w:rPr>
        <w:t>considers an array of evidence</w:t>
      </w:r>
      <w:r w:rsidR="00066DF0" w:rsidRPr="000B2AB8">
        <w:rPr>
          <w:rFonts w:cs="Calibri"/>
        </w:rPr>
        <w:t xml:space="preserve"> including, but not limited to: </w:t>
      </w:r>
    </w:p>
    <w:p w14:paraId="68416244" w14:textId="77777777" w:rsidR="00066DF0" w:rsidRPr="00EE13AF" w:rsidRDefault="00066DF0" w:rsidP="00AC4BE2">
      <w:pPr>
        <w:keepNext/>
        <w:rPr>
          <w:rFonts w:cs="Calibri"/>
          <w:color w:val="000000" w:themeColor="text1"/>
        </w:rPr>
      </w:pPr>
    </w:p>
    <w:p w14:paraId="2F63BE9E" w14:textId="2E012455" w:rsidR="00066DF0" w:rsidRPr="00EE13AF" w:rsidRDefault="00066DF0" w:rsidP="00AC4BE2">
      <w:pPr>
        <w:pStyle w:val="ListParagraph"/>
        <w:keepNext/>
        <w:numPr>
          <w:ilvl w:val="0"/>
          <w:numId w:val="15"/>
        </w:numPr>
        <w:rPr>
          <w:rFonts w:cs="Calibri"/>
          <w:color w:val="000000" w:themeColor="text1"/>
        </w:rPr>
      </w:pPr>
      <w:r w:rsidRPr="00EE13AF">
        <w:rPr>
          <w:rFonts w:cs="Calibri"/>
          <w:color w:val="000000" w:themeColor="text1"/>
        </w:rPr>
        <w:t xml:space="preserve">proficiency levels and growth measures on the MCAS or equivalent assessments for all students and for one or more targeted subgroups as defined in </w:t>
      </w:r>
      <w:r w:rsidR="00ED0749" w:rsidRPr="00EE13AF">
        <w:rPr>
          <w:rFonts w:cs="Calibri"/>
          <w:color w:val="000000" w:themeColor="text1"/>
        </w:rPr>
        <w:br/>
      </w:r>
      <w:r w:rsidRPr="00EE13AF">
        <w:rPr>
          <w:rFonts w:cs="Calibri"/>
          <w:color w:val="000000" w:themeColor="text1"/>
        </w:rPr>
        <w:t>M.G.L. c. 71, § 89(i)(3)</w:t>
      </w:r>
      <w:r w:rsidR="00F65424" w:rsidRPr="00EE13AF">
        <w:rPr>
          <w:rFonts w:cs="Calibri"/>
          <w:color w:val="000000" w:themeColor="text1"/>
        </w:rPr>
        <w:t>,</w:t>
      </w:r>
      <w:r w:rsidR="00C10A15" w:rsidRPr="00EE13AF">
        <w:rPr>
          <w:rStyle w:val="FootnoteReference"/>
          <w:rFonts w:cs="Calibri"/>
          <w:color w:val="000000" w:themeColor="text1"/>
        </w:rPr>
        <w:footnoteReference w:id="15"/>
      </w:r>
      <w:r w:rsidRPr="00EE13AF">
        <w:rPr>
          <w:rFonts w:cs="Calibri"/>
          <w:color w:val="000000" w:themeColor="text1"/>
        </w:rPr>
        <w:t xml:space="preserve"> </w:t>
      </w:r>
      <w:r w:rsidR="00F65424" w:rsidRPr="00EE13AF">
        <w:rPr>
          <w:rFonts w:cs="Calibri"/>
          <w:color w:val="000000" w:themeColor="text1"/>
        </w:rPr>
        <w:t xml:space="preserve">that </w:t>
      </w:r>
      <w:r w:rsidRPr="00EE13AF">
        <w:rPr>
          <w:rFonts w:cs="Calibri"/>
          <w:color w:val="000000" w:themeColor="text1"/>
        </w:rPr>
        <w:t xml:space="preserve">are similar to statewide averages in English </w:t>
      </w:r>
      <w:r w:rsidR="00C10A15" w:rsidRPr="00EE13AF">
        <w:rPr>
          <w:rFonts w:cs="Calibri"/>
          <w:color w:val="000000" w:themeColor="text1"/>
        </w:rPr>
        <w:t>l</w:t>
      </w:r>
      <w:r w:rsidRPr="00EE13AF">
        <w:rPr>
          <w:rFonts w:cs="Calibri"/>
          <w:color w:val="000000" w:themeColor="text1"/>
        </w:rPr>
        <w:t xml:space="preserve">anguage </w:t>
      </w:r>
      <w:r w:rsidR="00C10A15" w:rsidRPr="00EE13AF">
        <w:rPr>
          <w:rFonts w:cs="Calibri"/>
          <w:color w:val="000000" w:themeColor="text1"/>
        </w:rPr>
        <w:t>a</w:t>
      </w:r>
      <w:r w:rsidRPr="00EE13AF">
        <w:rPr>
          <w:rFonts w:cs="Calibri"/>
          <w:color w:val="000000" w:themeColor="text1"/>
        </w:rPr>
        <w:t xml:space="preserve">rts and mathematics for all students in Massachusetts in comparable grades, over no less than a three-year period for cohorts of students;  </w:t>
      </w:r>
    </w:p>
    <w:p w14:paraId="64FE8762" w14:textId="6B33810F" w:rsidR="006D1011" w:rsidRPr="00EE13AF" w:rsidRDefault="007167C3" w:rsidP="006D1011">
      <w:pPr>
        <w:numPr>
          <w:ilvl w:val="0"/>
          <w:numId w:val="15"/>
        </w:numPr>
        <w:shd w:val="clear" w:color="auto" w:fill="FFFFFF"/>
        <w:spacing w:before="100" w:beforeAutospacing="1" w:after="100" w:afterAutospacing="1"/>
        <w:rPr>
          <w:rFonts w:eastAsia="Times New Roman" w:cs="Segoe UI"/>
          <w:color w:val="000000" w:themeColor="text1"/>
          <w:kern w:val="0"/>
          <w14:ligatures w14:val="none"/>
        </w:rPr>
      </w:pPr>
      <w:r w:rsidRPr="00EE13AF">
        <w:rPr>
          <w:rFonts w:eastAsia="Times New Roman" w:cs="Segoe UI"/>
          <w:color w:val="000000" w:themeColor="text1"/>
          <w:kern w:val="0"/>
          <w14:ligatures w14:val="none"/>
        </w:rPr>
        <w:t>s</w:t>
      </w:r>
      <w:r w:rsidR="006D1011" w:rsidRPr="00EE13AF">
        <w:rPr>
          <w:rFonts w:eastAsia="Times New Roman" w:cs="Segoe UI"/>
          <w:color w:val="000000" w:themeColor="text1"/>
          <w:kern w:val="0"/>
          <w14:ligatures w14:val="none"/>
        </w:rPr>
        <w:t xml:space="preserve">tudent performance on other standardized tests over no less than a three-year period for cohorts of students, if available, </w:t>
      </w:r>
      <w:r w:rsidR="0083567D" w:rsidRPr="00EE13AF">
        <w:rPr>
          <w:rFonts w:eastAsia="Times New Roman" w:cs="Segoe UI"/>
          <w:color w:val="000000" w:themeColor="text1"/>
          <w:kern w:val="0"/>
          <w14:ligatures w14:val="none"/>
        </w:rPr>
        <w:t xml:space="preserve">that </w:t>
      </w:r>
      <w:r w:rsidR="006D1011" w:rsidRPr="00EE13AF">
        <w:rPr>
          <w:rFonts w:eastAsia="Times New Roman" w:cs="Segoe UI"/>
          <w:color w:val="000000" w:themeColor="text1"/>
          <w:kern w:val="0"/>
          <w14:ligatures w14:val="none"/>
        </w:rPr>
        <w:t>demonstrates student achievement levels similar to statewide averages in English language arts and mathematics for all students in Massachusetts in comparable grades;</w:t>
      </w:r>
    </w:p>
    <w:p w14:paraId="49665597" w14:textId="77777777" w:rsidR="00066DF0" w:rsidRPr="00EE13AF" w:rsidRDefault="00066DF0" w:rsidP="00066DF0">
      <w:pPr>
        <w:pStyle w:val="ListParagraph"/>
        <w:numPr>
          <w:ilvl w:val="0"/>
          <w:numId w:val="15"/>
        </w:numPr>
        <w:rPr>
          <w:rFonts w:cs="Calibri"/>
          <w:color w:val="000000" w:themeColor="text1"/>
        </w:rPr>
      </w:pPr>
      <w:r w:rsidRPr="00EE13AF">
        <w:rPr>
          <w:rFonts w:cs="Calibri"/>
          <w:color w:val="000000" w:themeColor="text1"/>
        </w:rPr>
        <w:t xml:space="preserve">attendance, retention, and attrition data;  </w:t>
      </w:r>
    </w:p>
    <w:p w14:paraId="7628C95B" w14:textId="77777777" w:rsidR="00066DF0" w:rsidRPr="00EE13AF" w:rsidRDefault="00066DF0" w:rsidP="00066DF0">
      <w:pPr>
        <w:pStyle w:val="ListParagraph"/>
        <w:numPr>
          <w:ilvl w:val="0"/>
          <w:numId w:val="15"/>
        </w:numPr>
        <w:rPr>
          <w:rFonts w:cs="Calibri"/>
          <w:color w:val="000000" w:themeColor="text1"/>
        </w:rPr>
      </w:pPr>
      <w:r w:rsidRPr="00EE13AF">
        <w:rPr>
          <w:rFonts w:cs="Calibri"/>
          <w:color w:val="000000" w:themeColor="text1"/>
        </w:rPr>
        <w:t xml:space="preserve">graduation and dropout data, if applicable; and </w:t>
      </w:r>
    </w:p>
    <w:p w14:paraId="4ED40FA5" w14:textId="77777777" w:rsidR="00066DF0" w:rsidRPr="00EE13AF" w:rsidRDefault="00066DF0" w:rsidP="00066DF0">
      <w:pPr>
        <w:pStyle w:val="ListParagraph"/>
        <w:numPr>
          <w:ilvl w:val="0"/>
          <w:numId w:val="15"/>
        </w:numPr>
        <w:rPr>
          <w:rFonts w:cs="Calibri"/>
          <w:color w:val="000000" w:themeColor="text1"/>
        </w:rPr>
      </w:pPr>
      <w:r w:rsidRPr="00EE13AF">
        <w:rPr>
          <w:rFonts w:cs="Calibri"/>
          <w:color w:val="000000" w:themeColor="text1"/>
        </w:rPr>
        <w:t xml:space="preserve">in-school and out-of-school suspension rates.  </w:t>
      </w:r>
    </w:p>
    <w:p w14:paraId="29A9A43B" w14:textId="77777777" w:rsidR="00066DF0" w:rsidRPr="000B2AB8" w:rsidRDefault="00066DF0" w:rsidP="00066DF0">
      <w:pPr>
        <w:rPr>
          <w:rFonts w:cs="Calibri"/>
        </w:rPr>
      </w:pPr>
    </w:p>
    <w:p w14:paraId="6F594563" w14:textId="7B27B6ED" w:rsidR="006104D9" w:rsidRPr="000B2AB8" w:rsidRDefault="006B7095" w:rsidP="00066DF0">
      <w:pPr>
        <w:rPr>
          <w:rFonts w:cs="Calibri"/>
        </w:rPr>
      </w:pPr>
      <w:r w:rsidRPr="000B2AB8">
        <w:rPr>
          <w:rFonts w:cs="Calibri"/>
        </w:rPr>
        <w:t>603 CMR 1.04(4)(b).</w:t>
      </w:r>
    </w:p>
    <w:p w14:paraId="63AC9A74" w14:textId="77777777" w:rsidR="006104D9" w:rsidRPr="000B2AB8" w:rsidRDefault="006104D9" w:rsidP="00066DF0">
      <w:pPr>
        <w:rPr>
          <w:rFonts w:cs="Calibri"/>
        </w:rPr>
      </w:pPr>
    </w:p>
    <w:p w14:paraId="37DF0FDF" w14:textId="641F8E79" w:rsidR="00066DF0" w:rsidRPr="000B2AB8" w:rsidRDefault="00066DF0" w:rsidP="00066DF0">
      <w:pPr>
        <w:rPr>
          <w:rFonts w:cs="Calibri"/>
        </w:rPr>
      </w:pPr>
      <w:r w:rsidRPr="000B2AB8">
        <w:rPr>
          <w:rFonts w:cs="Calibri"/>
        </w:rPr>
        <w:t xml:space="preserve">Boards of trustees must also demonstrate “organizational viability, which shall include but not be limited to effective governance, effective financial management, effective implementation of recruitment and retention plans, if applicable, and compliance with applicable laws and regulations.”  </w:t>
      </w:r>
    </w:p>
    <w:p w14:paraId="13F6F2A4" w14:textId="77777777" w:rsidR="00066DF0" w:rsidRPr="000B2AB8" w:rsidRDefault="00066DF0" w:rsidP="005819B0">
      <w:pPr>
        <w:rPr>
          <w:rFonts w:cs="Calibri"/>
        </w:rPr>
      </w:pPr>
    </w:p>
    <w:p w14:paraId="35307DED" w14:textId="1EF96852" w:rsidR="00B92C46" w:rsidRPr="000B2AB8" w:rsidRDefault="00B92C46" w:rsidP="005819B0">
      <w:r w:rsidRPr="6F40FDEF">
        <w:rPr>
          <w:rFonts w:cs="Calibri"/>
        </w:rPr>
        <w:t xml:space="preserve">After evaluating the performance of </w:t>
      </w:r>
      <w:r w:rsidR="001D497F" w:rsidRPr="6F40FDEF">
        <w:rPr>
          <w:rFonts w:cs="Calibri"/>
        </w:rPr>
        <w:t>KIPP Lynn</w:t>
      </w:r>
      <w:r w:rsidRPr="6F40FDEF">
        <w:rPr>
          <w:rFonts w:cs="Calibri"/>
        </w:rPr>
        <w:t xml:space="preserve"> </w:t>
      </w:r>
      <w:r w:rsidR="50058187" w:rsidRPr="6F40FDEF">
        <w:rPr>
          <w:rFonts w:cs="Calibri"/>
        </w:rPr>
        <w:t xml:space="preserve">and </w:t>
      </w:r>
      <w:r w:rsidRPr="6F40FDEF">
        <w:rPr>
          <w:rFonts w:cs="Calibri"/>
        </w:rPr>
        <w:t>PVCI</w:t>
      </w:r>
      <w:r w:rsidR="006D109A" w:rsidRPr="6F40FDEF">
        <w:rPr>
          <w:rFonts w:cs="Calibri"/>
        </w:rPr>
        <w:t>CS</w:t>
      </w:r>
      <w:r w:rsidRPr="6F40FDEF">
        <w:rPr>
          <w:rFonts w:cs="Calibri"/>
        </w:rPr>
        <w:t xml:space="preserve"> </w:t>
      </w:r>
      <w:r w:rsidR="000F4943" w:rsidRPr="6F40FDEF">
        <w:rPr>
          <w:rFonts w:cs="Calibri"/>
        </w:rPr>
        <w:t xml:space="preserve">based on the evidence of </w:t>
      </w:r>
      <w:r w:rsidR="000C3382" w:rsidRPr="6F40FDEF">
        <w:rPr>
          <w:rFonts w:cs="Calibri"/>
        </w:rPr>
        <w:t>each</w:t>
      </w:r>
      <w:r w:rsidR="000F4943" w:rsidRPr="6F40FDEF">
        <w:rPr>
          <w:rFonts w:cs="Calibri"/>
        </w:rPr>
        <w:t xml:space="preserve"> school's success in the three accountability areas </w:t>
      </w:r>
      <w:r w:rsidR="00035D11" w:rsidRPr="6F40FDEF">
        <w:rPr>
          <w:rFonts w:cs="Calibri"/>
        </w:rPr>
        <w:t xml:space="preserve">and </w:t>
      </w:r>
      <w:r w:rsidRPr="6F40FDEF">
        <w:rPr>
          <w:rFonts w:cs="Calibri"/>
        </w:rPr>
        <w:t xml:space="preserve">the </w:t>
      </w:r>
      <w:r w:rsidR="00821829" w:rsidRPr="6F40FDEF">
        <w:rPr>
          <w:rFonts w:cs="Calibri"/>
        </w:rPr>
        <w:t>qualifications</w:t>
      </w:r>
      <w:r w:rsidRPr="6F40FDEF">
        <w:rPr>
          <w:rFonts w:cs="Calibri"/>
        </w:rPr>
        <w:t xml:space="preserve"> for proven provider status, I identified the boards of trustees of </w:t>
      </w:r>
      <w:r w:rsidR="00AD7F7E" w:rsidRPr="6F40FDEF">
        <w:rPr>
          <w:rFonts w:cs="Calibri"/>
        </w:rPr>
        <w:t>the</w:t>
      </w:r>
      <w:r w:rsidRPr="6F40FDEF">
        <w:rPr>
          <w:rFonts w:cs="Calibri"/>
        </w:rPr>
        <w:t xml:space="preserve"> </w:t>
      </w:r>
      <w:r w:rsidR="53534A4C" w:rsidRPr="6F40FDEF">
        <w:rPr>
          <w:rFonts w:cs="Calibri"/>
        </w:rPr>
        <w:t xml:space="preserve">two </w:t>
      </w:r>
      <w:r w:rsidRPr="6F40FDEF">
        <w:rPr>
          <w:rFonts w:cs="Calibri"/>
        </w:rPr>
        <w:t>schools as proven providers for the purpose of the current amendment requests.</w:t>
      </w:r>
      <w:r w:rsidR="005A7790" w:rsidRPr="6F40FDEF">
        <w:rPr>
          <w:rFonts w:cs="Calibri"/>
        </w:rPr>
        <w:t xml:space="preserve"> </w:t>
      </w:r>
    </w:p>
    <w:p w14:paraId="7A4DF353" w14:textId="77777777" w:rsidR="003B348E" w:rsidRPr="000B2AB8" w:rsidRDefault="003B348E" w:rsidP="005819B0">
      <w:pPr>
        <w:rPr>
          <w:bCs/>
        </w:rPr>
      </w:pPr>
    </w:p>
    <w:p w14:paraId="17799381" w14:textId="2A56DA3B" w:rsidR="003B348E" w:rsidRPr="000B2AB8" w:rsidRDefault="003B348E" w:rsidP="00346E61">
      <w:pPr>
        <w:keepNext/>
        <w:rPr>
          <w:b/>
        </w:rPr>
      </w:pPr>
      <w:r w:rsidRPr="000B2AB8">
        <w:rPr>
          <w:bCs/>
        </w:rPr>
        <w:tab/>
      </w:r>
      <w:r w:rsidRPr="000B2AB8">
        <w:rPr>
          <w:b/>
        </w:rPr>
        <w:t>Net School Spending Considerations</w:t>
      </w:r>
    </w:p>
    <w:p w14:paraId="14AFFA4D" w14:textId="77777777" w:rsidR="003B348E" w:rsidRPr="000B2AB8" w:rsidRDefault="003B348E" w:rsidP="00346E61">
      <w:pPr>
        <w:keepNext/>
        <w:rPr>
          <w:bCs/>
        </w:rPr>
      </w:pPr>
    </w:p>
    <w:p w14:paraId="27D4D1B2" w14:textId="1AE45651" w:rsidR="002A7AAF" w:rsidRPr="000B2AB8" w:rsidRDefault="00D5439B" w:rsidP="00346E61">
      <w:pPr>
        <w:keepNext/>
      </w:pPr>
      <w:r>
        <w:t xml:space="preserve">For the requests </w:t>
      </w:r>
      <w:r w:rsidR="00E86E35">
        <w:t>from Commonwealth charter</w:t>
      </w:r>
      <w:r w:rsidR="00AC0AB9">
        <w:t xml:space="preserve"> </w:t>
      </w:r>
      <w:r w:rsidR="00E86E35">
        <w:t>s</w:t>
      </w:r>
      <w:r w:rsidR="00AC0AB9">
        <w:t>chools</w:t>
      </w:r>
      <w:r>
        <w:t xml:space="preserve"> </w:t>
      </w:r>
      <w:r w:rsidR="00D331E4">
        <w:t>that seek</w:t>
      </w:r>
      <w:r w:rsidR="00443F3E">
        <w:t xml:space="preserve"> </w:t>
      </w:r>
      <w:r>
        <w:t>increase</w:t>
      </w:r>
      <w:r w:rsidR="00D331E4">
        <w:t>d</w:t>
      </w:r>
      <w:r>
        <w:t xml:space="preserve"> enrollment, the Department </w:t>
      </w:r>
      <w:r w:rsidR="00C50BE1">
        <w:t>determine</w:t>
      </w:r>
      <w:r w:rsidR="00340F19">
        <w:t xml:space="preserve">d </w:t>
      </w:r>
      <w:r w:rsidR="001B4AA1">
        <w:t xml:space="preserve">that there </w:t>
      </w:r>
      <w:r w:rsidR="007772BB">
        <w:t>are sufficient</w:t>
      </w:r>
      <w:r w:rsidR="001B4AA1">
        <w:t xml:space="preserve"> seats </w:t>
      </w:r>
      <w:r w:rsidR="00340F19">
        <w:t xml:space="preserve">under the relevant NSS caps </w:t>
      </w:r>
      <w:r w:rsidR="001B4AA1">
        <w:t>to accommodate each request.</w:t>
      </w:r>
      <w:r>
        <w:t xml:space="preserve"> </w:t>
      </w:r>
      <w:r w:rsidR="00A866AE">
        <w:t xml:space="preserve">The Department’s projections indicate that there are sufficient seats available to accommodate the proposed amendment for KIPP Lynn. </w:t>
      </w:r>
      <w:r w:rsidR="00757B20">
        <w:t xml:space="preserve">Based on the enrollment of </w:t>
      </w:r>
      <w:r w:rsidR="002609D0">
        <w:t>Lynn residents in Commonwealth charter schools</w:t>
      </w:r>
      <w:r w:rsidR="00690DDF">
        <w:t xml:space="preserve">, approximately </w:t>
      </w:r>
      <w:r w:rsidR="00237CCD">
        <w:t>1,361</w:t>
      </w:r>
      <w:r w:rsidR="00690DDF">
        <w:t xml:space="preserve"> </w:t>
      </w:r>
      <w:r w:rsidR="00AE39E1">
        <w:t xml:space="preserve">estimated </w:t>
      </w:r>
      <w:r w:rsidR="00690DDF">
        <w:t xml:space="preserve">seats </w:t>
      </w:r>
      <w:r w:rsidR="003643F3">
        <w:t xml:space="preserve">remain in Lynn </w:t>
      </w:r>
      <w:r w:rsidR="00217652">
        <w:t xml:space="preserve">under the 18 percent NSS cap </w:t>
      </w:r>
      <w:r w:rsidR="00515F05">
        <w:t>with an additional five</w:t>
      </w:r>
      <w:r w:rsidR="00FE77FA">
        <w:t xml:space="preserve"> percent </w:t>
      </w:r>
      <w:r w:rsidR="00515F05">
        <w:t>buffer</w:t>
      </w:r>
      <w:r w:rsidR="002A09F4">
        <w:t xml:space="preserve"> </w:t>
      </w:r>
      <w:r w:rsidR="00E314FA">
        <w:t xml:space="preserve">to </w:t>
      </w:r>
      <w:r w:rsidR="002A09F4">
        <w:t>guard against fluctuations in enrollment and district spending</w:t>
      </w:r>
      <w:r w:rsidR="00FE77FA">
        <w:t xml:space="preserve">. </w:t>
      </w:r>
    </w:p>
    <w:p w14:paraId="7A433770" w14:textId="77777777" w:rsidR="003554E1" w:rsidRDefault="003554E1" w:rsidP="00AC4BE2">
      <w:pPr>
        <w:keepNext/>
        <w:rPr>
          <w:bCs/>
        </w:rPr>
      </w:pPr>
    </w:p>
    <w:p w14:paraId="29EC335D" w14:textId="221690E5" w:rsidR="00040622" w:rsidRPr="000B2AB8" w:rsidRDefault="00C96000" w:rsidP="00AC4BE2">
      <w:pPr>
        <w:keepNext/>
      </w:pPr>
      <w:r w:rsidRPr="6F40FDEF">
        <w:t xml:space="preserve">Based on Department projections, </w:t>
      </w:r>
      <w:r w:rsidR="00BC563D" w:rsidRPr="6F40FDEF">
        <w:t>the</w:t>
      </w:r>
      <w:r w:rsidR="002601DD" w:rsidRPr="6F40FDEF">
        <w:t>re are</w:t>
      </w:r>
      <w:r w:rsidR="00314A2B" w:rsidRPr="6F40FDEF">
        <w:t xml:space="preserve"> also</w:t>
      </w:r>
      <w:r w:rsidR="002601DD" w:rsidRPr="000B2AB8">
        <w:rPr>
          <w:bCs/>
        </w:rPr>
        <w:t xml:space="preserve"> </w:t>
      </w:r>
      <w:r w:rsidR="007C69B8" w:rsidRPr="6F40FDEF">
        <w:t>sufficient</w:t>
      </w:r>
      <w:r w:rsidR="002601DD" w:rsidRPr="000B2AB8">
        <w:rPr>
          <w:bCs/>
        </w:rPr>
        <w:t xml:space="preserve"> </w:t>
      </w:r>
      <w:r w:rsidR="00854277" w:rsidRPr="6F40FDEF">
        <w:t xml:space="preserve">estimated </w:t>
      </w:r>
      <w:r w:rsidR="002601DD" w:rsidRPr="6F40FDEF">
        <w:t xml:space="preserve">seats </w:t>
      </w:r>
      <w:r w:rsidR="00854277" w:rsidRPr="6F40FDEF">
        <w:t xml:space="preserve">available </w:t>
      </w:r>
      <w:r w:rsidR="001672A0" w:rsidRPr="6F40FDEF">
        <w:t>under</w:t>
      </w:r>
      <w:r w:rsidR="003963E1" w:rsidRPr="6F40FDEF">
        <w:t xml:space="preserve"> the relevant</w:t>
      </w:r>
      <w:r w:rsidR="001672A0" w:rsidRPr="6F40FDEF">
        <w:t xml:space="preserve"> NSS caps </w:t>
      </w:r>
      <w:r w:rsidR="00443F3E" w:rsidRPr="6F40FDEF">
        <w:t xml:space="preserve">to accommodate the proposed amendments </w:t>
      </w:r>
      <w:r w:rsidR="002B7294" w:rsidRPr="6F40FDEF">
        <w:t>requested by</w:t>
      </w:r>
      <w:r w:rsidR="006D6BF9" w:rsidRPr="000B2AB8">
        <w:rPr>
          <w:bCs/>
        </w:rPr>
        <w:t xml:space="preserve"> </w:t>
      </w:r>
      <w:r w:rsidR="0072194A" w:rsidRPr="6F40FDEF">
        <w:t xml:space="preserve">three regional charter schools, </w:t>
      </w:r>
      <w:r w:rsidR="00F302A9" w:rsidRPr="6F40FDEF">
        <w:t>AMSA, PVCICS, and SSCPS</w:t>
      </w:r>
      <w:r w:rsidR="0051351D" w:rsidRPr="000B2AB8">
        <w:rPr>
          <w:bCs/>
        </w:rPr>
        <w:t>.</w:t>
      </w:r>
      <w:r w:rsidR="00FE5751" w:rsidRPr="6F40FDEF">
        <w:rPr>
          <w:rStyle w:val="FootnoteReference"/>
        </w:rPr>
        <w:footnoteReference w:id="16"/>
      </w:r>
    </w:p>
    <w:p w14:paraId="598583CD" w14:textId="77777777" w:rsidR="00314A2B" w:rsidRPr="000B2AB8" w:rsidRDefault="00314A2B" w:rsidP="005819B0">
      <w:pPr>
        <w:rPr>
          <w:bCs/>
        </w:rPr>
      </w:pPr>
    </w:p>
    <w:p w14:paraId="224A373F" w14:textId="3F21AEC1" w:rsidR="00040622" w:rsidRPr="000B2AB8" w:rsidRDefault="00372178" w:rsidP="00D7280F">
      <w:pPr>
        <w:pStyle w:val="ListParagraph"/>
        <w:numPr>
          <w:ilvl w:val="0"/>
          <w:numId w:val="17"/>
        </w:numPr>
        <w:ind w:left="720"/>
        <w:rPr>
          <w:bCs/>
        </w:rPr>
      </w:pPr>
      <w:r w:rsidRPr="000B2AB8">
        <w:rPr>
          <w:bCs/>
        </w:rPr>
        <w:t xml:space="preserve">There are approximately </w:t>
      </w:r>
      <w:r w:rsidR="00BF3813" w:rsidRPr="000B2AB8">
        <w:rPr>
          <w:bCs/>
        </w:rPr>
        <w:t>787</w:t>
      </w:r>
      <w:r w:rsidRPr="000B2AB8">
        <w:rPr>
          <w:bCs/>
        </w:rPr>
        <w:t xml:space="preserve"> seats estimated across </w:t>
      </w:r>
      <w:r w:rsidR="00CA5594" w:rsidRPr="000B2AB8">
        <w:rPr>
          <w:bCs/>
        </w:rPr>
        <w:t>AMSA</w:t>
      </w:r>
      <w:r w:rsidRPr="000B2AB8">
        <w:rPr>
          <w:bCs/>
        </w:rPr>
        <w:t xml:space="preserve">’s charter region, </w:t>
      </w:r>
      <w:r w:rsidR="00575475" w:rsidRPr="000B2AB8">
        <w:rPr>
          <w:bCs/>
        </w:rPr>
        <w:t>with an</w:t>
      </w:r>
      <w:r w:rsidRPr="000B2AB8">
        <w:rPr>
          <w:bCs/>
        </w:rPr>
        <w:t xml:space="preserve"> additional five percent buffer</w:t>
      </w:r>
      <w:r w:rsidR="00E92EDD" w:rsidRPr="000B2AB8">
        <w:rPr>
          <w:bCs/>
        </w:rPr>
        <w:t xml:space="preserve">, </w:t>
      </w:r>
      <w:r w:rsidR="00575475" w:rsidRPr="000B2AB8">
        <w:rPr>
          <w:bCs/>
        </w:rPr>
        <w:t xml:space="preserve">that </w:t>
      </w:r>
      <w:r w:rsidR="00E92EDD" w:rsidRPr="000B2AB8">
        <w:rPr>
          <w:bCs/>
        </w:rPr>
        <w:t>can accommodate its proposed increase of 34 students</w:t>
      </w:r>
      <w:r w:rsidRPr="000B2AB8">
        <w:rPr>
          <w:bCs/>
        </w:rPr>
        <w:t xml:space="preserve">. </w:t>
      </w:r>
      <w:r w:rsidR="00B63BA9" w:rsidRPr="000B2AB8">
        <w:rPr>
          <w:bCs/>
        </w:rPr>
        <w:t>One</w:t>
      </w:r>
      <w:r w:rsidRPr="000B2AB8">
        <w:rPr>
          <w:bCs/>
        </w:rPr>
        <w:t xml:space="preserve"> of the </w:t>
      </w:r>
      <w:r w:rsidR="00B63BA9" w:rsidRPr="000B2AB8">
        <w:rPr>
          <w:bCs/>
        </w:rPr>
        <w:t>four</w:t>
      </w:r>
      <w:r w:rsidRPr="000B2AB8">
        <w:rPr>
          <w:bCs/>
        </w:rPr>
        <w:t xml:space="preserve"> districts in the school’s region</w:t>
      </w:r>
      <w:r w:rsidR="00B63BA9" w:rsidRPr="000B2AB8">
        <w:rPr>
          <w:bCs/>
        </w:rPr>
        <w:t>, Hudson</w:t>
      </w:r>
      <w:r w:rsidRPr="000B2AB8">
        <w:rPr>
          <w:bCs/>
        </w:rPr>
        <w:t xml:space="preserve">, </w:t>
      </w:r>
      <w:r w:rsidR="00B63BA9" w:rsidRPr="000B2AB8">
        <w:rPr>
          <w:bCs/>
        </w:rPr>
        <w:t xml:space="preserve">is </w:t>
      </w:r>
      <w:r w:rsidRPr="000B2AB8">
        <w:rPr>
          <w:bCs/>
        </w:rPr>
        <w:t>at or near</w:t>
      </w:r>
      <w:r w:rsidR="00B63BA9" w:rsidRPr="000B2AB8">
        <w:rPr>
          <w:bCs/>
        </w:rPr>
        <w:t xml:space="preserve"> its</w:t>
      </w:r>
      <w:r w:rsidRPr="000B2AB8">
        <w:rPr>
          <w:bCs/>
        </w:rPr>
        <w:t xml:space="preserve"> NSS cap based on current enrollment</w:t>
      </w:r>
      <w:r w:rsidR="0063778C" w:rsidRPr="000B2AB8">
        <w:rPr>
          <w:bCs/>
        </w:rPr>
        <w:t xml:space="preserve">. This will </w:t>
      </w:r>
      <w:r w:rsidRPr="000B2AB8">
        <w:rPr>
          <w:bCs/>
        </w:rPr>
        <w:t xml:space="preserve">limit any significant increase in student enrollment from </w:t>
      </w:r>
      <w:r w:rsidR="00D06078" w:rsidRPr="000B2AB8">
        <w:rPr>
          <w:bCs/>
        </w:rPr>
        <w:t>Hudson</w:t>
      </w:r>
      <w:r w:rsidRPr="000B2AB8">
        <w:rPr>
          <w:bCs/>
        </w:rPr>
        <w:t xml:space="preserve">. </w:t>
      </w:r>
    </w:p>
    <w:p w14:paraId="00B90EE4" w14:textId="77777777" w:rsidR="005B70B7" w:rsidRPr="000B2AB8" w:rsidRDefault="005B70B7" w:rsidP="00D7280F">
      <w:pPr>
        <w:rPr>
          <w:bCs/>
        </w:rPr>
      </w:pPr>
    </w:p>
    <w:p w14:paraId="09896915" w14:textId="6DB049D4" w:rsidR="00CA7351" w:rsidRPr="000B2AB8" w:rsidRDefault="00040622" w:rsidP="00D7280F">
      <w:pPr>
        <w:pStyle w:val="ListParagraph"/>
        <w:numPr>
          <w:ilvl w:val="0"/>
          <w:numId w:val="17"/>
        </w:numPr>
        <w:ind w:left="720"/>
        <w:rPr>
          <w:bCs/>
        </w:rPr>
      </w:pPr>
      <w:r w:rsidRPr="000B2AB8">
        <w:rPr>
          <w:bCs/>
        </w:rPr>
        <w:t>There are</w:t>
      </w:r>
      <w:r w:rsidR="00B64639" w:rsidRPr="000B2AB8">
        <w:rPr>
          <w:bCs/>
        </w:rPr>
        <w:t xml:space="preserve"> approximately 3,862</w:t>
      </w:r>
      <w:r w:rsidRPr="000B2AB8">
        <w:rPr>
          <w:bCs/>
        </w:rPr>
        <w:t xml:space="preserve"> seats estimated </w:t>
      </w:r>
      <w:r w:rsidR="00D7042B" w:rsidRPr="000B2AB8">
        <w:rPr>
          <w:bCs/>
        </w:rPr>
        <w:t xml:space="preserve">across </w:t>
      </w:r>
      <w:r w:rsidR="00CA5594" w:rsidRPr="000B2AB8">
        <w:rPr>
          <w:bCs/>
        </w:rPr>
        <w:t>PVCICS</w:t>
      </w:r>
      <w:r w:rsidR="00D7042B" w:rsidRPr="000B2AB8">
        <w:rPr>
          <w:bCs/>
        </w:rPr>
        <w:t>’s charter region,</w:t>
      </w:r>
      <w:r w:rsidR="00B64639" w:rsidRPr="000B2AB8">
        <w:rPr>
          <w:bCs/>
        </w:rPr>
        <w:t xml:space="preserve"> </w:t>
      </w:r>
      <w:r w:rsidR="003C2F37" w:rsidRPr="000B2AB8">
        <w:rPr>
          <w:bCs/>
        </w:rPr>
        <w:t xml:space="preserve">with an </w:t>
      </w:r>
      <w:r w:rsidR="00B64639" w:rsidRPr="000B2AB8">
        <w:rPr>
          <w:bCs/>
        </w:rPr>
        <w:t>additional five percent buffer</w:t>
      </w:r>
      <w:r w:rsidR="00E92EDD" w:rsidRPr="000B2AB8">
        <w:rPr>
          <w:bCs/>
        </w:rPr>
        <w:t xml:space="preserve">, </w:t>
      </w:r>
      <w:r w:rsidR="003C2F37" w:rsidRPr="000B2AB8">
        <w:rPr>
          <w:bCs/>
        </w:rPr>
        <w:t xml:space="preserve">that </w:t>
      </w:r>
      <w:r w:rsidR="00E92EDD" w:rsidRPr="000B2AB8">
        <w:rPr>
          <w:bCs/>
        </w:rPr>
        <w:t xml:space="preserve">can accommodate its proposed increase of 100 students. </w:t>
      </w:r>
      <w:r w:rsidR="00B64639" w:rsidRPr="000B2AB8">
        <w:rPr>
          <w:bCs/>
        </w:rPr>
        <w:t xml:space="preserve"> Based on enrollment trends at the </w:t>
      </w:r>
      <w:r w:rsidR="00A842FE" w:rsidRPr="000B2AB8">
        <w:rPr>
          <w:bCs/>
        </w:rPr>
        <w:t xml:space="preserve">school, </w:t>
      </w:r>
      <w:r w:rsidR="00B266E4" w:rsidRPr="000B2AB8">
        <w:rPr>
          <w:bCs/>
        </w:rPr>
        <w:t xml:space="preserve">the </w:t>
      </w:r>
      <w:r w:rsidR="00987635" w:rsidRPr="000B2AB8">
        <w:rPr>
          <w:bCs/>
        </w:rPr>
        <w:t xml:space="preserve">four districts that represent </w:t>
      </w:r>
      <w:r w:rsidR="00245C31" w:rsidRPr="000B2AB8">
        <w:rPr>
          <w:bCs/>
        </w:rPr>
        <w:t xml:space="preserve">44 percent of enrollment have </w:t>
      </w:r>
      <w:r w:rsidR="00E80E74" w:rsidRPr="000B2AB8">
        <w:rPr>
          <w:bCs/>
        </w:rPr>
        <w:t>529 seats estimated available</w:t>
      </w:r>
      <w:r w:rsidR="005D50DF" w:rsidRPr="000B2AB8">
        <w:rPr>
          <w:bCs/>
        </w:rPr>
        <w:t>.</w:t>
      </w:r>
      <w:r w:rsidR="002A7AAF" w:rsidRPr="000B2AB8">
        <w:rPr>
          <w:bCs/>
        </w:rPr>
        <w:t xml:space="preserve"> </w:t>
      </w:r>
      <w:r w:rsidR="00DA56A3" w:rsidRPr="000B2AB8">
        <w:rPr>
          <w:bCs/>
        </w:rPr>
        <w:t>F</w:t>
      </w:r>
      <w:r w:rsidR="006243B2" w:rsidRPr="000B2AB8">
        <w:rPr>
          <w:bCs/>
        </w:rPr>
        <w:t>ifteen</w:t>
      </w:r>
      <w:r w:rsidR="00FE77FA" w:rsidRPr="000B2AB8">
        <w:rPr>
          <w:bCs/>
        </w:rPr>
        <w:t xml:space="preserve"> </w:t>
      </w:r>
      <w:r w:rsidR="005B52FA" w:rsidRPr="000B2AB8">
        <w:rPr>
          <w:bCs/>
        </w:rPr>
        <w:t xml:space="preserve">of the </w:t>
      </w:r>
      <w:r w:rsidR="00956656" w:rsidRPr="000B2AB8">
        <w:rPr>
          <w:bCs/>
        </w:rPr>
        <w:t>3</w:t>
      </w:r>
      <w:r w:rsidR="000D60E9" w:rsidRPr="000B2AB8">
        <w:rPr>
          <w:bCs/>
        </w:rPr>
        <w:t>8</w:t>
      </w:r>
      <w:r w:rsidR="005B52FA" w:rsidRPr="000B2AB8">
        <w:rPr>
          <w:bCs/>
        </w:rPr>
        <w:t xml:space="preserve"> districts in the school’s region are at or near their respective </w:t>
      </w:r>
      <w:r w:rsidR="001402C9" w:rsidRPr="000B2AB8">
        <w:rPr>
          <w:bCs/>
        </w:rPr>
        <w:t xml:space="preserve">NSS caps </w:t>
      </w:r>
      <w:r w:rsidR="0059141D" w:rsidRPr="000B2AB8">
        <w:rPr>
          <w:bCs/>
        </w:rPr>
        <w:t>based on current enrollment</w:t>
      </w:r>
      <w:r w:rsidR="008F5C4F" w:rsidRPr="000B2AB8">
        <w:rPr>
          <w:bCs/>
        </w:rPr>
        <w:t>. This will</w:t>
      </w:r>
      <w:r w:rsidR="0059141D" w:rsidRPr="000B2AB8">
        <w:rPr>
          <w:bCs/>
        </w:rPr>
        <w:t xml:space="preserve"> limit any significant increase in student enrollment from </w:t>
      </w:r>
      <w:r w:rsidR="000B3223" w:rsidRPr="000B2AB8">
        <w:t>Chesterfield-Goshen, Conway, Deerfield, Hadley, Hampshire</w:t>
      </w:r>
      <w:r w:rsidR="00664190">
        <w:t xml:space="preserve"> (</w:t>
      </w:r>
      <w:r w:rsidR="0025750A">
        <w:t xml:space="preserve">grades </w:t>
      </w:r>
      <w:r w:rsidR="00AA3D1C">
        <w:t xml:space="preserve">7-12 for </w:t>
      </w:r>
      <w:r w:rsidR="00FF6D39">
        <w:t xml:space="preserve">residents of </w:t>
      </w:r>
      <w:r w:rsidR="00664190" w:rsidRPr="000B2AB8">
        <w:t>Chesterfield</w:t>
      </w:r>
      <w:r w:rsidR="00664190">
        <w:t xml:space="preserve">, </w:t>
      </w:r>
      <w:r w:rsidR="00664190" w:rsidRPr="000B2AB8">
        <w:t>Goshen,</w:t>
      </w:r>
      <w:r w:rsidR="00744E8B">
        <w:t xml:space="preserve"> Southampton,</w:t>
      </w:r>
      <w:r w:rsidR="00664190" w:rsidRPr="000B2AB8">
        <w:t xml:space="preserve"> Westhampton, and Williamsburg</w:t>
      </w:r>
      <w:r w:rsidR="00664190">
        <w:t>)</w:t>
      </w:r>
      <w:r w:rsidR="000B3223" w:rsidRPr="000B2AB8">
        <w:t>, Hatfield, Hawlemont</w:t>
      </w:r>
      <w:r w:rsidR="005E2A62">
        <w:t xml:space="preserve"> (Charlemont and Hawley)</w:t>
      </w:r>
      <w:r w:rsidR="000B3223" w:rsidRPr="000B2AB8">
        <w:t>, Leverett, Pelham, Shutesbury, Springfield, Sunderland, Westhampton, Whately, and Williamsburg</w:t>
      </w:r>
      <w:r w:rsidR="0059141D" w:rsidRPr="000B2AB8">
        <w:rPr>
          <w:bCs/>
        </w:rPr>
        <w:t xml:space="preserve">. </w:t>
      </w:r>
    </w:p>
    <w:p w14:paraId="5315925D" w14:textId="77777777" w:rsidR="00D0434B" w:rsidRPr="000B2AB8" w:rsidRDefault="00D0434B" w:rsidP="00D7280F">
      <w:pPr>
        <w:rPr>
          <w:b/>
        </w:rPr>
      </w:pPr>
    </w:p>
    <w:p w14:paraId="2DC7E74F" w14:textId="1F0D43ED" w:rsidR="00010A0E" w:rsidRPr="000B2AB8" w:rsidRDefault="00372178" w:rsidP="00D7280F">
      <w:pPr>
        <w:pStyle w:val="ListParagraph"/>
        <w:numPr>
          <w:ilvl w:val="0"/>
          <w:numId w:val="17"/>
        </w:numPr>
        <w:ind w:left="720"/>
        <w:rPr>
          <w:b/>
        </w:rPr>
      </w:pPr>
      <w:r w:rsidRPr="000B2AB8">
        <w:rPr>
          <w:bCs/>
        </w:rPr>
        <w:t xml:space="preserve">There are approximately </w:t>
      </w:r>
      <w:r w:rsidR="00B87460" w:rsidRPr="000B2AB8">
        <w:rPr>
          <w:bCs/>
        </w:rPr>
        <w:t>4,304</w:t>
      </w:r>
      <w:r w:rsidRPr="000B2AB8">
        <w:rPr>
          <w:bCs/>
        </w:rPr>
        <w:t xml:space="preserve"> seats estimated across </w:t>
      </w:r>
      <w:r w:rsidR="003679F2" w:rsidRPr="000B2AB8">
        <w:rPr>
          <w:bCs/>
        </w:rPr>
        <w:t>SSCPS</w:t>
      </w:r>
      <w:r w:rsidRPr="000B2AB8">
        <w:rPr>
          <w:bCs/>
        </w:rPr>
        <w:t xml:space="preserve">’s charter region, </w:t>
      </w:r>
      <w:r w:rsidR="008F5C4F" w:rsidRPr="000B2AB8">
        <w:rPr>
          <w:bCs/>
        </w:rPr>
        <w:t xml:space="preserve">with an </w:t>
      </w:r>
      <w:r w:rsidRPr="000B2AB8">
        <w:rPr>
          <w:bCs/>
        </w:rPr>
        <w:t>additional five percent buffer</w:t>
      </w:r>
      <w:r w:rsidR="00B87460" w:rsidRPr="000B2AB8">
        <w:rPr>
          <w:bCs/>
        </w:rPr>
        <w:t xml:space="preserve">, </w:t>
      </w:r>
      <w:r w:rsidR="008F5C4F" w:rsidRPr="000B2AB8">
        <w:rPr>
          <w:bCs/>
        </w:rPr>
        <w:t xml:space="preserve">that </w:t>
      </w:r>
      <w:r w:rsidR="00B87460" w:rsidRPr="000B2AB8">
        <w:rPr>
          <w:bCs/>
        </w:rPr>
        <w:t>can accommodate its proposed increase of 225 students.</w:t>
      </w:r>
      <w:r w:rsidRPr="000B2AB8">
        <w:rPr>
          <w:bCs/>
        </w:rPr>
        <w:t xml:space="preserve"> </w:t>
      </w:r>
      <w:r w:rsidR="00566E70" w:rsidRPr="000B2AB8">
        <w:rPr>
          <w:bCs/>
        </w:rPr>
        <w:t>Two</w:t>
      </w:r>
      <w:r w:rsidRPr="000B2AB8">
        <w:rPr>
          <w:bCs/>
        </w:rPr>
        <w:t xml:space="preserve"> of the </w:t>
      </w:r>
      <w:r w:rsidR="00294A2B" w:rsidRPr="000B2AB8">
        <w:rPr>
          <w:bCs/>
        </w:rPr>
        <w:t>23</w:t>
      </w:r>
      <w:r w:rsidRPr="000B2AB8">
        <w:rPr>
          <w:bCs/>
        </w:rPr>
        <w:t xml:space="preserve"> districts in the school’s region are at or near their respective NSS caps based on current enrollment</w:t>
      </w:r>
      <w:r w:rsidR="00B77C99" w:rsidRPr="000B2AB8">
        <w:rPr>
          <w:bCs/>
        </w:rPr>
        <w:t>. This will</w:t>
      </w:r>
      <w:r w:rsidRPr="000B2AB8">
        <w:rPr>
          <w:bCs/>
        </w:rPr>
        <w:t xml:space="preserve"> limit any significant increase in student enrollment from </w:t>
      </w:r>
      <w:r w:rsidR="00C33488" w:rsidRPr="000B2AB8">
        <w:rPr>
          <w:bCs/>
        </w:rPr>
        <w:t>Brockton and Randolph</w:t>
      </w:r>
      <w:r w:rsidRPr="000B2AB8">
        <w:rPr>
          <w:bCs/>
        </w:rPr>
        <w:t xml:space="preserve">. </w:t>
      </w:r>
    </w:p>
    <w:p w14:paraId="38CAACE1" w14:textId="77777777" w:rsidR="00372178" w:rsidRPr="000B2AB8" w:rsidRDefault="00372178" w:rsidP="00FC6A5E">
      <w:pPr>
        <w:keepNext/>
        <w:rPr>
          <w:rFonts w:cs="Calibri"/>
          <w:b/>
          <w:bCs/>
        </w:rPr>
      </w:pPr>
    </w:p>
    <w:p w14:paraId="35D4C20C" w14:textId="77777777" w:rsidR="00C87100" w:rsidRDefault="00C87100">
      <w:pPr>
        <w:rPr>
          <w:rFonts w:cs="Calibri"/>
          <w:b/>
          <w:bCs/>
        </w:rPr>
      </w:pPr>
      <w:r>
        <w:rPr>
          <w:rFonts w:cs="Calibri"/>
          <w:b/>
          <w:bCs/>
        </w:rPr>
        <w:br w:type="page"/>
      </w:r>
    </w:p>
    <w:p w14:paraId="382BB9E4" w14:textId="6123CF4E" w:rsidR="00FC6A5E" w:rsidRPr="000B2AB8" w:rsidRDefault="00D36BE4" w:rsidP="00AC4BE2">
      <w:pPr>
        <w:keepNext/>
        <w:keepLines/>
        <w:rPr>
          <w:rFonts w:cs="Calibri"/>
          <w:b/>
          <w:bCs/>
        </w:rPr>
      </w:pPr>
      <w:r w:rsidRPr="000B2AB8">
        <w:rPr>
          <w:rFonts w:cs="Calibri"/>
          <w:b/>
          <w:bCs/>
        </w:rPr>
        <w:t>School</w:t>
      </w:r>
      <w:r w:rsidR="00FC6A5E" w:rsidRPr="000B2AB8">
        <w:rPr>
          <w:rFonts w:cs="Calibri"/>
          <w:b/>
          <w:bCs/>
        </w:rPr>
        <w:t xml:space="preserve"> Amendments </w:t>
      </w:r>
      <w:r w:rsidR="005F3A1C" w:rsidRPr="000B2AB8">
        <w:rPr>
          <w:rFonts w:cs="Calibri"/>
          <w:b/>
          <w:bCs/>
        </w:rPr>
        <w:t xml:space="preserve">to </w:t>
      </w:r>
      <w:r w:rsidR="007E6B1B" w:rsidRPr="000B2AB8">
        <w:rPr>
          <w:rFonts w:cs="Calibri"/>
          <w:b/>
          <w:bCs/>
        </w:rPr>
        <w:t xml:space="preserve">Increase </w:t>
      </w:r>
      <w:r w:rsidR="005F3A1C" w:rsidRPr="000B2AB8">
        <w:rPr>
          <w:rFonts w:cs="Calibri"/>
          <w:b/>
          <w:bCs/>
        </w:rPr>
        <w:t>Maximum Enrollment</w:t>
      </w:r>
      <w:r w:rsidR="00FC6A5E" w:rsidRPr="000B2AB8">
        <w:rPr>
          <w:rFonts w:cs="Calibri"/>
          <w:b/>
          <w:bCs/>
        </w:rPr>
        <w:t xml:space="preserve"> </w:t>
      </w:r>
    </w:p>
    <w:p w14:paraId="12B53130" w14:textId="77777777" w:rsidR="00D977AC" w:rsidRPr="000B2AB8" w:rsidRDefault="00D977AC" w:rsidP="00AC4BE2">
      <w:pPr>
        <w:keepNext/>
        <w:keepLines/>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46"/>
        <w:gridCol w:w="2429"/>
        <w:gridCol w:w="2429"/>
        <w:gridCol w:w="2246"/>
      </w:tblGrid>
      <w:tr w:rsidR="00990794" w:rsidRPr="000B2AB8" w14:paraId="31615D12" w14:textId="77777777" w:rsidTr="00D05B02">
        <w:trPr>
          <w:trHeight w:val="435"/>
        </w:trPr>
        <w:tc>
          <w:tcPr>
            <w:tcW w:w="5000" w:type="pct"/>
            <w:gridSpan w:val="4"/>
            <w:shd w:val="clear" w:color="auto" w:fill="A6A6A6" w:themeFill="background1" w:themeFillShade="A6"/>
            <w:vAlign w:val="center"/>
            <w:hideMark/>
          </w:tcPr>
          <w:p w14:paraId="7C1E4C48" w14:textId="65893461" w:rsidR="00990794" w:rsidRPr="000B2AB8" w:rsidRDefault="009461E5" w:rsidP="00AC4BE2">
            <w:pPr>
              <w:keepNext/>
              <w:keepLines/>
              <w:ind w:left="165"/>
              <w:textAlignment w:val="baseline"/>
              <w:rPr>
                <w:rFonts w:eastAsia="Times New Roman" w:cs="Calibri"/>
                <w:b/>
                <w:bCs/>
                <w:sz w:val="32"/>
                <w:szCs w:val="32"/>
              </w:rPr>
            </w:pPr>
            <w:r w:rsidRPr="000B2AB8">
              <w:rPr>
                <w:rFonts w:eastAsia="Times New Roman" w:cs="Calibri"/>
                <w:b/>
                <w:bCs/>
                <w:sz w:val="32"/>
                <w:szCs w:val="32"/>
              </w:rPr>
              <w:t>Advanced Math and Science Academy Charter School</w:t>
            </w:r>
          </w:p>
        </w:tc>
      </w:tr>
      <w:tr w:rsidR="00990794" w:rsidRPr="000B2AB8" w14:paraId="0C42A362" w14:textId="77777777" w:rsidTr="00D05B02">
        <w:trPr>
          <w:trHeight w:val="494"/>
        </w:trPr>
        <w:tc>
          <w:tcPr>
            <w:tcW w:w="1201" w:type="pct"/>
            <w:shd w:val="clear" w:color="auto" w:fill="F2F2F2" w:themeFill="background1" w:themeFillShade="F2"/>
            <w:vAlign w:val="center"/>
            <w:hideMark/>
          </w:tcPr>
          <w:p w14:paraId="7F3C3934" w14:textId="77777777" w:rsidR="00990794" w:rsidRPr="000B2AB8" w:rsidRDefault="00990794" w:rsidP="00AC4BE2">
            <w:pPr>
              <w:keepNext/>
              <w:keepLines/>
              <w:ind w:left="75" w:firstLine="15"/>
              <w:textAlignment w:val="baseline"/>
              <w:rPr>
                <w:rFonts w:eastAsia="Times New Roman" w:cs="Times New Roman"/>
                <w:sz w:val="20"/>
                <w:szCs w:val="20"/>
              </w:rPr>
            </w:pPr>
            <w:r w:rsidRPr="000B2AB8">
              <w:rPr>
                <w:rFonts w:eastAsia="Times New Roman" w:cs="Calibri"/>
                <w:b/>
                <w:bCs/>
                <w:sz w:val="20"/>
                <w:szCs w:val="20"/>
              </w:rPr>
              <w:t>Type of Charter</w:t>
            </w:r>
          </w:p>
          <w:p w14:paraId="446B6C89" w14:textId="77777777" w:rsidR="00990794" w:rsidRPr="000B2AB8" w:rsidRDefault="00990794" w:rsidP="00AC4BE2">
            <w:pPr>
              <w:keepNext/>
              <w:keepLines/>
              <w:ind w:left="75" w:firstLine="15"/>
              <w:textAlignment w:val="baseline"/>
              <w:rPr>
                <w:rFonts w:eastAsia="Times New Roman" w:cs="Times New Roman"/>
                <w:sz w:val="20"/>
                <w:szCs w:val="20"/>
              </w:rPr>
            </w:pPr>
          </w:p>
        </w:tc>
        <w:tc>
          <w:tcPr>
            <w:tcW w:w="1299" w:type="pct"/>
            <w:shd w:val="clear" w:color="auto" w:fill="auto"/>
            <w:vAlign w:val="center"/>
            <w:hideMark/>
          </w:tcPr>
          <w:p w14:paraId="682FAC4B" w14:textId="69ED042A" w:rsidR="00990794" w:rsidRPr="000B2AB8" w:rsidRDefault="009461E5" w:rsidP="00AC4BE2">
            <w:pPr>
              <w:keepNext/>
              <w:keepLines/>
              <w:ind w:left="90" w:hanging="15"/>
              <w:textAlignment w:val="baseline"/>
              <w:rPr>
                <w:rFonts w:eastAsia="Times New Roman" w:cs="Times New Roman"/>
                <w:sz w:val="20"/>
                <w:szCs w:val="20"/>
              </w:rPr>
            </w:pPr>
            <w:r w:rsidRPr="000B2AB8">
              <w:rPr>
                <w:rFonts w:eastAsia="Times New Roman" w:cs="Calibri"/>
                <w:color w:val="000000"/>
                <w:sz w:val="20"/>
                <w:szCs w:val="20"/>
              </w:rPr>
              <w:t>Commonwealth</w:t>
            </w:r>
          </w:p>
          <w:p w14:paraId="07F1A200" w14:textId="77777777" w:rsidR="00990794" w:rsidRPr="000B2AB8" w:rsidRDefault="00990794" w:rsidP="00AC4BE2">
            <w:pPr>
              <w:keepNext/>
              <w:keepLines/>
              <w:ind w:left="90" w:hanging="15"/>
              <w:textAlignment w:val="baseline"/>
              <w:rPr>
                <w:rFonts w:eastAsia="Times New Roman" w:cs="Times New Roman"/>
                <w:sz w:val="20"/>
                <w:szCs w:val="20"/>
              </w:rPr>
            </w:pPr>
          </w:p>
        </w:tc>
        <w:tc>
          <w:tcPr>
            <w:tcW w:w="1299" w:type="pct"/>
            <w:shd w:val="clear" w:color="auto" w:fill="F2F2F2" w:themeFill="background1" w:themeFillShade="F2"/>
            <w:vAlign w:val="center"/>
            <w:hideMark/>
          </w:tcPr>
          <w:p w14:paraId="5BE08AED" w14:textId="77777777" w:rsidR="00990794" w:rsidRPr="000B2AB8" w:rsidRDefault="00990794" w:rsidP="00AC4BE2">
            <w:pPr>
              <w:keepNext/>
              <w:keepLines/>
              <w:ind w:left="90"/>
              <w:textAlignment w:val="baseline"/>
              <w:rPr>
                <w:rFonts w:eastAsia="Times New Roman" w:cs="Times New Roman"/>
                <w:sz w:val="20"/>
                <w:szCs w:val="20"/>
              </w:rPr>
            </w:pPr>
            <w:r w:rsidRPr="000B2AB8">
              <w:rPr>
                <w:rFonts w:eastAsia="Times New Roman" w:cs="Calibri"/>
                <w:b/>
                <w:bCs/>
                <w:sz w:val="20"/>
                <w:szCs w:val="20"/>
              </w:rPr>
              <w:t>Location</w:t>
            </w:r>
            <w:r w:rsidRPr="000B2AB8">
              <w:rPr>
                <w:rFonts w:ascii="Arial" w:eastAsia="Times New Roman" w:hAnsi="Arial" w:cs="Arial"/>
                <w:b/>
                <w:bCs/>
                <w:sz w:val="20"/>
                <w:szCs w:val="20"/>
              </w:rPr>
              <w:t> </w:t>
            </w:r>
            <w:r w:rsidRPr="000B2AB8">
              <w:rPr>
                <w:rFonts w:ascii="Arial" w:eastAsia="Times New Roman" w:hAnsi="Arial" w:cs="Arial"/>
                <w:sz w:val="20"/>
                <w:szCs w:val="20"/>
              </w:rPr>
              <w:t> </w:t>
            </w:r>
            <w:r w:rsidRPr="000B2AB8">
              <w:rPr>
                <w:rFonts w:eastAsia="Times New Roman" w:cs="Aptos"/>
                <w:sz w:val="20"/>
                <w:szCs w:val="20"/>
              </w:rPr>
              <w:t> </w:t>
            </w:r>
          </w:p>
        </w:tc>
        <w:tc>
          <w:tcPr>
            <w:tcW w:w="1201" w:type="pct"/>
            <w:shd w:val="clear" w:color="auto" w:fill="auto"/>
            <w:vAlign w:val="center"/>
            <w:hideMark/>
          </w:tcPr>
          <w:p w14:paraId="503E9763" w14:textId="52F84C76" w:rsidR="00990794" w:rsidRPr="000B2AB8" w:rsidRDefault="009D6683" w:rsidP="00AC4BE2">
            <w:pPr>
              <w:keepNext/>
              <w:keepLines/>
              <w:ind w:left="135"/>
              <w:textAlignment w:val="baseline"/>
              <w:rPr>
                <w:rFonts w:eastAsia="Times New Roman" w:cs="Times New Roman"/>
                <w:sz w:val="20"/>
                <w:szCs w:val="20"/>
              </w:rPr>
            </w:pPr>
            <w:r w:rsidRPr="000B2AB8">
              <w:rPr>
                <w:rFonts w:eastAsia="Times New Roman" w:cs="Times New Roman"/>
                <w:sz w:val="20"/>
                <w:szCs w:val="20"/>
              </w:rPr>
              <w:t>Marlborough</w:t>
            </w:r>
          </w:p>
        </w:tc>
      </w:tr>
      <w:tr w:rsidR="00C6683F" w:rsidRPr="000B2AB8" w14:paraId="620B17E0" w14:textId="77777777" w:rsidTr="00D05B02">
        <w:trPr>
          <w:trHeight w:val="360"/>
        </w:trPr>
        <w:tc>
          <w:tcPr>
            <w:tcW w:w="1201" w:type="pct"/>
            <w:shd w:val="clear" w:color="auto" w:fill="F2F2F2" w:themeFill="background1" w:themeFillShade="F2"/>
            <w:vAlign w:val="center"/>
          </w:tcPr>
          <w:p w14:paraId="5F2CE8DD" w14:textId="777A087C" w:rsidR="00C6683F" w:rsidRPr="000B2AB8" w:rsidRDefault="00C6683F" w:rsidP="00AC4BE2">
            <w:pPr>
              <w:keepNext/>
              <w:keepLines/>
              <w:ind w:left="75" w:firstLine="15"/>
              <w:textAlignment w:val="baseline"/>
              <w:rPr>
                <w:rFonts w:eastAsia="Times New Roman" w:cs="Calibri"/>
                <w:b/>
                <w:bCs/>
                <w:sz w:val="20"/>
                <w:szCs w:val="20"/>
              </w:rPr>
            </w:pPr>
            <w:r w:rsidRPr="000B2AB8">
              <w:rPr>
                <w:rFonts w:eastAsia="Times New Roman" w:cs="Calibri"/>
                <w:b/>
                <w:bCs/>
                <w:sz w:val="20"/>
                <w:szCs w:val="20"/>
              </w:rPr>
              <w:t>Regional or Non-Regional</w:t>
            </w:r>
          </w:p>
        </w:tc>
        <w:tc>
          <w:tcPr>
            <w:tcW w:w="1299" w:type="pct"/>
            <w:shd w:val="clear" w:color="auto" w:fill="auto"/>
            <w:vAlign w:val="center"/>
          </w:tcPr>
          <w:p w14:paraId="58EE61FE" w14:textId="2966889C" w:rsidR="00C6683F" w:rsidRPr="000B2AB8" w:rsidRDefault="00C6683F" w:rsidP="00AC4BE2">
            <w:pPr>
              <w:keepNext/>
              <w:keepLines/>
              <w:ind w:left="90" w:hanging="15"/>
              <w:textAlignment w:val="baseline"/>
              <w:rPr>
                <w:rFonts w:eastAsia="Times New Roman" w:cs="Calibri"/>
                <w:color w:val="000000"/>
                <w:sz w:val="20"/>
                <w:szCs w:val="20"/>
              </w:rPr>
            </w:pPr>
            <w:r w:rsidRPr="000B2AB8">
              <w:rPr>
                <w:rFonts w:eastAsia="Times New Roman" w:cs="Calibri"/>
                <w:color w:val="000000"/>
                <w:sz w:val="20"/>
                <w:szCs w:val="20"/>
              </w:rPr>
              <w:t>Regional</w:t>
            </w:r>
          </w:p>
        </w:tc>
        <w:tc>
          <w:tcPr>
            <w:tcW w:w="1299" w:type="pct"/>
            <w:shd w:val="clear" w:color="auto" w:fill="F2F2F2" w:themeFill="background1" w:themeFillShade="F2"/>
            <w:vAlign w:val="center"/>
          </w:tcPr>
          <w:p w14:paraId="4C3222D7" w14:textId="56D8CA11" w:rsidR="00C6683F" w:rsidRPr="000B2AB8" w:rsidRDefault="00D971D9" w:rsidP="00AC4BE2">
            <w:pPr>
              <w:keepNext/>
              <w:keepLines/>
              <w:ind w:left="90"/>
              <w:textAlignment w:val="baseline"/>
              <w:rPr>
                <w:rFonts w:eastAsia="Times New Roman" w:cs="Calibri"/>
                <w:b/>
                <w:bCs/>
                <w:sz w:val="20"/>
                <w:szCs w:val="20"/>
              </w:rPr>
            </w:pPr>
            <w:r w:rsidRPr="000B2AB8">
              <w:rPr>
                <w:rFonts w:eastAsia="Times New Roman" w:cs="Calibri"/>
                <w:b/>
                <w:bCs/>
                <w:sz w:val="20"/>
                <w:szCs w:val="20"/>
              </w:rPr>
              <w:t>Charter District</w:t>
            </w:r>
          </w:p>
        </w:tc>
        <w:tc>
          <w:tcPr>
            <w:tcW w:w="1201" w:type="pct"/>
            <w:shd w:val="clear" w:color="auto" w:fill="auto"/>
            <w:vAlign w:val="center"/>
          </w:tcPr>
          <w:p w14:paraId="3A6F7C94" w14:textId="13CB48A8" w:rsidR="00C6683F" w:rsidRPr="000B2AB8" w:rsidRDefault="00D971D9" w:rsidP="00AC4BE2">
            <w:pPr>
              <w:keepNext/>
              <w:keepLines/>
              <w:ind w:left="135"/>
              <w:textAlignment w:val="baseline"/>
              <w:rPr>
                <w:rFonts w:eastAsia="Times New Roman" w:cs="Calibri"/>
                <w:sz w:val="20"/>
                <w:szCs w:val="20"/>
              </w:rPr>
            </w:pPr>
            <w:r w:rsidRPr="000B2AB8">
              <w:rPr>
                <w:rFonts w:eastAsia="Times New Roman" w:cs="Calibri"/>
                <w:sz w:val="20"/>
                <w:szCs w:val="20"/>
              </w:rPr>
              <w:t>Clinton, Hudson, Marlborough, Maynard</w:t>
            </w:r>
          </w:p>
        </w:tc>
      </w:tr>
      <w:tr w:rsidR="00990794" w:rsidRPr="000B2AB8" w14:paraId="6C38C0C9" w14:textId="77777777" w:rsidTr="00D05B02">
        <w:trPr>
          <w:trHeight w:val="360"/>
        </w:trPr>
        <w:tc>
          <w:tcPr>
            <w:tcW w:w="1201" w:type="pct"/>
            <w:shd w:val="clear" w:color="auto" w:fill="F2F2F2" w:themeFill="background1" w:themeFillShade="F2"/>
            <w:vAlign w:val="center"/>
          </w:tcPr>
          <w:p w14:paraId="7382A816" w14:textId="77777777" w:rsidR="00990794" w:rsidRPr="000B2AB8" w:rsidRDefault="00990794" w:rsidP="00AC4BE2">
            <w:pPr>
              <w:keepNext/>
              <w:keepLines/>
              <w:ind w:left="75" w:firstLine="15"/>
              <w:textAlignment w:val="baseline"/>
              <w:rPr>
                <w:rFonts w:eastAsia="Times New Roman" w:cs="Calibri"/>
                <w:b/>
                <w:bCs/>
                <w:sz w:val="20"/>
                <w:szCs w:val="20"/>
              </w:rPr>
            </w:pPr>
            <w:r w:rsidRPr="000B2AB8">
              <w:rPr>
                <w:rFonts w:eastAsia="Times New Roman" w:cs="Calibri"/>
                <w:b/>
                <w:bCs/>
                <w:sz w:val="20"/>
                <w:szCs w:val="20"/>
              </w:rPr>
              <w:t>Year Opened</w:t>
            </w:r>
          </w:p>
        </w:tc>
        <w:tc>
          <w:tcPr>
            <w:tcW w:w="1299" w:type="pct"/>
            <w:shd w:val="clear" w:color="auto" w:fill="auto"/>
            <w:vAlign w:val="center"/>
          </w:tcPr>
          <w:p w14:paraId="76774AC0" w14:textId="51CC4DCF" w:rsidR="00990794" w:rsidRPr="000B2AB8" w:rsidRDefault="0042379F" w:rsidP="00AC4BE2">
            <w:pPr>
              <w:keepNext/>
              <w:keepLines/>
              <w:ind w:left="90" w:hanging="15"/>
              <w:textAlignment w:val="baseline"/>
              <w:rPr>
                <w:rFonts w:eastAsia="Times New Roman" w:cs="Calibri"/>
                <w:color w:val="000000"/>
                <w:sz w:val="20"/>
                <w:szCs w:val="20"/>
              </w:rPr>
            </w:pPr>
            <w:r w:rsidRPr="000B2AB8">
              <w:rPr>
                <w:rFonts w:eastAsia="Times New Roman" w:cs="Calibri"/>
                <w:color w:val="000000"/>
                <w:sz w:val="20"/>
                <w:szCs w:val="20"/>
              </w:rPr>
              <w:t>2005</w:t>
            </w:r>
          </w:p>
        </w:tc>
        <w:tc>
          <w:tcPr>
            <w:tcW w:w="1299" w:type="pct"/>
            <w:shd w:val="clear" w:color="auto" w:fill="F2F2F2" w:themeFill="background1" w:themeFillShade="F2"/>
            <w:vAlign w:val="center"/>
          </w:tcPr>
          <w:p w14:paraId="597BA434" w14:textId="77777777" w:rsidR="00990794" w:rsidRPr="000B2AB8" w:rsidRDefault="00990794" w:rsidP="00AC4BE2">
            <w:pPr>
              <w:keepNext/>
              <w:keepLines/>
              <w:ind w:left="90"/>
              <w:textAlignment w:val="baseline"/>
              <w:rPr>
                <w:rFonts w:eastAsia="Times New Roman" w:cs="Calibri"/>
                <w:b/>
                <w:bCs/>
                <w:sz w:val="20"/>
                <w:szCs w:val="20"/>
              </w:rPr>
            </w:pPr>
            <w:r w:rsidRPr="000B2AB8">
              <w:rPr>
                <w:rFonts w:eastAsia="Times New Roman" w:cs="Calibri"/>
                <w:b/>
                <w:bCs/>
                <w:sz w:val="20"/>
                <w:szCs w:val="20"/>
              </w:rPr>
              <w:t>Year(s) Renewed</w:t>
            </w:r>
          </w:p>
        </w:tc>
        <w:tc>
          <w:tcPr>
            <w:tcW w:w="1201" w:type="pct"/>
            <w:shd w:val="clear" w:color="auto" w:fill="auto"/>
            <w:vAlign w:val="center"/>
          </w:tcPr>
          <w:p w14:paraId="775753DA" w14:textId="67665227" w:rsidR="00990794" w:rsidRPr="000B2AB8" w:rsidRDefault="0042379F" w:rsidP="00AC4BE2">
            <w:pPr>
              <w:keepNext/>
              <w:keepLines/>
              <w:ind w:left="135"/>
              <w:textAlignment w:val="baseline"/>
              <w:rPr>
                <w:rFonts w:eastAsia="Times New Roman" w:cs="Times New Roman"/>
                <w:sz w:val="20"/>
                <w:szCs w:val="20"/>
              </w:rPr>
            </w:pPr>
            <w:r w:rsidRPr="000B2AB8">
              <w:rPr>
                <w:rFonts w:eastAsia="Times New Roman" w:cs="Calibri"/>
                <w:sz w:val="20"/>
                <w:szCs w:val="20"/>
              </w:rPr>
              <w:t>2010, 2015, 2020 </w:t>
            </w:r>
          </w:p>
        </w:tc>
      </w:tr>
      <w:tr w:rsidR="00990794" w:rsidRPr="000B2AB8" w14:paraId="3D404A5E" w14:textId="77777777" w:rsidTr="00D05B02">
        <w:trPr>
          <w:trHeight w:val="360"/>
        </w:trPr>
        <w:tc>
          <w:tcPr>
            <w:tcW w:w="1201" w:type="pct"/>
            <w:shd w:val="clear" w:color="auto" w:fill="F2F2F2" w:themeFill="background1" w:themeFillShade="F2"/>
            <w:vAlign w:val="center"/>
          </w:tcPr>
          <w:p w14:paraId="5848E31E" w14:textId="77777777" w:rsidR="00990794" w:rsidRPr="000B2AB8" w:rsidRDefault="00990794" w:rsidP="00AC4BE2">
            <w:pPr>
              <w:keepNext/>
              <w:keepLines/>
              <w:ind w:left="75" w:firstLine="15"/>
              <w:textAlignment w:val="baseline"/>
              <w:rPr>
                <w:rFonts w:eastAsia="Times New Roman" w:cs="Calibri"/>
                <w:b/>
                <w:bCs/>
                <w:sz w:val="20"/>
                <w:szCs w:val="20"/>
              </w:rPr>
            </w:pPr>
            <w:r w:rsidRPr="000B2AB8">
              <w:rPr>
                <w:rFonts w:eastAsia="Times New Roman" w:cs="Calibri"/>
                <w:b/>
                <w:bCs/>
                <w:sz w:val="20"/>
                <w:szCs w:val="20"/>
              </w:rPr>
              <w:t>Maximum Enrollment</w:t>
            </w:r>
            <w:r w:rsidRPr="000B2AB8">
              <w:rPr>
                <w:rFonts w:ascii="Arial" w:eastAsia="Times New Roman" w:hAnsi="Arial" w:cs="Arial"/>
                <w:sz w:val="20"/>
                <w:szCs w:val="20"/>
              </w:rPr>
              <w:t> </w:t>
            </w:r>
            <w:r w:rsidRPr="000B2AB8">
              <w:rPr>
                <w:rFonts w:eastAsia="Times New Roman" w:cs="Aptos"/>
                <w:sz w:val="20"/>
                <w:szCs w:val="20"/>
              </w:rPr>
              <w:t> </w:t>
            </w:r>
          </w:p>
        </w:tc>
        <w:tc>
          <w:tcPr>
            <w:tcW w:w="1299" w:type="pct"/>
            <w:shd w:val="clear" w:color="auto" w:fill="auto"/>
            <w:vAlign w:val="center"/>
          </w:tcPr>
          <w:p w14:paraId="7F3DD8BA" w14:textId="044FAB2D" w:rsidR="00990794" w:rsidRPr="000B2AB8" w:rsidRDefault="0042379F" w:rsidP="00AC4BE2">
            <w:pPr>
              <w:keepNext/>
              <w:keepLines/>
              <w:ind w:left="90" w:hanging="15"/>
              <w:textAlignment w:val="baseline"/>
              <w:rPr>
                <w:rFonts w:eastAsia="Times New Roman" w:cs="Calibri"/>
                <w:color w:val="000000"/>
                <w:sz w:val="20"/>
                <w:szCs w:val="20"/>
              </w:rPr>
            </w:pPr>
            <w:r w:rsidRPr="000B2AB8">
              <w:rPr>
                <w:rFonts w:eastAsia="Times New Roman" w:cs="Calibri"/>
                <w:color w:val="000000"/>
                <w:sz w:val="20"/>
                <w:szCs w:val="20"/>
              </w:rPr>
              <w:t>966</w:t>
            </w:r>
          </w:p>
        </w:tc>
        <w:tc>
          <w:tcPr>
            <w:tcW w:w="1299" w:type="pct"/>
            <w:shd w:val="clear" w:color="auto" w:fill="F2F2F2" w:themeFill="background1" w:themeFillShade="F2"/>
            <w:vAlign w:val="center"/>
          </w:tcPr>
          <w:p w14:paraId="02B047D1" w14:textId="77777777" w:rsidR="00990794" w:rsidRPr="000B2AB8" w:rsidRDefault="00990794" w:rsidP="00AC4BE2">
            <w:pPr>
              <w:keepNext/>
              <w:keepLines/>
              <w:ind w:left="90"/>
              <w:textAlignment w:val="baseline"/>
              <w:rPr>
                <w:rFonts w:eastAsia="Times New Roman" w:cs="Calibri"/>
                <w:b/>
                <w:bCs/>
                <w:sz w:val="20"/>
                <w:szCs w:val="20"/>
              </w:rPr>
            </w:pPr>
            <w:r w:rsidRPr="000B2AB8">
              <w:rPr>
                <w:rFonts w:eastAsia="Times New Roman" w:cs="Calibri"/>
                <w:b/>
                <w:bCs/>
                <w:sz w:val="20"/>
                <w:szCs w:val="20"/>
              </w:rPr>
              <w:t>Current Enrollment</w:t>
            </w:r>
          </w:p>
        </w:tc>
        <w:tc>
          <w:tcPr>
            <w:tcW w:w="1201" w:type="pct"/>
            <w:shd w:val="clear" w:color="auto" w:fill="auto"/>
            <w:vAlign w:val="center"/>
          </w:tcPr>
          <w:p w14:paraId="3FBFD44C" w14:textId="32131F3A" w:rsidR="00990794" w:rsidRPr="000B2AB8" w:rsidRDefault="0048325D" w:rsidP="00AC4BE2">
            <w:pPr>
              <w:keepNext/>
              <w:keepLines/>
              <w:ind w:left="135"/>
              <w:textAlignment w:val="baseline"/>
              <w:rPr>
                <w:rFonts w:eastAsia="Times New Roman" w:cs="Calibri"/>
                <w:sz w:val="20"/>
                <w:szCs w:val="20"/>
              </w:rPr>
            </w:pPr>
            <w:r w:rsidRPr="000B2AB8">
              <w:rPr>
                <w:rFonts w:eastAsia="Times New Roman" w:cs="Calibri"/>
                <w:color w:val="000000"/>
                <w:sz w:val="20"/>
                <w:szCs w:val="20"/>
              </w:rPr>
              <w:t>970</w:t>
            </w:r>
          </w:p>
        </w:tc>
      </w:tr>
      <w:tr w:rsidR="00990794" w:rsidRPr="000B2AB8" w14:paraId="0B7E609F" w14:textId="77777777" w:rsidTr="00D05B02">
        <w:trPr>
          <w:trHeight w:val="360"/>
        </w:trPr>
        <w:tc>
          <w:tcPr>
            <w:tcW w:w="1201" w:type="pct"/>
            <w:shd w:val="clear" w:color="auto" w:fill="F2F2F2" w:themeFill="background1" w:themeFillShade="F2"/>
            <w:vAlign w:val="center"/>
            <w:hideMark/>
          </w:tcPr>
          <w:p w14:paraId="6671D20F" w14:textId="77777777" w:rsidR="00990794" w:rsidRPr="000B2AB8" w:rsidRDefault="00990794" w:rsidP="00AC4BE2">
            <w:pPr>
              <w:keepNext/>
              <w:keepLines/>
              <w:ind w:left="75" w:firstLine="15"/>
              <w:textAlignment w:val="baseline"/>
              <w:rPr>
                <w:rFonts w:eastAsia="Times New Roman" w:cs="Times New Roman"/>
                <w:sz w:val="20"/>
                <w:szCs w:val="20"/>
              </w:rPr>
            </w:pPr>
            <w:r w:rsidRPr="000B2AB8">
              <w:rPr>
                <w:rFonts w:eastAsia="Times New Roman" w:cs="Calibri"/>
                <w:b/>
                <w:bCs/>
                <w:sz w:val="20"/>
                <w:szCs w:val="20"/>
              </w:rPr>
              <w:t>Chartered Grade Span</w:t>
            </w:r>
            <w:r w:rsidRPr="000B2AB8">
              <w:rPr>
                <w:rFonts w:ascii="Arial" w:eastAsia="Times New Roman" w:hAnsi="Arial" w:cs="Arial"/>
                <w:sz w:val="20"/>
                <w:szCs w:val="20"/>
              </w:rPr>
              <w:t> </w:t>
            </w:r>
            <w:r w:rsidRPr="000B2AB8">
              <w:rPr>
                <w:rFonts w:eastAsia="Times New Roman" w:cs="Aptos"/>
                <w:sz w:val="20"/>
                <w:szCs w:val="20"/>
              </w:rPr>
              <w:t> </w:t>
            </w:r>
          </w:p>
        </w:tc>
        <w:tc>
          <w:tcPr>
            <w:tcW w:w="1299" w:type="pct"/>
            <w:shd w:val="clear" w:color="auto" w:fill="auto"/>
            <w:vAlign w:val="center"/>
            <w:hideMark/>
          </w:tcPr>
          <w:p w14:paraId="37948874" w14:textId="1BD78B73" w:rsidR="00990794" w:rsidRPr="000B2AB8" w:rsidRDefault="0042379F" w:rsidP="00AC4BE2">
            <w:pPr>
              <w:keepNext/>
              <w:keepLines/>
              <w:ind w:left="90" w:hanging="15"/>
              <w:textAlignment w:val="baseline"/>
              <w:rPr>
                <w:rFonts w:eastAsia="Times New Roman" w:cs="Times New Roman"/>
                <w:sz w:val="20"/>
                <w:szCs w:val="20"/>
              </w:rPr>
            </w:pPr>
            <w:r w:rsidRPr="000B2AB8">
              <w:rPr>
                <w:rFonts w:eastAsia="Times New Roman" w:cs="Times New Roman"/>
                <w:sz w:val="20"/>
                <w:szCs w:val="20"/>
              </w:rPr>
              <w:t>6</w:t>
            </w:r>
            <w:r w:rsidR="00990794" w:rsidRPr="000B2AB8">
              <w:rPr>
                <w:rFonts w:eastAsia="Times New Roman" w:cs="Times New Roman"/>
                <w:sz w:val="20"/>
                <w:szCs w:val="20"/>
              </w:rPr>
              <w:t xml:space="preserve">-12 </w:t>
            </w:r>
          </w:p>
        </w:tc>
        <w:tc>
          <w:tcPr>
            <w:tcW w:w="1299" w:type="pct"/>
            <w:shd w:val="clear" w:color="auto" w:fill="F2F2F2" w:themeFill="background1" w:themeFillShade="F2"/>
            <w:vAlign w:val="center"/>
          </w:tcPr>
          <w:p w14:paraId="58439F68" w14:textId="77777777" w:rsidR="00990794" w:rsidRPr="000B2AB8" w:rsidRDefault="00990794" w:rsidP="00AC4BE2">
            <w:pPr>
              <w:keepNext/>
              <w:keepLines/>
              <w:ind w:left="90"/>
              <w:textAlignment w:val="baseline"/>
              <w:rPr>
                <w:rFonts w:eastAsia="Times New Roman" w:cs="Times New Roman"/>
                <w:sz w:val="20"/>
                <w:szCs w:val="20"/>
              </w:rPr>
            </w:pPr>
            <w:r w:rsidRPr="000B2AB8">
              <w:rPr>
                <w:rFonts w:eastAsia="Times New Roman" w:cs="Calibri"/>
                <w:b/>
                <w:bCs/>
                <w:sz w:val="20"/>
                <w:szCs w:val="20"/>
              </w:rPr>
              <w:t>Current Grade Span</w:t>
            </w:r>
          </w:p>
        </w:tc>
        <w:tc>
          <w:tcPr>
            <w:tcW w:w="1201" w:type="pct"/>
            <w:shd w:val="clear" w:color="auto" w:fill="auto"/>
            <w:vAlign w:val="center"/>
          </w:tcPr>
          <w:p w14:paraId="35474DBF" w14:textId="46643631" w:rsidR="00990794" w:rsidRPr="000B2AB8" w:rsidRDefault="0042379F" w:rsidP="00AC4BE2">
            <w:pPr>
              <w:keepNext/>
              <w:keepLines/>
              <w:ind w:left="135"/>
              <w:textAlignment w:val="baseline"/>
              <w:rPr>
                <w:rFonts w:eastAsia="Times New Roman" w:cs="Times New Roman"/>
                <w:sz w:val="20"/>
                <w:szCs w:val="20"/>
              </w:rPr>
            </w:pPr>
            <w:r w:rsidRPr="000B2AB8">
              <w:rPr>
                <w:rFonts w:eastAsia="Times New Roman" w:cs="Times New Roman"/>
                <w:sz w:val="20"/>
                <w:szCs w:val="20"/>
              </w:rPr>
              <w:t>6</w:t>
            </w:r>
            <w:r w:rsidR="00990794" w:rsidRPr="000B2AB8">
              <w:rPr>
                <w:rFonts w:eastAsia="Times New Roman" w:cs="Times New Roman"/>
                <w:sz w:val="20"/>
                <w:szCs w:val="20"/>
              </w:rPr>
              <w:t>-12</w:t>
            </w:r>
          </w:p>
        </w:tc>
      </w:tr>
      <w:tr w:rsidR="00990794" w:rsidRPr="000B2AB8" w14:paraId="44DAE1B0" w14:textId="77777777" w:rsidTr="00D05B02">
        <w:trPr>
          <w:trHeight w:val="360"/>
        </w:trPr>
        <w:tc>
          <w:tcPr>
            <w:tcW w:w="1201" w:type="pct"/>
            <w:shd w:val="clear" w:color="auto" w:fill="F2F2F2" w:themeFill="background1" w:themeFillShade="F2"/>
            <w:vAlign w:val="center"/>
          </w:tcPr>
          <w:p w14:paraId="0A4D6B23" w14:textId="77777777" w:rsidR="00990794" w:rsidRPr="000B2AB8" w:rsidRDefault="00990794" w:rsidP="00AC4BE2">
            <w:pPr>
              <w:keepNext/>
              <w:keepLines/>
              <w:ind w:left="75"/>
              <w:textAlignment w:val="baseline"/>
              <w:rPr>
                <w:rFonts w:eastAsia="Times New Roman" w:cs="Calibri"/>
                <w:b/>
                <w:bCs/>
                <w:sz w:val="20"/>
                <w:szCs w:val="20"/>
              </w:rPr>
            </w:pPr>
            <w:r w:rsidRPr="000B2AB8">
              <w:rPr>
                <w:rFonts w:eastAsia="Times New Roman" w:cs="Calibri"/>
                <w:b/>
                <w:bCs/>
                <w:sz w:val="20"/>
                <w:szCs w:val="20"/>
              </w:rPr>
              <w:t>Students on Waitlist</w:t>
            </w:r>
            <w:r w:rsidRPr="000B2AB8">
              <w:rPr>
                <w:rFonts w:ascii="Arial" w:eastAsia="Times New Roman" w:hAnsi="Arial" w:cs="Arial"/>
                <w:sz w:val="20"/>
                <w:szCs w:val="20"/>
              </w:rPr>
              <w:t> </w:t>
            </w:r>
            <w:r w:rsidRPr="000B2AB8">
              <w:rPr>
                <w:rFonts w:eastAsia="Times New Roman" w:cs="Aptos"/>
                <w:sz w:val="20"/>
                <w:szCs w:val="20"/>
              </w:rPr>
              <w:t> </w:t>
            </w:r>
          </w:p>
        </w:tc>
        <w:tc>
          <w:tcPr>
            <w:tcW w:w="1299" w:type="pct"/>
            <w:shd w:val="clear" w:color="auto" w:fill="auto"/>
            <w:vAlign w:val="center"/>
          </w:tcPr>
          <w:p w14:paraId="5713DA1B" w14:textId="74241F0D" w:rsidR="00990794" w:rsidRPr="000B2AB8" w:rsidRDefault="00990794" w:rsidP="00AC4BE2">
            <w:pPr>
              <w:keepNext/>
              <w:keepLines/>
              <w:ind w:left="90"/>
              <w:textAlignment w:val="baseline"/>
              <w:rPr>
                <w:rFonts w:eastAsia="Times New Roman" w:cs="Calibri"/>
                <w:color w:val="000000"/>
                <w:sz w:val="20"/>
                <w:szCs w:val="20"/>
              </w:rPr>
            </w:pPr>
            <w:r w:rsidRPr="000B2AB8">
              <w:rPr>
                <w:rFonts w:eastAsia="Times New Roman" w:cs="Calibri"/>
                <w:color w:val="000000"/>
                <w:sz w:val="20"/>
                <w:szCs w:val="20"/>
              </w:rPr>
              <w:t xml:space="preserve">FY25 Initial: </w:t>
            </w:r>
            <w:r w:rsidR="0042379F" w:rsidRPr="000B2AB8">
              <w:rPr>
                <w:rFonts w:eastAsia="Times New Roman" w:cs="Calibri"/>
                <w:color w:val="000000"/>
                <w:sz w:val="20"/>
                <w:szCs w:val="20"/>
              </w:rPr>
              <w:t>791</w:t>
            </w:r>
            <w:r w:rsidRPr="000B2AB8">
              <w:rPr>
                <w:rFonts w:eastAsia="Times New Roman" w:cs="Calibri"/>
                <w:color w:val="000000"/>
                <w:sz w:val="20"/>
                <w:szCs w:val="20"/>
              </w:rPr>
              <w:t xml:space="preserve">   </w:t>
            </w:r>
            <w:r w:rsidRPr="000B2AB8">
              <w:rPr>
                <w:rFonts w:eastAsia="Times New Roman" w:cs="Calibri"/>
                <w:color w:val="000000"/>
                <w:sz w:val="20"/>
                <w:szCs w:val="20"/>
              </w:rPr>
              <w:br/>
            </w:r>
            <w:r w:rsidRPr="006C4071">
              <w:rPr>
                <w:rFonts w:eastAsia="Times New Roman" w:cs="Calibri"/>
                <w:color w:val="000000"/>
                <w:sz w:val="20"/>
                <w:szCs w:val="20"/>
              </w:rPr>
              <w:t xml:space="preserve">FY25 Update: </w:t>
            </w:r>
            <w:r w:rsidR="00C00117" w:rsidRPr="006C4071">
              <w:rPr>
                <w:rFonts w:eastAsia="Times New Roman" w:cs="Calibri"/>
                <w:color w:val="000000"/>
                <w:sz w:val="20"/>
                <w:szCs w:val="20"/>
              </w:rPr>
              <w:t>740</w:t>
            </w:r>
          </w:p>
        </w:tc>
        <w:tc>
          <w:tcPr>
            <w:tcW w:w="1299" w:type="pct"/>
            <w:shd w:val="clear" w:color="auto" w:fill="F2F2F2" w:themeFill="background1" w:themeFillShade="F2"/>
            <w:vAlign w:val="center"/>
          </w:tcPr>
          <w:p w14:paraId="2FA32716" w14:textId="77777777" w:rsidR="00990794" w:rsidRPr="000B2AB8" w:rsidRDefault="00990794" w:rsidP="00AC4BE2">
            <w:pPr>
              <w:keepNext/>
              <w:keepLines/>
              <w:ind w:left="90"/>
              <w:textAlignment w:val="baseline"/>
              <w:rPr>
                <w:rFonts w:eastAsia="Times New Roman" w:cs="Calibri"/>
                <w:b/>
                <w:bCs/>
                <w:sz w:val="20"/>
                <w:szCs w:val="20"/>
              </w:rPr>
            </w:pPr>
            <w:r w:rsidRPr="000B2AB8">
              <w:rPr>
                <w:rFonts w:eastAsia="Times New Roman" w:cs="Calibri"/>
                <w:b/>
                <w:bCs/>
                <w:sz w:val="20"/>
                <w:szCs w:val="20"/>
              </w:rPr>
              <w:t>Current Age of School</w:t>
            </w:r>
          </w:p>
        </w:tc>
        <w:tc>
          <w:tcPr>
            <w:tcW w:w="1201" w:type="pct"/>
            <w:shd w:val="clear" w:color="auto" w:fill="auto"/>
            <w:vAlign w:val="center"/>
          </w:tcPr>
          <w:p w14:paraId="211F3256" w14:textId="72378A39" w:rsidR="00990794" w:rsidRPr="000B2AB8" w:rsidRDefault="00990794" w:rsidP="00AC4BE2">
            <w:pPr>
              <w:keepNext/>
              <w:keepLines/>
              <w:ind w:left="135"/>
              <w:textAlignment w:val="baseline"/>
              <w:rPr>
                <w:rFonts w:eastAsia="Times New Roman" w:cs="Calibri"/>
                <w:sz w:val="20"/>
                <w:szCs w:val="20"/>
              </w:rPr>
            </w:pPr>
            <w:r w:rsidRPr="000B2AB8">
              <w:rPr>
                <w:rFonts w:eastAsia="Times New Roman" w:cs="Calibri"/>
                <w:color w:val="000000"/>
                <w:sz w:val="20"/>
                <w:szCs w:val="20"/>
              </w:rPr>
              <w:t>2</w:t>
            </w:r>
            <w:r w:rsidR="0042379F" w:rsidRPr="000B2AB8">
              <w:rPr>
                <w:rFonts w:eastAsia="Times New Roman" w:cs="Calibri"/>
                <w:color w:val="000000"/>
                <w:sz w:val="20"/>
                <w:szCs w:val="20"/>
              </w:rPr>
              <w:t>0</w:t>
            </w:r>
            <w:r w:rsidRPr="000B2AB8">
              <w:rPr>
                <w:rFonts w:eastAsia="Times New Roman" w:cs="Calibri"/>
                <w:color w:val="000000"/>
                <w:sz w:val="20"/>
                <w:szCs w:val="20"/>
              </w:rPr>
              <w:t xml:space="preserve"> years</w:t>
            </w:r>
          </w:p>
        </w:tc>
      </w:tr>
      <w:tr w:rsidR="00990794" w:rsidRPr="000B2AB8" w14:paraId="502BB53C" w14:textId="77777777" w:rsidTr="00D05B02">
        <w:trPr>
          <w:trHeight w:val="1070"/>
        </w:trPr>
        <w:tc>
          <w:tcPr>
            <w:tcW w:w="5000" w:type="pct"/>
            <w:gridSpan w:val="4"/>
            <w:shd w:val="clear" w:color="auto" w:fill="F2F2F2" w:themeFill="background1" w:themeFillShade="F2"/>
            <w:vAlign w:val="center"/>
          </w:tcPr>
          <w:p w14:paraId="1C10EB9D" w14:textId="5DC91050" w:rsidR="00990794" w:rsidRPr="000B2AB8" w:rsidRDefault="00990794" w:rsidP="00AC4BE2">
            <w:pPr>
              <w:keepNext/>
              <w:keepLines/>
              <w:ind w:left="75"/>
              <w:textAlignment w:val="baseline"/>
              <w:rPr>
                <w:rFonts w:eastAsia="Times New Roman" w:cs="Calibri"/>
                <w:color w:val="000000"/>
                <w:sz w:val="20"/>
                <w:szCs w:val="20"/>
              </w:rPr>
            </w:pPr>
            <w:r w:rsidRPr="000B2AB8">
              <w:rPr>
                <w:rFonts w:eastAsia="Times New Roman" w:cs="Calibri"/>
                <w:b/>
                <w:bCs/>
                <w:sz w:val="20"/>
                <w:szCs w:val="20"/>
              </w:rPr>
              <w:t>Mission Statement:</w:t>
            </w:r>
            <w:r w:rsidRPr="000B2AB8">
              <w:rPr>
                <w:rFonts w:eastAsia="Times New Roman" w:cs="Calibri"/>
                <w:sz w:val="20"/>
                <w:szCs w:val="20"/>
              </w:rPr>
              <w:t> </w:t>
            </w:r>
            <w:r w:rsidR="00E65A70" w:rsidRPr="000B2AB8">
              <w:rPr>
                <w:rFonts w:eastAsia="Times New Roman" w:cs="Calibri"/>
                <w:sz w:val="20"/>
                <w:szCs w:val="20"/>
              </w:rPr>
              <w:t xml:space="preserve">The Advanced Math and Science Academy Charter School will create an atmosphere </w:t>
            </w:r>
            <w:r w:rsidR="007F7F9C">
              <w:rPr>
                <w:rFonts w:eastAsia="Times New Roman" w:cs="Calibri"/>
                <w:sz w:val="20"/>
                <w:szCs w:val="20"/>
              </w:rPr>
              <w:br/>
            </w:r>
            <w:r w:rsidR="00E65A70" w:rsidRPr="000B2AB8">
              <w:rPr>
                <w:rFonts w:eastAsia="Times New Roman" w:cs="Calibri"/>
                <w:sz w:val="20"/>
                <w:szCs w:val="20"/>
              </w:rPr>
              <w:t>of celebration of knowledge where children of all backgrounds and abilities excel in all subjects, especially in math, science, and technology, empowering them to succeed in the workplace of our modern high-tech world.</w:t>
            </w:r>
          </w:p>
        </w:tc>
      </w:tr>
    </w:tbl>
    <w:p w14:paraId="24BA6726" w14:textId="77777777" w:rsidR="00231999" w:rsidRPr="000B2AB8" w:rsidRDefault="00231999" w:rsidP="005819B0">
      <w:pPr>
        <w:rPr>
          <w:rFonts w:cs="Calibri"/>
        </w:rPr>
      </w:pPr>
    </w:p>
    <w:p w14:paraId="7BE1CC87" w14:textId="5A372931" w:rsidR="00231999" w:rsidRPr="000B2AB8" w:rsidRDefault="00E65A70" w:rsidP="00D7280F">
      <w:pPr>
        <w:keepNext/>
        <w:keepLines/>
        <w:rPr>
          <w:rFonts w:cs="Calibri"/>
          <w:b/>
          <w:bCs/>
        </w:rPr>
      </w:pPr>
      <w:r w:rsidRPr="000B2AB8">
        <w:rPr>
          <w:rFonts w:cs="Calibri"/>
        </w:rPr>
        <w:tab/>
      </w:r>
      <w:r w:rsidRPr="000B2AB8">
        <w:rPr>
          <w:rFonts w:cs="Calibri"/>
          <w:b/>
          <w:bCs/>
        </w:rPr>
        <w:t>Request</w:t>
      </w:r>
      <w:r w:rsidR="00515953" w:rsidRPr="000B2AB8">
        <w:rPr>
          <w:rFonts w:cs="Calibri"/>
          <w:b/>
          <w:bCs/>
        </w:rPr>
        <w:t xml:space="preserve"> </w:t>
      </w:r>
      <w:r w:rsidRPr="000B2AB8">
        <w:rPr>
          <w:rFonts w:cs="Calibri"/>
          <w:b/>
          <w:bCs/>
        </w:rPr>
        <w:t xml:space="preserve">and </w:t>
      </w:r>
      <w:r w:rsidR="00996822" w:rsidRPr="000B2AB8">
        <w:rPr>
          <w:rFonts w:cs="Calibri"/>
          <w:b/>
          <w:bCs/>
        </w:rPr>
        <w:t xml:space="preserve">Plan for </w:t>
      </w:r>
      <w:r w:rsidRPr="000B2AB8">
        <w:rPr>
          <w:rFonts w:cs="Calibri"/>
          <w:b/>
          <w:bCs/>
        </w:rPr>
        <w:t>Implementation</w:t>
      </w:r>
    </w:p>
    <w:p w14:paraId="37A70059" w14:textId="77777777" w:rsidR="00996822" w:rsidRPr="000B2AB8" w:rsidRDefault="00996822" w:rsidP="00D7280F">
      <w:pPr>
        <w:keepNext/>
        <w:keepLines/>
        <w:rPr>
          <w:rFonts w:cs="Calibri"/>
        </w:rPr>
      </w:pPr>
    </w:p>
    <w:p w14:paraId="6D5D8705" w14:textId="67CEA405" w:rsidR="008448D4" w:rsidRPr="000B2AB8" w:rsidRDefault="00A83E06" w:rsidP="008448D4">
      <w:pPr>
        <w:rPr>
          <w:rFonts w:cs="Calibri"/>
        </w:rPr>
      </w:pPr>
      <w:r w:rsidRPr="000B2AB8">
        <w:rPr>
          <w:rFonts w:cs="Calibri"/>
        </w:rPr>
        <w:t xml:space="preserve">The board of trustees of AMSA </w:t>
      </w:r>
      <w:r w:rsidR="00CD6E4A" w:rsidRPr="000B2AB8">
        <w:rPr>
          <w:rFonts w:cs="Calibri"/>
        </w:rPr>
        <w:t xml:space="preserve">requests approval of an amendment </w:t>
      </w:r>
      <w:r w:rsidRPr="000B2AB8">
        <w:rPr>
          <w:rFonts w:cs="Calibri"/>
        </w:rPr>
        <w:t xml:space="preserve">to increase </w:t>
      </w:r>
      <w:r w:rsidR="00CD6E4A" w:rsidRPr="000B2AB8">
        <w:rPr>
          <w:rFonts w:cs="Calibri"/>
        </w:rPr>
        <w:t xml:space="preserve">its maximum </w:t>
      </w:r>
      <w:r w:rsidRPr="000B2AB8">
        <w:rPr>
          <w:rFonts w:cs="Calibri"/>
        </w:rPr>
        <w:t>enrollment by 34 students</w:t>
      </w:r>
      <w:r w:rsidR="00A270E5" w:rsidRPr="000B2AB8">
        <w:rPr>
          <w:rFonts w:cs="Calibri"/>
        </w:rPr>
        <w:t xml:space="preserve"> to reach a maximum enrollment of 1,000 students in grades 6-</w:t>
      </w:r>
      <w:r w:rsidR="00587AA9" w:rsidRPr="000B2AB8">
        <w:rPr>
          <w:rFonts w:cs="Calibri"/>
        </w:rPr>
        <w:t xml:space="preserve">12. </w:t>
      </w:r>
      <w:r w:rsidR="00AF3AFE" w:rsidRPr="000B2AB8">
        <w:rPr>
          <w:rFonts w:ascii="Segoe UI" w:hAnsi="Segoe UI" w:cs="Segoe UI"/>
          <w:sz w:val="18"/>
          <w:szCs w:val="18"/>
        </w:rPr>
        <w:t xml:space="preserve"> </w:t>
      </w:r>
      <w:r w:rsidR="00AF3AFE" w:rsidRPr="000B2AB8">
        <w:rPr>
          <w:rFonts w:cs="Calibri"/>
        </w:rPr>
        <w:t xml:space="preserve">A copy of the school’s request is attached. </w:t>
      </w:r>
      <w:r w:rsidR="00243441" w:rsidRPr="000B2AB8">
        <w:rPr>
          <w:rFonts w:cs="Calibri"/>
        </w:rPr>
        <w:t xml:space="preserve">The </w:t>
      </w:r>
      <w:r w:rsidR="00D56EF2" w:rsidRPr="000B2AB8">
        <w:rPr>
          <w:rFonts w:cs="Calibri"/>
        </w:rPr>
        <w:t>school</w:t>
      </w:r>
      <w:r w:rsidR="00243441" w:rsidRPr="000B2AB8">
        <w:rPr>
          <w:rFonts w:cs="Calibri"/>
        </w:rPr>
        <w:t xml:space="preserve"> </w:t>
      </w:r>
      <w:r w:rsidR="00DA2040" w:rsidRPr="000B2AB8">
        <w:rPr>
          <w:rFonts w:cs="Calibri"/>
        </w:rPr>
        <w:t>successfully implemented</w:t>
      </w:r>
      <w:r w:rsidR="00243441" w:rsidRPr="000B2AB8">
        <w:rPr>
          <w:rFonts w:cs="Calibri"/>
        </w:rPr>
        <w:t xml:space="preserve"> </w:t>
      </w:r>
      <w:r w:rsidR="00DA2040" w:rsidRPr="000B2AB8">
        <w:rPr>
          <w:rFonts w:cs="Calibri"/>
        </w:rPr>
        <w:t xml:space="preserve">a previous </w:t>
      </w:r>
      <w:r w:rsidR="00E7153E" w:rsidRPr="000B2AB8">
        <w:t xml:space="preserve">increase </w:t>
      </w:r>
      <w:r w:rsidR="00B94F9F" w:rsidRPr="000B2AB8">
        <w:t>in</w:t>
      </w:r>
      <w:r w:rsidR="00E7153E" w:rsidRPr="000B2AB8">
        <w:t xml:space="preserve"> maximum enrollment from 828 to 966 students</w:t>
      </w:r>
      <w:r w:rsidR="00DA2040" w:rsidRPr="000B2AB8">
        <w:t xml:space="preserve"> </w:t>
      </w:r>
      <w:r w:rsidR="00D821FD" w:rsidRPr="000B2AB8">
        <w:t xml:space="preserve">that the Board </w:t>
      </w:r>
      <w:r w:rsidR="00DA2040" w:rsidRPr="000B2AB8">
        <w:t xml:space="preserve">granted in </w:t>
      </w:r>
      <w:r w:rsidR="00DA2040" w:rsidRPr="000B2AB8">
        <w:rPr>
          <w:rFonts w:cs="Calibri"/>
        </w:rPr>
        <w:t>February 2010</w:t>
      </w:r>
      <w:r w:rsidR="00E7153E" w:rsidRPr="000B2AB8">
        <w:rPr>
          <w:rFonts w:cs="Calibri"/>
        </w:rPr>
        <w:t xml:space="preserve">. </w:t>
      </w:r>
      <w:r w:rsidR="00587AA9" w:rsidRPr="000B2AB8">
        <w:rPr>
          <w:rFonts w:cs="Calibri"/>
        </w:rPr>
        <w:t>The school</w:t>
      </w:r>
      <w:r w:rsidR="008F41CE" w:rsidRPr="000B2AB8">
        <w:rPr>
          <w:rFonts w:cs="Calibri"/>
        </w:rPr>
        <w:t>’s current facilities in Marlborough will accommodate the increased enrollment.</w:t>
      </w:r>
      <w:r w:rsidR="008448D4" w:rsidRPr="000B2AB8">
        <w:rPr>
          <w:rFonts w:cs="Calibri"/>
        </w:rPr>
        <w:t xml:space="preserve"> AMSA reports that approval of its request would support the school's efforts to meet enrollment demand within its region </w:t>
      </w:r>
      <w:r w:rsidR="005072CC" w:rsidRPr="000B2AB8">
        <w:rPr>
          <w:rFonts w:cs="Calibri"/>
        </w:rPr>
        <w:t>and</w:t>
      </w:r>
      <w:r w:rsidR="008448D4" w:rsidRPr="000B2AB8">
        <w:rPr>
          <w:rFonts w:cs="Calibri"/>
        </w:rPr>
        <w:t xml:space="preserve"> expand access.</w:t>
      </w:r>
      <w:r w:rsidR="005A0187" w:rsidRPr="000B2AB8">
        <w:rPr>
          <w:rFonts w:cs="Calibri"/>
        </w:rPr>
        <w:t xml:space="preserve"> </w:t>
      </w:r>
      <w:r w:rsidR="002C0D70" w:rsidRPr="000B2AB8">
        <w:rPr>
          <w:rFonts w:cs="Calibri"/>
        </w:rPr>
        <w:t>The school reported that m</w:t>
      </w:r>
      <w:r w:rsidR="004C4579" w:rsidRPr="000B2AB8">
        <w:rPr>
          <w:rFonts w:cs="Calibri"/>
        </w:rPr>
        <w:t xml:space="preserve">inimal changes would be required to accommodate </w:t>
      </w:r>
      <w:r w:rsidR="00EB7547" w:rsidRPr="000B2AB8">
        <w:rPr>
          <w:rFonts w:cs="Calibri"/>
        </w:rPr>
        <w:t xml:space="preserve">an </w:t>
      </w:r>
      <w:r w:rsidR="004C4579" w:rsidRPr="000B2AB8">
        <w:rPr>
          <w:rFonts w:cs="Calibri"/>
        </w:rPr>
        <w:t xml:space="preserve">additional </w:t>
      </w:r>
      <w:r w:rsidR="00EB7547" w:rsidRPr="000B2AB8">
        <w:rPr>
          <w:rFonts w:cs="Calibri"/>
        </w:rPr>
        <w:t>34 students</w:t>
      </w:r>
      <w:r w:rsidR="000335E3" w:rsidRPr="000B2AB8">
        <w:rPr>
          <w:rFonts w:cs="Calibri"/>
        </w:rPr>
        <w:t xml:space="preserve">; the school plans to hire staff </w:t>
      </w:r>
      <w:r w:rsidR="002C0D70" w:rsidRPr="000B2AB8">
        <w:rPr>
          <w:rFonts w:cs="Calibri"/>
        </w:rPr>
        <w:t>for the lower school and may make staffing adjustments, as needed</w:t>
      </w:r>
      <w:r w:rsidR="00844077" w:rsidRPr="000B2AB8">
        <w:rPr>
          <w:rFonts w:cs="Calibri"/>
        </w:rPr>
        <w:t>, based upon student need</w:t>
      </w:r>
      <w:r w:rsidR="00327ADF" w:rsidRPr="000B2AB8">
        <w:rPr>
          <w:rFonts w:cs="Calibri"/>
        </w:rPr>
        <w:t>s</w:t>
      </w:r>
      <w:r w:rsidR="002C0D70" w:rsidRPr="000B2AB8">
        <w:rPr>
          <w:rFonts w:cs="Calibri"/>
        </w:rPr>
        <w:t>.</w:t>
      </w:r>
      <w:r w:rsidR="00590903" w:rsidRPr="000B2AB8">
        <w:rPr>
          <w:rStyle w:val="FootnoteReference"/>
          <w:rFonts w:cs="Calibri"/>
        </w:rPr>
        <w:footnoteReference w:id="17"/>
      </w:r>
    </w:p>
    <w:p w14:paraId="42DF9906" w14:textId="77777777" w:rsidR="00D4145F" w:rsidRPr="000B2AB8" w:rsidRDefault="00D4145F" w:rsidP="005819B0">
      <w:pPr>
        <w:rPr>
          <w:rFonts w:cs="Calibri"/>
        </w:rPr>
      </w:pPr>
    </w:p>
    <w:p w14:paraId="13BB29BC" w14:textId="6FA1A0EB" w:rsidR="00E16D68" w:rsidRPr="000B2AB8" w:rsidRDefault="00E16D68" w:rsidP="00E16D68">
      <w:pPr>
        <w:rPr>
          <w:rFonts w:cs="Calibri"/>
        </w:rPr>
      </w:pPr>
      <w:r w:rsidRPr="000B2AB8">
        <w:rPr>
          <w:rFonts w:cs="Calibri"/>
        </w:rPr>
        <w:t xml:space="preserve">AMSA seeks to increase its maximum enrollment over a </w:t>
      </w:r>
      <w:r w:rsidR="00D8144E" w:rsidRPr="000B2AB8">
        <w:rPr>
          <w:rFonts w:cs="Calibri"/>
        </w:rPr>
        <w:t>two</w:t>
      </w:r>
      <w:r w:rsidRPr="000B2AB8">
        <w:rPr>
          <w:rFonts w:cs="Calibri"/>
        </w:rPr>
        <w:t>-year period beginning fall</w:t>
      </w:r>
      <w:r w:rsidR="00A00040" w:rsidRPr="000B2AB8">
        <w:rPr>
          <w:rFonts w:cs="Calibri"/>
        </w:rPr>
        <w:t xml:space="preserve"> 2025</w:t>
      </w:r>
      <w:r w:rsidRPr="000B2AB8">
        <w:rPr>
          <w:rFonts w:cs="Calibri"/>
        </w:rPr>
        <w:t xml:space="preserve">. The school's waitlist demonstrates demand at all grade levels </w:t>
      </w:r>
      <w:r w:rsidR="00C17565" w:rsidRPr="000B2AB8">
        <w:rPr>
          <w:rFonts w:cs="Calibri"/>
        </w:rPr>
        <w:t xml:space="preserve">and </w:t>
      </w:r>
      <w:r w:rsidRPr="000B2AB8">
        <w:rPr>
          <w:rFonts w:cs="Calibri"/>
        </w:rPr>
        <w:t xml:space="preserve">supports the proposed increase. The </w:t>
      </w:r>
      <w:r w:rsidR="00DB5A9F">
        <w:rPr>
          <w:rFonts w:cs="Calibri"/>
        </w:rPr>
        <w:t>school</w:t>
      </w:r>
      <w:r w:rsidRPr="000B2AB8">
        <w:rPr>
          <w:rFonts w:cs="Calibri"/>
        </w:rPr>
        <w:t xml:space="preserve"> reported</w:t>
      </w:r>
      <w:r w:rsidR="00DB5A9F">
        <w:rPr>
          <w:rFonts w:cs="Calibri"/>
        </w:rPr>
        <w:t xml:space="preserve"> </w:t>
      </w:r>
      <w:r w:rsidR="00DB5A9F" w:rsidRPr="000B2AB8">
        <w:rPr>
          <w:rFonts w:cs="Calibri"/>
        </w:rPr>
        <w:t xml:space="preserve">791 students </w:t>
      </w:r>
      <w:r w:rsidRPr="000B2AB8">
        <w:rPr>
          <w:rFonts w:cs="Calibri"/>
        </w:rPr>
        <w:t xml:space="preserve">on the school's waitlist </w:t>
      </w:r>
      <w:r w:rsidR="00DB5A9F" w:rsidRPr="000B2AB8">
        <w:rPr>
          <w:rFonts w:cs="Calibri"/>
        </w:rPr>
        <w:t>in March 2024</w:t>
      </w:r>
      <w:r w:rsidRPr="000B2AB8">
        <w:rPr>
          <w:rFonts w:cs="Calibri"/>
        </w:rPr>
        <w:t xml:space="preserve"> and </w:t>
      </w:r>
      <w:r w:rsidR="00930B86" w:rsidRPr="000B2AB8">
        <w:rPr>
          <w:rFonts w:cs="Calibri"/>
        </w:rPr>
        <w:t>918</w:t>
      </w:r>
      <w:r w:rsidRPr="000B2AB8">
        <w:rPr>
          <w:rFonts w:cs="Calibri"/>
        </w:rPr>
        <w:t xml:space="preserve"> </w:t>
      </w:r>
      <w:r w:rsidR="00C83B68" w:rsidRPr="000B2AB8">
        <w:rPr>
          <w:rFonts w:cs="Calibri"/>
        </w:rPr>
        <w:t xml:space="preserve">students </w:t>
      </w:r>
      <w:r w:rsidR="00DB5A9F" w:rsidRPr="000B2AB8">
        <w:rPr>
          <w:rFonts w:cs="Calibri"/>
        </w:rPr>
        <w:t xml:space="preserve">on the school's waitlist </w:t>
      </w:r>
      <w:r w:rsidRPr="000B2AB8">
        <w:rPr>
          <w:rFonts w:cs="Calibri"/>
        </w:rPr>
        <w:t>in March 20</w:t>
      </w:r>
      <w:r w:rsidR="00C17565" w:rsidRPr="000B2AB8">
        <w:rPr>
          <w:rFonts w:cs="Calibri"/>
        </w:rPr>
        <w:t>2</w:t>
      </w:r>
      <w:r w:rsidRPr="000B2AB8">
        <w:rPr>
          <w:rFonts w:cs="Calibri"/>
        </w:rPr>
        <w:t xml:space="preserve">3. </w:t>
      </w:r>
      <w:r w:rsidR="008F7462" w:rsidRPr="000B2AB8">
        <w:rPr>
          <w:rFonts w:cs="Calibri"/>
        </w:rPr>
        <w:t xml:space="preserve">AMSA </w:t>
      </w:r>
      <w:r w:rsidRPr="000B2AB8">
        <w:rPr>
          <w:rFonts w:cs="Calibri"/>
        </w:rPr>
        <w:t xml:space="preserve">currently admits new students in grade </w:t>
      </w:r>
      <w:r w:rsidR="008F7462" w:rsidRPr="000B2AB8">
        <w:rPr>
          <w:rFonts w:cs="Calibri"/>
        </w:rPr>
        <w:t>6</w:t>
      </w:r>
      <w:r w:rsidRPr="000B2AB8">
        <w:rPr>
          <w:rFonts w:cs="Calibri"/>
        </w:rPr>
        <w:t xml:space="preserve"> and fills vacancies during the </w:t>
      </w:r>
      <w:r w:rsidR="00C17565" w:rsidRPr="000B2AB8">
        <w:rPr>
          <w:rFonts w:cs="Calibri"/>
        </w:rPr>
        <w:t xml:space="preserve">school </w:t>
      </w:r>
      <w:r w:rsidRPr="000B2AB8">
        <w:rPr>
          <w:rFonts w:cs="Calibri"/>
        </w:rPr>
        <w:t xml:space="preserve">year </w:t>
      </w:r>
      <w:r w:rsidR="00327ADF" w:rsidRPr="000B2AB8">
        <w:rPr>
          <w:rFonts w:cs="Calibri"/>
        </w:rPr>
        <w:t xml:space="preserve">in </w:t>
      </w:r>
      <w:r w:rsidRPr="000B2AB8">
        <w:rPr>
          <w:rFonts w:cs="Calibri"/>
        </w:rPr>
        <w:t>grade</w:t>
      </w:r>
      <w:r w:rsidR="00327ADF" w:rsidRPr="000B2AB8">
        <w:rPr>
          <w:rFonts w:cs="Calibri"/>
        </w:rPr>
        <w:t>s 6 through</w:t>
      </w:r>
      <w:r w:rsidRPr="000B2AB8">
        <w:rPr>
          <w:rFonts w:cs="Calibri"/>
        </w:rPr>
        <w:t xml:space="preserve"> </w:t>
      </w:r>
      <w:r w:rsidR="00AA066C" w:rsidRPr="000B2AB8">
        <w:rPr>
          <w:rFonts w:cs="Calibri"/>
        </w:rPr>
        <w:t>9 in accordance with statutory requirements.</w:t>
      </w:r>
      <w:r w:rsidRPr="000B2AB8">
        <w:rPr>
          <w:rFonts w:cs="Calibri"/>
        </w:rPr>
        <w:t xml:space="preserve"> </w:t>
      </w:r>
    </w:p>
    <w:p w14:paraId="094CC100" w14:textId="77777777" w:rsidR="007A1474" w:rsidRPr="000B2AB8" w:rsidRDefault="007A1474" w:rsidP="00E16D68">
      <w:pPr>
        <w:rPr>
          <w:rFonts w:cs="Calibri"/>
        </w:rPr>
      </w:pPr>
    </w:p>
    <w:p w14:paraId="0E4F885F" w14:textId="022B92FB" w:rsidR="00FC6019" w:rsidRPr="000B2AB8" w:rsidRDefault="001E2F64" w:rsidP="005819B0">
      <w:r w:rsidRPr="000B2AB8">
        <w:t>AMSA provides a</w:t>
      </w:r>
      <w:r w:rsidR="00C16D84" w:rsidRPr="000B2AB8">
        <w:t>n educational</w:t>
      </w:r>
      <w:r w:rsidRPr="000B2AB8">
        <w:t xml:space="preserve"> program </w:t>
      </w:r>
      <w:r w:rsidR="001C6D00" w:rsidRPr="000B2AB8">
        <w:t xml:space="preserve">focused on </w:t>
      </w:r>
      <w:r w:rsidRPr="000B2AB8">
        <w:t xml:space="preserve">mathematics, science, and technology. </w:t>
      </w:r>
      <w:r w:rsidR="00063635" w:rsidRPr="000B2AB8">
        <w:t xml:space="preserve">The school </w:t>
      </w:r>
      <w:r w:rsidR="003F01E7" w:rsidRPr="000B2AB8">
        <w:t>encourages</w:t>
      </w:r>
      <w:r w:rsidR="00063635" w:rsidRPr="000B2AB8">
        <w:t xml:space="preserve"> student participat</w:t>
      </w:r>
      <w:r w:rsidR="00F31498" w:rsidRPr="000B2AB8">
        <w:t>ion</w:t>
      </w:r>
      <w:r w:rsidR="00063635" w:rsidRPr="000B2AB8">
        <w:t xml:space="preserve"> in academic competitions and research opportunities with local companies.</w:t>
      </w:r>
      <w:r w:rsidR="000E0F44" w:rsidRPr="000B2AB8">
        <w:t xml:space="preserve"> </w:t>
      </w:r>
      <w:r w:rsidR="00860072" w:rsidRPr="000B2AB8">
        <w:t>In 202</w:t>
      </w:r>
      <w:r w:rsidR="00946BEF" w:rsidRPr="000B2AB8">
        <w:t xml:space="preserve">3, </w:t>
      </w:r>
      <w:r w:rsidR="006370E0" w:rsidRPr="000B2AB8">
        <w:t>AMSA was awarded</w:t>
      </w:r>
      <w:r w:rsidR="002B005A" w:rsidRPr="000B2AB8">
        <w:t xml:space="preserve"> a $105,000 grant over three years from</w:t>
      </w:r>
      <w:r w:rsidR="006370E0" w:rsidRPr="000B2AB8">
        <w:t xml:space="preserve"> the Cummings Foundation to fund </w:t>
      </w:r>
      <w:r w:rsidR="00C24FF0" w:rsidRPr="000B2AB8">
        <w:t>the school’s</w:t>
      </w:r>
      <w:r w:rsidR="006370E0" w:rsidRPr="000B2AB8">
        <w:t xml:space="preserve"> initiative to broaden participation in engineering from underrepresented groups. </w:t>
      </w:r>
      <w:r w:rsidR="00BE213D" w:rsidRPr="000B2AB8">
        <w:t>Through a partnership with the University of Massachusetts Lowell, t</w:t>
      </w:r>
      <w:r w:rsidR="00860072" w:rsidRPr="000B2AB8">
        <w:t xml:space="preserve">he </w:t>
      </w:r>
      <w:r w:rsidR="00F26259" w:rsidRPr="000B2AB8">
        <w:t>program</w:t>
      </w:r>
      <w:r w:rsidR="00BE213D" w:rsidRPr="000B2AB8">
        <w:t xml:space="preserve"> aims</w:t>
      </w:r>
      <w:r w:rsidR="00B6341D" w:rsidRPr="000B2AB8">
        <w:t xml:space="preserve"> </w:t>
      </w:r>
      <w:r w:rsidR="00860072" w:rsidRPr="000B2AB8">
        <w:t xml:space="preserve">to encourage students who identify as women, first-generation college students, </w:t>
      </w:r>
      <w:r w:rsidR="00B6341D" w:rsidRPr="000B2AB8">
        <w:t>or</w:t>
      </w:r>
      <w:r w:rsidR="00860072" w:rsidRPr="000B2AB8">
        <w:t xml:space="preserve"> underrepresented students to </w:t>
      </w:r>
      <w:r w:rsidR="005D6210" w:rsidRPr="000B2AB8">
        <w:t xml:space="preserve">engage </w:t>
      </w:r>
      <w:r w:rsidR="00860072" w:rsidRPr="000B2AB8">
        <w:t xml:space="preserve">in hands-on engineering activities and learn about potential engineering careers. </w:t>
      </w:r>
      <w:r w:rsidR="006370E0" w:rsidRPr="000B2AB8">
        <w:t xml:space="preserve"> </w:t>
      </w:r>
    </w:p>
    <w:p w14:paraId="7DA51EF0" w14:textId="77777777" w:rsidR="00204367" w:rsidRPr="000B2AB8" w:rsidRDefault="00204367" w:rsidP="005819B0"/>
    <w:p w14:paraId="2C29557E" w14:textId="77777777" w:rsidR="0050294D" w:rsidRPr="000B2AB8" w:rsidRDefault="0050294D" w:rsidP="00830873">
      <w:pPr>
        <w:keepNext/>
        <w:ind w:firstLine="720"/>
        <w:rPr>
          <w:rFonts w:cs="Calibri"/>
          <w:b/>
          <w:bCs/>
        </w:rPr>
      </w:pPr>
      <w:r w:rsidRPr="000B2AB8">
        <w:rPr>
          <w:rFonts w:cs="Calibri"/>
          <w:b/>
          <w:bCs/>
        </w:rPr>
        <w:t>Public Comment</w:t>
      </w:r>
    </w:p>
    <w:p w14:paraId="48C18622" w14:textId="77777777" w:rsidR="0050294D" w:rsidRPr="000B2AB8" w:rsidRDefault="0050294D" w:rsidP="00830873">
      <w:pPr>
        <w:keepNext/>
        <w:rPr>
          <w:rFonts w:cs="Calibri"/>
        </w:rPr>
      </w:pPr>
    </w:p>
    <w:p w14:paraId="4343AB81" w14:textId="28C0D20D" w:rsidR="0050294D" w:rsidRPr="000B2AB8" w:rsidRDefault="00833866" w:rsidP="00830873">
      <w:pPr>
        <w:keepNext/>
        <w:rPr>
          <w:rFonts w:cs="Calibri"/>
        </w:rPr>
      </w:pPr>
      <w:r w:rsidRPr="000B2AB8">
        <w:rPr>
          <w:rFonts w:cs="Calibri"/>
        </w:rPr>
        <w:t>The Department received c</w:t>
      </w:r>
      <w:r w:rsidR="00DC1488" w:rsidRPr="000B2AB8">
        <w:rPr>
          <w:rFonts w:cs="Calibri"/>
        </w:rPr>
        <w:t xml:space="preserve">omment in support </w:t>
      </w:r>
      <w:r w:rsidR="007D29DA" w:rsidRPr="000B2AB8">
        <w:rPr>
          <w:rFonts w:cs="Calibri"/>
        </w:rPr>
        <w:t xml:space="preserve">of </w:t>
      </w:r>
      <w:r w:rsidR="00DC1488" w:rsidRPr="000B2AB8">
        <w:rPr>
          <w:rFonts w:cs="Calibri"/>
        </w:rPr>
        <w:t xml:space="preserve">and in opposition to the school’s request. </w:t>
      </w:r>
      <w:r w:rsidR="00DD665E" w:rsidRPr="000B2AB8">
        <w:rPr>
          <w:rFonts w:cs="Calibri"/>
        </w:rPr>
        <w:t>Five community members, including p</w:t>
      </w:r>
      <w:r w:rsidR="003B5CE1" w:rsidRPr="000B2AB8">
        <w:rPr>
          <w:rFonts w:cs="Calibri"/>
        </w:rPr>
        <w:t>arents of currently enrolled students</w:t>
      </w:r>
      <w:r w:rsidR="00DD665E" w:rsidRPr="000B2AB8">
        <w:rPr>
          <w:rFonts w:cs="Calibri"/>
        </w:rPr>
        <w:t>,</w:t>
      </w:r>
      <w:r w:rsidR="003B5CE1" w:rsidRPr="000B2AB8">
        <w:rPr>
          <w:rFonts w:cs="Calibri"/>
        </w:rPr>
        <w:t xml:space="preserve"> provided comment in support of the school’s request. </w:t>
      </w:r>
      <w:r w:rsidR="00FA4AF1" w:rsidRPr="000B2AB8">
        <w:rPr>
          <w:rFonts w:cs="Calibri"/>
        </w:rPr>
        <w:t xml:space="preserve">Comment in opposition to the school’s request was provided by </w:t>
      </w:r>
      <w:r w:rsidR="005559EB" w:rsidRPr="000B2AB8">
        <w:rPr>
          <w:rFonts w:cs="Calibri"/>
        </w:rPr>
        <w:t>five staff</w:t>
      </w:r>
      <w:r w:rsidR="00FA4AF1" w:rsidRPr="000B2AB8">
        <w:rPr>
          <w:rFonts w:cs="Calibri"/>
        </w:rPr>
        <w:t xml:space="preserve"> </w:t>
      </w:r>
      <w:r w:rsidR="007D29DA" w:rsidRPr="000B2AB8">
        <w:rPr>
          <w:rFonts w:cs="Calibri"/>
        </w:rPr>
        <w:t>members of</w:t>
      </w:r>
      <w:r w:rsidR="00FA4AF1" w:rsidRPr="000B2AB8">
        <w:rPr>
          <w:rFonts w:cs="Calibri"/>
        </w:rPr>
        <w:t xml:space="preserve"> Marlborough Public Schools, the Marlborough Educators Association, Superintendent </w:t>
      </w:r>
      <w:r w:rsidR="00C80827" w:rsidRPr="000B2AB8">
        <w:rPr>
          <w:rFonts w:cs="Calibri"/>
        </w:rPr>
        <w:t xml:space="preserve">Mary </w:t>
      </w:r>
      <w:r w:rsidR="00FA4AF1" w:rsidRPr="000B2AB8">
        <w:rPr>
          <w:rFonts w:cs="Calibri"/>
        </w:rPr>
        <w:t xml:space="preserve">Murphy </w:t>
      </w:r>
      <w:r w:rsidR="007D29DA" w:rsidRPr="000B2AB8">
        <w:rPr>
          <w:rFonts w:cs="Calibri"/>
        </w:rPr>
        <w:t xml:space="preserve">of </w:t>
      </w:r>
      <w:r w:rsidR="00FA4AF1" w:rsidRPr="000B2AB8">
        <w:rPr>
          <w:rFonts w:cs="Calibri"/>
        </w:rPr>
        <w:t xml:space="preserve">Marlborough Public Schools, members of the Marlborough School Committee, Superintendent </w:t>
      </w:r>
      <w:r w:rsidR="008B7EF2" w:rsidRPr="000B2AB8">
        <w:rPr>
          <w:rFonts w:cs="Calibri"/>
        </w:rPr>
        <w:t xml:space="preserve">Steven </w:t>
      </w:r>
      <w:r w:rsidR="00FA4AF1" w:rsidRPr="000B2AB8">
        <w:rPr>
          <w:rFonts w:cs="Calibri"/>
        </w:rPr>
        <w:t xml:space="preserve">Meyer </w:t>
      </w:r>
      <w:r w:rsidR="007D29DA" w:rsidRPr="000B2AB8">
        <w:rPr>
          <w:rFonts w:cs="Calibri"/>
        </w:rPr>
        <w:t xml:space="preserve">of </w:t>
      </w:r>
      <w:r w:rsidR="00FA4AF1" w:rsidRPr="000B2AB8">
        <w:rPr>
          <w:rFonts w:cs="Calibri"/>
        </w:rPr>
        <w:t xml:space="preserve">Clinton Public Schools, Superintendent </w:t>
      </w:r>
      <w:r w:rsidR="002367B7" w:rsidRPr="000B2AB8">
        <w:rPr>
          <w:rFonts w:cs="Calibri"/>
        </w:rPr>
        <w:t xml:space="preserve">Brian </w:t>
      </w:r>
      <w:r w:rsidR="00FA4AF1" w:rsidRPr="000B2AB8">
        <w:rPr>
          <w:rFonts w:cs="Calibri"/>
        </w:rPr>
        <w:t xml:space="preserve">Haas </w:t>
      </w:r>
      <w:r w:rsidR="007D29DA" w:rsidRPr="000B2AB8">
        <w:rPr>
          <w:rFonts w:cs="Calibri"/>
        </w:rPr>
        <w:t xml:space="preserve">of </w:t>
      </w:r>
      <w:r w:rsidR="00FA4AF1" w:rsidRPr="000B2AB8">
        <w:rPr>
          <w:rFonts w:cs="Calibri"/>
        </w:rPr>
        <w:t xml:space="preserve">Maynard Public Schools, Superintendent </w:t>
      </w:r>
      <w:r w:rsidR="00A36229" w:rsidRPr="000B2AB8">
        <w:rPr>
          <w:rFonts w:cs="Calibri"/>
        </w:rPr>
        <w:t xml:space="preserve">Brian </w:t>
      </w:r>
      <w:r w:rsidR="00FA4AF1" w:rsidRPr="000B2AB8">
        <w:rPr>
          <w:rFonts w:cs="Calibri"/>
        </w:rPr>
        <w:t xml:space="preserve">Reagan </w:t>
      </w:r>
      <w:r w:rsidR="007D29DA" w:rsidRPr="000B2AB8">
        <w:rPr>
          <w:rFonts w:cs="Calibri"/>
        </w:rPr>
        <w:t xml:space="preserve">of </w:t>
      </w:r>
      <w:r w:rsidR="00FA4AF1" w:rsidRPr="000B2AB8">
        <w:rPr>
          <w:rFonts w:cs="Calibri"/>
        </w:rPr>
        <w:t xml:space="preserve">Hudson Public Schools, members of the Hudson School Committee, a former </w:t>
      </w:r>
      <w:r w:rsidR="003B5CE1" w:rsidRPr="000B2AB8">
        <w:rPr>
          <w:rFonts w:cs="Calibri"/>
        </w:rPr>
        <w:t xml:space="preserve">AMSA </w:t>
      </w:r>
      <w:r w:rsidR="00FA4AF1" w:rsidRPr="000B2AB8">
        <w:rPr>
          <w:rFonts w:cs="Calibri"/>
        </w:rPr>
        <w:t xml:space="preserve">parent, and </w:t>
      </w:r>
      <w:r w:rsidR="00BE1551" w:rsidRPr="000B2AB8">
        <w:rPr>
          <w:rFonts w:cs="Calibri"/>
        </w:rPr>
        <w:t xml:space="preserve">two </w:t>
      </w:r>
      <w:r w:rsidR="00FA4AF1" w:rsidRPr="000B2AB8">
        <w:rPr>
          <w:rFonts w:cs="Calibri"/>
        </w:rPr>
        <w:t>residents from the school’s region.</w:t>
      </w:r>
      <w:r w:rsidR="0089313F" w:rsidRPr="000B2AB8">
        <w:rPr>
          <w:rFonts w:cs="Calibri"/>
        </w:rPr>
        <w:t xml:space="preserve"> Comment is attached.</w:t>
      </w:r>
    </w:p>
    <w:p w14:paraId="161755F3" w14:textId="77777777" w:rsidR="0050294D" w:rsidRPr="000B2AB8" w:rsidRDefault="0050294D" w:rsidP="0050294D">
      <w:pPr>
        <w:rPr>
          <w:rFonts w:cs="Calibri"/>
        </w:rPr>
      </w:pPr>
    </w:p>
    <w:p w14:paraId="1848F5D7" w14:textId="77777777" w:rsidR="0050294D" w:rsidRPr="000B2AB8" w:rsidRDefault="0050294D" w:rsidP="0050294D">
      <w:pPr>
        <w:rPr>
          <w:rFonts w:cs="Calibri"/>
          <w:b/>
          <w:bCs/>
        </w:rPr>
      </w:pPr>
      <w:r w:rsidRPr="000B2AB8">
        <w:rPr>
          <w:rFonts w:cs="Calibri"/>
        </w:rPr>
        <w:tab/>
      </w:r>
      <w:r w:rsidRPr="000B2AB8">
        <w:rPr>
          <w:rFonts w:cs="Calibri"/>
          <w:b/>
          <w:bCs/>
        </w:rPr>
        <w:t>Recommendation</w:t>
      </w:r>
    </w:p>
    <w:p w14:paraId="420BF32D" w14:textId="77777777" w:rsidR="0050294D" w:rsidRPr="000B2AB8" w:rsidRDefault="0050294D" w:rsidP="0050294D">
      <w:pPr>
        <w:rPr>
          <w:rFonts w:cs="Calibri"/>
        </w:rPr>
      </w:pPr>
    </w:p>
    <w:p w14:paraId="0D7DBF87" w14:textId="531CCFE8" w:rsidR="0050294D" w:rsidRPr="000B2AB8" w:rsidRDefault="00365BC1" w:rsidP="0050294D">
      <w:pPr>
        <w:rPr>
          <w:rFonts w:cs="Calibri"/>
        </w:rPr>
      </w:pPr>
      <w:r w:rsidRPr="000B2AB8">
        <w:rPr>
          <w:rFonts w:cs="Calibri"/>
        </w:rPr>
        <w:t>The</w:t>
      </w:r>
      <w:r w:rsidR="0050294D" w:rsidRPr="000B2AB8">
        <w:rPr>
          <w:rFonts w:cs="Calibri"/>
        </w:rPr>
        <w:t xml:space="preserve"> school’s request is reasonable and consistent with the charter school statute and regulations. Overall, the submitted amendment request</w:t>
      </w:r>
      <w:r w:rsidR="00EA2EEA" w:rsidRPr="000B2AB8">
        <w:rPr>
          <w:rFonts w:cs="Calibri"/>
        </w:rPr>
        <w:t>;</w:t>
      </w:r>
      <w:r w:rsidR="0050294D" w:rsidRPr="000B2AB8">
        <w:rPr>
          <w:rFonts w:cs="Calibri"/>
        </w:rPr>
        <w:t xml:space="preserve"> </w:t>
      </w:r>
      <w:r w:rsidR="0054529B" w:rsidRPr="000B2AB8">
        <w:rPr>
          <w:rFonts w:cs="Calibri"/>
        </w:rPr>
        <w:t>my intended action to</w:t>
      </w:r>
      <w:r w:rsidR="0050294D" w:rsidRPr="000B2AB8">
        <w:rPr>
          <w:rFonts w:cs="Calibri"/>
        </w:rPr>
        <w:t xml:space="preserve"> rene</w:t>
      </w:r>
      <w:r w:rsidR="0054529B" w:rsidRPr="000B2AB8">
        <w:rPr>
          <w:rFonts w:cs="Calibri"/>
        </w:rPr>
        <w:t>w</w:t>
      </w:r>
      <w:r w:rsidR="0050294D" w:rsidRPr="000B2AB8">
        <w:rPr>
          <w:rFonts w:cs="Calibri"/>
        </w:rPr>
        <w:t xml:space="preserve"> the school’s charter</w:t>
      </w:r>
      <w:r w:rsidR="003E6845" w:rsidRPr="000B2AB8">
        <w:rPr>
          <w:rFonts w:cs="Calibri"/>
        </w:rPr>
        <w:t xml:space="preserve">, as </w:t>
      </w:r>
      <w:r w:rsidR="00626891" w:rsidRPr="000B2AB8">
        <w:rPr>
          <w:rFonts w:cs="Calibri"/>
        </w:rPr>
        <w:t>I have</w:t>
      </w:r>
      <w:r w:rsidR="003E6845" w:rsidRPr="000B2AB8">
        <w:rPr>
          <w:rFonts w:cs="Calibri"/>
        </w:rPr>
        <w:t xml:space="preserve"> notified you</w:t>
      </w:r>
      <w:r w:rsidR="0050294D" w:rsidRPr="000B2AB8">
        <w:rPr>
          <w:rFonts w:cs="Calibri"/>
        </w:rPr>
        <w:t xml:space="preserve"> </w:t>
      </w:r>
      <w:r w:rsidR="00EA2EEA" w:rsidRPr="000B2AB8">
        <w:rPr>
          <w:rFonts w:cs="Calibri"/>
        </w:rPr>
        <w:t xml:space="preserve">under separate cover </w:t>
      </w:r>
      <w:r w:rsidR="00CE1EF2" w:rsidRPr="000B2AB8">
        <w:rPr>
          <w:rFonts w:cs="Calibri"/>
        </w:rPr>
        <w:t xml:space="preserve">in a memorandum </w:t>
      </w:r>
      <w:r w:rsidR="000E64B3" w:rsidRPr="000B2AB8">
        <w:rPr>
          <w:rFonts w:cs="Calibri"/>
        </w:rPr>
        <w:t>dated</w:t>
      </w:r>
      <w:r w:rsidR="00CE1EF2" w:rsidRPr="000B2AB8">
        <w:rPr>
          <w:rFonts w:cs="Calibri"/>
        </w:rPr>
        <w:t xml:space="preserve"> </w:t>
      </w:r>
      <w:r w:rsidR="00681C46" w:rsidRPr="006C4071">
        <w:rPr>
          <w:rFonts w:cs="Calibri"/>
        </w:rPr>
        <w:t>February 13, 2025</w:t>
      </w:r>
      <w:r w:rsidR="00EA2EEA" w:rsidRPr="000B2AB8">
        <w:rPr>
          <w:rFonts w:cs="Calibri"/>
        </w:rPr>
        <w:t>;</w:t>
      </w:r>
      <w:r w:rsidR="0050294D" w:rsidRPr="000B2AB8">
        <w:rPr>
          <w:rFonts w:cs="Calibri"/>
        </w:rPr>
        <w:t xml:space="preserve"> and the Department’s accountability records indicate that the school</w:t>
      </w:r>
      <w:r w:rsidR="00E967D8" w:rsidRPr="000B2AB8">
        <w:rPr>
          <w:rFonts w:cs="Calibri"/>
        </w:rPr>
        <w:t xml:space="preserve"> i</w:t>
      </w:r>
      <w:r w:rsidR="0050294D" w:rsidRPr="000B2AB8">
        <w:rPr>
          <w:rFonts w:cs="Calibri"/>
        </w:rPr>
        <w:t>s</w:t>
      </w:r>
      <w:r w:rsidR="004E51B2" w:rsidRPr="000B2AB8">
        <w:rPr>
          <w:rFonts w:cs="Calibri"/>
        </w:rPr>
        <w:t xml:space="preserve"> an</w:t>
      </w:r>
      <w:r w:rsidR="0050294D" w:rsidRPr="000B2AB8">
        <w:rPr>
          <w:rFonts w:cs="Calibri"/>
        </w:rPr>
        <w:t xml:space="preserve"> academic success, a viable organization, and faithful to the terms of its charter. I recommend that the Board approve the increase in enrollment to serve an additional 3</w:t>
      </w:r>
      <w:r w:rsidR="00CE1EF2" w:rsidRPr="000B2AB8">
        <w:rPr>
          <w:rFonts w:cs="Calibri"/>
        </w:rPr>
        <w:t>4</w:t>
      </w:r>
      <w:r w:rsidR="0050294D" w:rsidRPr="000B2AB8">
        <w:rPr>
          <w:rFonts w:cs="Calibri"/>
        </w:rPr>
        <w:t xml:space="preserve"> students as requested by the school. If the Board votes to grant </w:t>
      </w:r>
      <w:r w:rsidR="00CE1EF2" w:rsidRPr="000B2AB8">
        <w:rPr>
          <w:rFonts w:cs="Calibri"/>
        </w:rPr>
        <w:t>AMSA’s</w:t>
      </w:r>
      <w:r w:rsidR="0050294D" w:rsidRPr="000B2AB8">
        <w:rPr>
          <w:rFonts w:cs="Calibri"/>
        </w:rPr>
        <w:t xml:space="preserve"> request, the school will serve students in grades </w:t>
      </w:r>
      <w:r w:rsidR="000E64B3" w:rsidRPr="000B2AB8">
        <w:rPr>
          <w:rFonts w:cs="Calibri"/>
        </w:rPr>
        <w:t>6</w:t>
      </w:r>
      <w:r w:rsidR="0050294D" w:rsidRPr="000B2AB8">
        <w:rPr>
          <w:rFonts w:cs="Calibri"/>
        </w:rPr>
        <w:t xml:space="preserve">-12 with a maximum enrollment of </w:t>
      </w:r>
      <w:r w:rsidR="000E64B3" w:rsidRPr="000B2AB8">
        <w:rPr>
          <w:rFonts w:cs="Calibri"/>
        </w:rPr>
        <w:t>1,000</w:t>
      </w:r>
      <w:r w:rsidR="0050294D" w:rsidRPr="000B2AB8">
        <w:rPr>
          <w:rFonts w:cs="Calibri"/>
        </w:rPr>
        <w:t xml:space="preserve"> students. A motion for approval is attached for your consideration.</w:t>
      </w:r>
    </w:p>
    <w:p w14:paraId="18476D71" w14:textId="77777777" w:rsidR="0050294D" w:rsidRPr="000B2AB8" w:rsidRDefault="0050294D" w:rsidP="005819B0">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46"/>
        <w:gridCol w:w="2429"/>
        <w:gridCol w:w="2429"/>
        <w:gridCol w:w="2246"/>
      </w:tblGrid>
      <w:tr w:rsidR="00D809C5" w:rsidRPr="000B2AB8" w14:paraId="3F04D837" w14:textId="77777777" w:rsidTr="00D05B02">
        <w:trPr>
          <w:trHeight w:val="435"/>
        </w:trPr>
        <w:tc>
          <w:tcPr>
            <w:tcW w:w="5000" w:type="pct"/>
            <w:gridSpan w:val="4"/>
            <w:shd w:val="clear" w:color="auto" w:fill="A6A6A6" w:themeFill="background1" w:themeFillShade="A6"/>
            <w:vAlign w:val="center"/>
            <w:hideMark/>
          </w:tcPr>
          <w:p w14:paraId="0AE99BA6" w14:textId="0D2FFDC1" w:rsidR="00D809C5" w:rsidRPr="000B2AB8" w:rsidRDefault="00D809C5" w:rsidP="006207E3">
            <w:pPr>
              <w:keepNext/>
              <w:ind w:left="165"/>
              <w:textAlignment w:val="baseline"/>
              <w:rPr>
                <w:rFonts w:eastAsia="Times New Roman" w:cs="Calibri"/>
                <w:b/>
                <w:bCs/>
                <w:sz w:val="32"/>
                <w:szCs w:val="32"/>
              </w:rPr>
            </w:pPr>
            <w:r w:rsidRPr="000B2AB8">
              <w:rPr>
                <w:rFonts w:eastAsia="Times New Roman" w:cs="Calibri"/>
                <w:b/>
                <w:bCs/>
                <w:sz w:val="32"/>
                <w:szCs w:val="32"/>
              </w:rPr>
              <w:t xml:space="preserve">Edward M. Kennedy Academy for Health Careers: </w:t>
            </w:r>
            <w:r w:rsidRPr="000B2AB8">
              <w:rPr>
                <w:rFonts w:eastAsia="Times New Roman" w:cs="Calibri"/>
                <w:b/>
                <w:bCs/>
                <w:sz w:val="32"/>
                <w:szCs w:val="32"/>
              </w:rPr>
              <w:br/>
              <w:t>A Horace Mann Charter Public School</w:t>
            </w:r>
          </w:p>
        </w:tc>
      </w:tr>
      <w:tr w:rsidR="00584433" w:rsidRPr="000B2AB8" w14:paraId="5709EE5A" w14:textId="77777777" w:rsidTr="00B90F4D">
        <w:trPr>
          <w:trHeight w:val="494"/>
        </w:trPr>
        <w:tc>
          <w:tcPr>
            <w:tcW w:w="1201" w:type="pct"/>
            <w:shd w:val="clear" w:color="auto" w:fill="F2F2F2" w:themeFill="background1" w:themeFillShade="F2"/>
            <w:vAlign w:val="center"/>
            <w:hideMark/>
          </w:tcPr>
          <w:p w14:paraId="13F95986" w14:textId="77777777" w:rsidR="00B90F4D" w:rsidRPr="000B2AB8" w:rsidRDefault="00D809C5" w:rsidP="006207E3">
            <w:pPr>
              <w:keepNext/>
              <w:ind w:left="75" w:firstLine="15"/>
              <w:textAlignment w:val="baseline"/>
              <w:rPr>
                <w:rFonts w:eastAsia="Times New Roman" w:cs="Times New Roman"/>
                <w:sz w:val="20"/>
                <w:szCs w:val="20"/>
              </w:rPr>
            </w:pPr>
            <w:r w:rsidRPr="000B2AB8">
              <w:rPr>
                <w:rFonts w:eastAsia="Times New Roman" w:cs="Calibri"/>
                <w:b/>
                <w:bCs/>
                <w:sz w:val="20"/>
                <w:szCs w:val="20"/>
              </w:rPr>
              <w:t>Type of Charter</w:t>
            </w:r>
          </w:p>
          <w:p w14:paraId="37E79690" w14:textId="364E4B85" w:rsidR="00D809C5" w:rsidRPr="000B2AB8" w:rsidRDefault="00D809C5" w:rsidP="006207E3">
            <w:pPr>
              <w:keepNext/>
              <w:ind w:left="75" w:firstLine="15"/>
              <w:textAlignment w:val="baseline"/>
              <w:rPr>
                <w:rFonts w:eastAsia="Times New Roman" w:cs="Times New Roman"/>
                <w:sz w:val="20"/>
                <w:szCs w:val="20"/>
              </w:rPr>
            </w:pPr>
          </w:p>
        </w:tc>
        <w:tc>
          <w:tcPr>
            <w:tcW w:w="1299" w:type="pct"/>
            <w:shd w:val="clear" w:color="auto" w:fill="auto"/>
            <w:vAlign w:val="center"/>
            <w:hideMark/>
          </w:tcPr>
          <w:p w14:paraId="6EAE77A9" w14:textId="167B3F80" w:rsidR="00B90F4D" w:rsidRPr="000B2AB8" w:rsidRDefault="00D809C5" w:rsidP="006207E3">
            <w:pPr>
              <w:keepNext/>
              <w:ind w:left="90" w:hanging="15"/>
              <w:textAlignment w:val="baseline"/>
              <w:rPr>
                <w:rFonts w:eastAsia="Times New Roman" w:cs="Times New Roman"/>
                <w:sz w:val="20"/>
                <w:szCs w:val="20"/>
              </w:rPr>
            </w:pPr>
            <w:r w:rsidRPr="000B2AB8">
              <w:rPr>
                <w:rFonts w:eastAsia="Times New Roman" w:cs="Calibri"/>
                <w:color w:val="000000"/>
                <w:sz w:val="20"/>
                <w:szCs w:val="20"/>
              </w:rPr>
              <w:t>Horace Mann</w:t>
            </w:r>
          </w:p>
          <w:p w14:paraId="4A87F152" w14:textId="5BD75A0C" w:rsidR="00D809C5" w:rsidRPr="000B2AB8" w:rsidRDefault="00D809C5" w:rsidP="006207E3">
            <w:pPr>
              <w:keepNext/>
              <w:ind w:left="90" w:hanging="15"/>
              <w:textAlignment w:val="baseline"/>
              <w:rPr>
                <w:rFonts w:eastAsia="Times New Roman" w:cs="Times New Roman"/>
                <w:sz w:val="20"/>
                <w:szCs w:val="20"/>
              </w:rPr>
            </w:pPr>
          </w:p>
        </w:tc>
        <w:tc>
          <w:tcPr>
            <w:tcW w:w="1299" w:type="pct"/>
            <w:shd w:val="clear" w:color="auto" w:fill="F2F2F2" w:themeFill="background1" w:themeFillShade="F2"/>
            <w:vAlign w:val="center"/>
            <w:hideMark/>
          </w:tcPr>
          <w:p w14:paraId="5C41BCEA" w14:textId="77777777" w:rsidR="00D809C5" w:rsidRPr="000B2AB8" w:rsidRDefault="00D809C5" w:rsidP="006207E3">
            <w:pPr>
              <w:keepNext/>
              <w:ind w:left="90"/>
              <w:textAlignment w:val="baseline"/>
              <w:rPr>
                <w:rFonts w:eastAsia="Times New Roman" w:cs="Times New Roman"/>
                <w:sz w:val="20"/>
                <w:szCs w:val="20"/>
              </w:rPr>
            </w:pPr>
            <w:r w:rsidRPr="000B2AB8">
              <w:rPr>
                <w:rFonts w:eastAsia="Times New Roman" w:cs="Calibri"/>
                <w:b/>
                <w:bCs/>
                <w:sz w:val="20"/>
                <w:szCs w:val="20"/>
              </w:rPr>
              <w:t>Location</w:t>
            </w:r>
            <w:r w:rsidRPr="000B2AB8">
              <w:rPr>
                <w:rFonts w:ascii="Arial" w:eastAsia="Times New Roman" w:hAnsi="Arial" w:cs="Arial"/>
                <w:b/>
                <w:bCs/>
                <w:sz w:val="20"/>
                <w:szCs w:val="20"/>
              </w:rPr>
              <w:t> </w:t>
            </w:r>
            <w:r w:rsidRPr="000B2AB8">
              <w:rPr>
                <w:rFonts w:ascii="Arial" w:eastAsia="Times New Roman" w:hAnsi="Arial" w:cs="Arial"/>
                <w:sz w:val="20"/>
                <w:szCs w:val="20"/>
              </w:rPr>
              <w:t> </w:t>
            </w:r>
            <w:r w:rsidRPr="000B2AB8">
              <w:rPr>
                <w:rFonts w:eastAsia="Times New Roman" w:cs="Aptos"/>
                <w:sz w:val="20"/>
                <w:szCs w:val="20"/>
              </w:rPr>
              <w:t> </w:t>
            </w:r>
          </w:p>
        </w:tc>
        <w:tc>
          <w:tcPr>
            <w:tcW w:w="1201" w:type="pct"/>
            <w:shd w:val="clear" w:color="auto" w:fill="auto"/>
            <w:vAlign w:val="center"/>
            <w:hideMark/>
          </w:tcPr>
          <w:p w14:paraId="60F94CF3" w14:textId="4329C39F" w:rsidR="00D809C5" w:rsidRPr="000B2AB8" w:rsidRDefault="00D809C5" w:rsidP="006207E3">
            <w:pPr>
              <w:keepNext/>
              <w:ind w:left="135"/>
              <w:textAlignment w:val="baseline"/>
              <w:rPr>
                <w:rFonts w:eastAsia="Times New Roman" w:cs="Times New Roman"/>
                <w:sz w:val="20"/>
                <w:szCs w:val="20"/>
              </w:rPr>
            </w:pPr>
            <w:r w:rsidRPr="000B2AB8">
              <w:rPr>
                <w:rFonts w:eastAsia="Times New Roman" w:cs="Times New Roman"/>
                <w:sz w:val="20"/>
                <w:szCs w:val="20"/>
              </w:rPr>
              <w:t>Boston</w:t>
            </w:r>
          </w:p>
        </w:tc>
      </w:tr>
      <w:tr w:rsidR="00B90F4D" w:rsidRPr="000B2AB8" w14:paraId="713FED0A" w14:textId="77777777" w:rsidTr="002742C9">
        <w:trPr>
          <w:trHeight w:val="360"/>
        </w:trPr>
        <w:tc>
          <w:tcPr>
            <w:tcW w:w="1201" w:type="pct"/>
            <w:shd w:val="clear" w:color="auto" w:fill="F2F2F2" w:themeFill="background1" w:themeFillShade="F2"/>
            <w:vAlign w:val="center"/>
          </w:tcPr>
          <w:p w14:paraId="1F96E8B5" w14:textId="30E6AEE2" w:rsidR="00B90F4D" w:rsidRPr="000B2AB8" w:rsidRDefault="00B90F4D" w:rsidP="006207E3">
            <w:pPr>
              <w:keepNext/>
              <w:ind w:left="75" w:firstLine="15"/>
              <w:textAlignment w:val="baseline"/>
              <w:rPr>
                <w:rFonts w:eastAsia="Times New Roman" w:cs="Calibri"/>
                <w:b/>
                <w:bCs/>
                <w:sz w:val="20"/>
                <w:szCs w:val="20"/>
              </w:rPr>
            </w:pPr>
            <w:r w:rsidRPr="000B2AB8">
              <w:rPr>
                <w:rFonts w:eastAsia="Times New Roman" w:cs="Calibri"/>
                <w:b/>
                <w:bCs/>
                <w:sz w:val="20"/>
                <w:szCs w:val="20"/>
              </w:rPr>
              <w:t>Year Opened</w:t>
            </w:r>
          </w:p>
        </w:tc>
        <w:tc>
          <w:tcPr>
            <w:tcW w:w="1299" w:type="pct"/>
            <w:shd w:val="clear" w:color="auto" w:fill="auto"/>
            <w:vAlign w:val="center"/>
          </w:tcPr>
          <w:p w14:paraId="7B6A1BC0" w14:textId="70D4C586" w:rsidR="00B90F4D" w:rsidRPr="000B2AB8" w:rsidRDefault="00B90F4D" w:rsidP="006207E3">
            <w:pPr>
              <w:keepNext/>
              <w:ind w:left="90" w:hanging="15"/>
              <w:textAlignment w:val="baseline"/>
              <w:rPr>
                <w:rFonts w:eastAsia="Times New Roman" w:cs="Calibri"/>
                <w:color w:val="000000"/>
                <w:sz w:val="20"/>
                <w:szCs w:val="20"/>
              </w:rPr>
            </w:pPr>
            <w:r w:rsidRPr="000B2AB8">
              <w:rPr>
                <w:rFonts w:eastAsia="Times New Roman" w:cs="Calibri"/>
                <w:color w:val="000000"/>
                <w:sz w:val="20"/>
                <w:szCs w:val="20"/>
              </w:rPr>
              <w:t>1998</w:t>
            </w:r>
          </w:p>
        </w:tc>
        <w:tc>
          <w:tcPr>
            <w:tcW w:w="1299" w:type="pct"/>
            <w:shd w:val="clear" w:color="auto" w:fill="F2F2F2" w:themeFill="background1" w:themeFillShade="F2"/>
            <w:vAlign w:val="center"/>
          </w:tcPr>
          <w:p w14:paraId="30B79734" w14:textId="074704DE" w:rsidR="00B90F4D" w:rsidRPr="000B2AB8" w:rsidRDefault="00B90F4D" w:rsidP="006207E3">
            <w:pPr>
              <w:keepNext/>
              <w:ind w:left="90"/>
              <w:textAlignment w:val="baseline"/>
              <w:rPr>
                <w:rFonts w:eastAsia="Times New Roman" w:cs="Calibri"/>
                <w:b/>
                <w:bCs/>
                <w:sz w:val="20"/>
                <w:szCs w:val="20"/>
              </w:rPr>
            </w:pPr>
            <w:r w:rsidRPr="000B2AB8">
              <w:rPr>
                <w:rFonts w:eastAsia="Times New Roman" w:cs="Calibri"/>
                <w:b/>
                <w:bCs/>
                <w:sz w:val="20"/>
                <w:szCs w:val="20"/>
              </w:rPr>
              <w:t>Year(s) Renewed</w:t>
            </w:r>
          </w:p>
        </w:tc>
        <w:tc>
          <w:tcPr>
            <w:tcW w:w="1201" w:type="pct"/>
            <w:shd w:val="clear" w:color="auto" w:fill="auto"/>
            <w:vAlign w:val="center"/>
          </w:tcPr>
          <w:p w14:paraId="0E306283" w14:textId="504F86FE" w:rsidR="00B90F4D" w:rsidRPr="000B2AB8" w:rsidRDefault="00B90F4D" w:rsidP="006207E3">
            <w:pPr>
              <w:keepNext/>
              <w:ind w:left="135"/>
              <w:textAlignment w:val="baseline"/>
              <w:rPr>
                <w:rFonts w:eastAsia="Times New Roman" w:cs="Times New Roman"/>
                <w:sz w:val="20"/>
                <w:szCs w:val="20"/>
              </w:rPr>
            </w:pPr>
            <w:r w:rsidRPr="000B2AB8">
              <w:rPr>
                <w:rFonts w:eastAsia="Times New Roman" w:cs="Calibri"/>
                <w:sz w:val="20"/>
                <w:szCs w:val="20"/>
              </w:rPr>
              <w:t xml:space="preserve">2003, 2008, 2013, </w:t>
            </w:r>
            <w:r w:rsidR="0078339D" w:rsidRPr="000B2AB8">
              <w:rPr>
                <w:rFonts w:eastAsia="Times New Roman" w:cs="Calibri"/>
                <w:sz w:val="20"/>
                <w:szCs w:val="20"/>
              </w:rPr>
              <w:br/>
            </w:r>
            <w:r w:rsidRPr="000B2AB8">
              <w:rPr>
                <w:rFonts w:eastAsia="Times New Roman" w:cs="Calibri"/>
                <w:sz w:val="20"/>
                <w:szCs w:val="20"/>
              </w:rPr>
              <w:t>2018, 2023</w:t>
            </w:r>
          </w:p>
        </w:tc>
      </w:tr>
      <w:tr w:rsidR="00B90F4D" w:rsidRPr="000B2AB8" w14:paraId="0DA55A6B" w14:textId="77777777" w:rsidTr="002742C9">
        <w:trPr>
          <w:trHeight w:val="360"/>
        </w:trPr>
        <w:tc>
          <w:tcPr>
            <w:tcW w:w="1201" w:type="pct"/>
            <w:shd w:val="clear" w:color="auto" w:fill="F2F2F2" w:themeFill="background1" w:themeFillShade="F2"/>
            <w:vAlign w:val="center"/>
          </w:tcPr>
          <w:p w14:paraId="7ADFFF53" w14:textId="2EDD574A" w:rsidR="00B90F4D" w:rsidRPr="000B2AB8" w:rsidRDefault="00B90F4D" w:rsidP="006207E3">
            <w:pPr>
              <w:keepNext/>
              <w:ind w:left="75" w:firstLine="15"/>
              <w:textAlignment w:val="baseline"/>
              <w:rPr>
                <w:rFonts w:eastAsia="Times New Roman" w:cs="Calibri"/>
                <w:b/>
                <w:bCs/>
                <w:sz w:val="20"/>
                <w:szCs w:val="20"/>
              </w:rPr>
            </w:pPr>
            <w:r w:rsidRPr="000B2AB8">
              <w:rPr>
                <w:rFonts w:eastAsia="Times New Roman" w:cs="Calibri"/>
                <w:b/>
                <w:bCs/>
                <w:sz w:val="20"/>
                <w:szCs w:val="20"/>
              </w:rPr>
              <w:t>Maximum Enrollment</w:t>
            </w:r>
            <w:r w:rsidRPr="000B2AB8">
              <w:rPr>
                <w:rFonts w:ascii="Arial" w:eastAsia="Times New Roman" w:hAnsi="Arial" w:cs="Arial"/>
                <w:sz w:val="20"/>
                <w:szCs w:val="20"/>
              </w:rPr>
              <w:t> </w:t>
            </w:r>
            <w:r w:rsidRPr="000B2AB8">
              <w:rPr>
                <w:rFonts w:eastAsia="Times New Roman" w:cs="Aptos"/>
                <w:sz w:val="20"/>
                <w:szCs w:val="20"/>
              </w:rPr>
              <w:t> </w:t>
            </w:r>
          </w:p>
        </w:tc>
        <w:tc>
          <w:tcPr>
            <w:tcW w:w="1299" w:type="pct"/>
            <w:shd w:val="clear" w:color="auto" w:fill="auto"/>
            <w:vAlign w:val="center"/>
          </w:tcPr>
          <w:p w14:paraId="7E52FA53" w14:textId="6CB96DFC" w:rsidR="00B90F4D" w:rsidRPr="000B2AB8" w:rsidRDefault="00B90F4D" w:rsidP="006207E3">
            <w:pPr>
              <w:keepNext/>
              <w:ind w:left="90" w:hanging="15"/>
              <w:textAlignment w:val="baseline"/>
              <w:rPr>
                <w:rFonts w:eastAsia="Times New Roman" w:cs="Calibri"/>
                <w:color w:val="000000"/>
                <w:sz w:val="20"/>
                <w:szCs w:val="20"/>
              </w:rPr>
            </w:pPr>
            <w:r w:rsidRPr="000B2AB8">
              <w:rPr>
                <w:rFonts w:eastAsia="Times New Roman" w:cs="Times New Roman"/>
                <w:sz w:val="20"/>
                <w:szCs w:val="20"/>
              </w:rPr>
              <w:t>4</w:t>
            </w:r>
            <w:r w:rsidR="00436333">
              <w:rPr>
                <w:rFonts w:eastAsia="Times New Roman" w:cs="Times New Roman"/>
                <w:sz w:val="20"/>
                <w:szCs w:val="20"/>
              </w:rPr>
              <w:t>4</w:t>
            </w:r>
            <w:r w:rsidRPr="000B2AB8">
              <w:rPr>
                <w:rFonts w:eastAsia="Times New Roman" w:cs="Times New Roman"/>
                <w:sz w:val="20"/>
                <w:szCs w:val="20"/>
              </w:rPr>
              <w:t>8</w:t>
            </w:r>
          </w:p>
        </w:tc>
        <w:tc>
          <w:tcPr>
            <w:tcW w:w="1299" w:type="pct"/>
            <w:shd w:val="clear" w:color="auto" w:fill="F2F2F2" w:themeFill="background1" w:themeFillShade="F2"/>
            <w:vAlign w:val="center"/>
          </w:tcPr>
          <w:p w14:paraId="505A4700" w14:textId="15E4DA3C" w:rsidR="00B90F4D" w:rsidRPr="000B2AB8" w:rsidRDefault="00B90F4D" w:rsidP="006207E3">
            <w:pPr>
              <w:keepNext/>
              <w:ind w:left="90"/>
              <w:textAlignment w:val="baseline"/>
              <w:rPr>
                <w:rFonts w:eastAsia="Times New Roman" w:cs="Calibri"/>
                <w:b/>
                <w:bCs/>
                <w:sz w:val="20"/>
                <w:szCs w:val="20"/>
              </w:rPr>
            </w:pPr>
            <w:r w:rsidRPr="000B2AB8">
              <w:rPr>
                <w:rFonts w:eastAsia="Times New Roman" w:cs="Calibri"/>
                <w:b/>
                <w:bCs/>
                <w:sz w:val="20"/>
                <w:szCs w:val="20"/>
              </w:rPr>
              <w:t>Current Enrollment</w:t>
            </w:r>
          </w:p>
        </w:tc>
        <w:tc>
          <w:tcPr>
            <w:tcW w:w="1201" w:type="pct"/>
            <w:shd w:val="clear" w:color="auto" w:fill="auto"/>
            <w:vAlign w:val="center"/>
          </w:tcPr>
          <w:p w14:paraId="3262A6CA" w14:textId="49351D83" w:rsidR="00B90F4D" w:rsidRPr="000B2AB8" w:rsidRDefault="00B90F4D" w:rsidP="006207E3">
            <w:pPr>
              <w:keepNext/>
              <w:ind w:left="135"/>
              <w:textAlignment w:val="baseline"/>
              <w:rPr>
                <w:rFonts w:eastAsia="Times New Roman" w:cs="Calibri"/>
                <w:sz w:val="20"/>
                <w:szCs w:val="20"/>
              </w:rPr>
            </w:pPr>
            <w:r w:rsidRPr="000B2AB8">
              <w:rPr>
                <w:rFonts w:eastAsia="Times New Roman" w:cs="Calibri"/>
                <w:color w:val="000000"/>
                <w:sz w:val="20"/>
                <w:szCs w:val="20"/>
              </w:rPr>
              <w:t>383</w:t>
            </w:r>
            <w:r w:rsidR="00EA78C7" w:rsidRPr="000B2AB8">
              <w:rPr>
                <w:rStyle w:val="FootnoteReference"/>
                <w:rFonts w:eastAsia="Times New Roman" w:cs="Calibri"/>
                <w:color w:val="000000"/>
                <w:sz w:val="20"/>
                <w:szCs w:val="20"/>
              </w:rPr>
              <w:footnoteReference w:id="18"/>
            </w:r>
          </w:p>
        </w:tc>
      </w:tr>
      <w:tr w:rsidR="00584433" w:rsidRPr="000B2AB8" w14:paraId="0B58C050" w14:textId="77777777" w:rsidTr="00B90F4D">
        <w:trPr>
          <w:trHeight w:val="360"/>
        </w:trPr>
        <w:tc>
          <w:tcPr>
            <w:tcW w:w="1201" w:type="pct"/>
            <w:shd w:val="clear" w:color="auto" w:fill="F2F2F2" w:themeFill="background1" w:themeFillShade="F2"/>
            <w:vAlign w:val="center"/>
            <w:hideMark/>
          </w:tcPr>
          <w:p w14:paraId="62DEE885" w14:textId="77777777" w:rsidR="00D809C5" w:rsidRPr="000B2AB8" w:rsidRDefault="00D809C5" w:rsidP="006207E3">
            <w:pPr>
              <w:keepNext/>
              <w:ind w:left="75" w:firstLine="15"/>
              <w:textAlignment w:val="baseline"/>
              <w:rPr>
                <w:rFonts w:eastAsia="Times New Roman" w:cs="Times New Roman"/>
                <w:sz w:val="20"/>
                <w:szCs w:val="20"/>
              </w:rPr>
            </w:pPr>
            <w:r w:rsidRPr="000B2AB8">
              <w:rPr>
                <w:rFonts w:eastAsia="Times New Roman" w:cs="Calibri"/>
                <w:b/>
                <w:bCs/>
                <w:sz w:val="20"/>
                <w:szCs w:val="20"/>
              </w:rPr>
              <w:t>Chartered Grade Span</w:t>
            </w:r>
            <w:r w:rsidRPr="000B2AB8">
              <w:rPr>
                <w:rFonts w:ascii="Arial" w:eastAsia="Times New Roman" w:hAnsi="Arial" w:cs="Arial"/>
                <w:sz w:val="20"/>
                <w:szCs w:val="20"/>
              </w:rPr>
              <w:t> </w:t>
            </w:r>
            <w:r w:rsidRPr="000B2AB8">
              <w:rPr>
                <w:rFonts w:eastAsia="Times New Roman" w:cs="Aptos"/>
                <w:sz w:val="20"/>
                <w:szCs w:val="20"/>
              </w:rPr>
              <w:t> </w:t>
            </w:r>
          </w:p>
        </w:tc>
        <w:tc>
          <w:tcPr>
            <w:tcW w:w="1299" w:type="pct"/>
            <w:shd w:val="clear" w:color="auto" w:fill="auto"/>
            <w:vAlign w:val="center"/>
            <w:hideMark/>
          </w:tcPr>
          <w:p w14:paraId="1C8B2942" w14:textId="77777777" w:rsidR="00D809C5" w:rsidRPr="000B2AB8" w:rsidRDefault="00D809C5" w:rsidP="006207E3">
            <w:pPr>
              <w:keepNext/>
              <w:ind w:left="90" w:hanging="15"/>
              <w:textAlignment w:val="baseline"/>
              <w:rPr>
                <w:rFonts w:eastAsia="Times New Roman" w:cs="Times New Roman"/>
                <w:sz w:val="20"/>
                <w:szCs w:val="20"/>
              </w:rPr>
            </w:pPr>
            <w:r w:rsidRPr="000B2AB8">
              <w:rPr>
                <w:rFonts w:eastAsia="Times New Roman" w:cs="Times New Roman"/>
                <w:sz w:val="20"/>
                <w:szCs w:val="20"/>
              </w:rPr>
              <w:t xml:space="preserve">9-12 </w:t>
            </w:r>
          </w:p>
        </w:tc>
        <w:tc>
          <w:tcPr>
            <w:tcW w:w="1299" w:type="pct"/>
            <w:shd w:val="clear" w:color="auto" w:fill="F2F2F2" w:themeFill="background1" w:themeFillShade="F2"/>
            <w:vAlign w:val="center"/>
          </w:tcPr>
          <w:p w14:paraId="21BA94E2" w14:textId="490F3299" w:rsidR="00D809C5" w:rsidRPr="000B2AB8" w:rsidRDefault="00B90F4D" w:rsidP="006207E3">
            <w:pPr>
              <w:keepNext/>
              <w:ind w:left="90"/>
              <w:textAlignment w:val="baseline"/>
              <w:rPr>
                <w:rFonts w:eastAsia="Times New Roman" w:cs="Times New Roman"/>
                <w:sz w:val="20"/>
                <w:szCs w:val="20"/>
              </w:rPr>
            </w:pPr>
            <w:r w:rsidRPr="000B2AB8">
              <w:rPr>
                <w:rFonts w:eastAsia="Times New Roman" w:cs="Calibri"/>
                <w:b/>
                <w:bCs/>
                <w:sz w:val="20"/>
                <w:szCs w:val="20"/>
              </w:rPr>
              <w:t>Current Grade Span</w:t>
            </w:r>
          </w:p>
        </w:tc>
        <w:tc>
          <w:tcPr>
            <w:tcW w:w="1201" w:type="pct"/>
            <w:shd w:val="clear" w:color="auto" w:fill="auto"/>
            <w:vAlign w:val="center"/>
          </w:tcPr>
          <w:p w14:paraId="0DEE55A8" w14:textId="30695FED" w:rsidR="00D809C5" w:rsidRPr="000B2AB8" w:rsidRDefault="00B90F4D" w:rsidP="006207E3">
            <w:pPr>
              <w:keepNext/>
              <w:ind w:left="135"/>
              <w:textAlignment w:val="baseline"/>
              <w:rPr>
                <w:rFonts w:eastAsia="Times New Roman" w:cs="Times New Roman"/>
                <w:sz w:val="20"/>
                <w:szCs w:val="20"/>
              </w:rPr>
            </w:pPr>
            <w:r w:rsidRPr="000B2AB8">
              <w:rPr>
                <w:rFonts w:eastAsia="Times New Roman" w:cs="Times New Roman"/>
                <w:sz w:val="20"/>
                <w:szCs w:val="20"/>
              </w:rPr>
              <w:t>9-12</w:t>
            </w:r>
          </w:p>
        </w:tc>
      </w:tr>
      <w:tr w:rsidR="00584433" w:rsidRPr="000B2AB8" w14:paraId="0E9A63DB" w14:textId="77777777" w:rsidTr="00B90F4D">
        <w:trPr>
          <w:trHeight w:val="360"/>
        </w:trPr>
        <w:tc>
          <w:tcPr>
            <w:tcW w:w="1201" w:type="pct"/>
            <w:shd w:val="clear" w:color="auto" w:fill="F2F2F2" w:themeFill="background1" w:themeFillShade="F2"/>
            <w:vAlign w:val="center"/>
          </w:tcPr>
          <w:p w14:paraId="66D66BF7" w14:textId="259A3EDA" w:rsidR="00D809C5" w:rsidRPr="000B2AB8" w:rsidRDefault="00B90F4D" w:rsidP="006207E3">
            <w:pPr>
              <w:keepNext/>
              <w:ind w:left="75"/>
              <w:textAlignment w:val="baseline"/>
              <w:rPr>
                <w:rFonts w:eastAsia="Times New Roman" w:cs="Calibri"/>
                <w:b/>
                <w:bCs/>
                <w:sz w:val="20"/>
                <w:szCs w:val="20"/>
              </w:rPr>
            </w:pPr>
            <w:r w:rsidRPr="000B2AB8">
              <w:rPr>
                <w:rFonts w:eastAsia="Times New Roman" w:cs="Calibri"/>
                <w:b/>
                <w:bCs/>
                <w:sz w:val="20"/>
                <w:szCs w:val="20"/>
              </w:rPr>
              <w:t>Students on Waitlist</w:t>
            </w:r>
            <w:r w:rsidRPr="000B2AB8">
              <w:rPr>
                <w:rFonts w:ascii="Arial" w:eastAsia="Times New Roman" w:hAnsi="Arial" w:cs="Arial"/>
                <w:sz w:val="20"/>
                <w:szCs w:val="20"/>
              </w:rPr>
              <w:t> </w:t>
            </w:r>
            <w:r w:rsidRPr="000B2AB8">
              <w:rPr>
                <w:rFonts w:eastAsia="Times New Roman" w:cs="Aptos"/>
                <w:sz w:val="20"/>
                <w:szCs w:val="20"/>
              </w:rPr>
              <w:t> </w:t>
            </w:r>
          </w:p>
        </w:tc>
        <w:tc>
          <w:tcPr>
            <w:tcW w:w="1299" w:type="pct"/>
            <w:shd w:val="clear" w:color="auto" w:fill="auto"/>
            <w:vAlign w:val="center"/>
          </w:tcPr>
          <w:p w14:paraId="4AF8D7B1" w14:textId="3D4B46BF" w:rsidR="00D809C5" w:rsidRPr="000B2AB8" w:rsidRDefault="00B90F4D" w:rsidP="006207E3">
            <w:pPr>
              <w:keepNext/>
              <w:ind w:left="90"/>
              <w:textAlignment w:val="baseline"/>
              <w:rPr>
                <w:rFonts w:eastAsia="Times New Roman" w:cs="Calibri"/>
                <w:color w:val="000000"/>
                <w:sz w:val="20"/>
                <w:szCs w:val="20"/>
              </w:rPr>
            </w:pPr>
            <w:r w:rsidRPr="000B2AB8">
              <w:rPr>
                <w:rFonts w:eastAsia="Times New Roman" w:cs="Calibri"/>
                <w:color w:val="000000"/>
                <w:sz w:val="20"/>
                <w:szCs w:val="20"/>
              </w:rPr>
              <w:t xml:space="preserve">FY25 Initial: 336   </w:t>
            </w:r>
            <w:r w:rsidRPr="000B2AB8">
              <w:rPr>
                <w:rFonts w:eastAsia="Times New Roman" w:cs="Calibri"/>
                <w:color w:val="000000"/>
                <w:sz w:val="20"/>
                <w:szCs w:val="20"/>
              </w:rPr>
              <w:br/>
            </w:r>
            <w:r w:rsidRPr="006C4071">
              <w:rPr>
                <w:rFonts w:eastAsia="Times New Roman" w:cs="Calibri"/>
                <w:color w:val="000000"/>
                <w:sz w:val="20"/>
                <w:szCs w:val="20"/>
              </w:rPr>
              <w:t>FY25 Update: 122</w:t>
            </w:r>
          </w:p>
        </w:tc>
        <w:tc>
          <w:tcPr>
            <w:tcW w:w="1299" w:type="pct"/>
            <w:shd w:val="clear" w:color="auto" w:fill="F2F2F2" w:themeFill="background1" w:themeFillShade="F2"/>
            <w:vAlign w:val="center"/>
          </w:tcPr>
          <w:p w14:paraId="47778FE5" w14:textId="74B68DDF" w:rsidR="00D809C5" w:rsidRPr="000B2AB8" w:rsidRDefault="00B90F4D" w:rsidP="006207E3">
            <w:pPr>
              <w:keepNext/>
              <w:ind w:left="90"/>
              <w:textAlignment w:val="baseline"/>
              <w:rPr>
                <w:rFonts w:eastAsia="Times New Roman" w:cs="Calibri"/>
                <w:b/>
                <w:bCs/>
                <w:sz w:val="20"/>
                <w:szCs w:val="20"/>
              </w:rPr>
            </w:pPr>
            <w:r w:rsidRPr="000B2AB8">
              <w:rPr>
                <w:rFonts w:eastAsia="Times New Roman" w:cs="Calibri"/>
                <w:b/>
                <w:bCs/>
                <w:sz w:val="20"/>
                <w:szCs w:val="20"/>
              </w:rPr>
              <w:t>Current Age of School</w:t>
            </w:r>
          </w:p>
        </w:tc>
        <w:tc>
          <w:tcPr>
            <w:tcW w:w="1201" w:type="pct"/>
            <w:shd w:val="clear" w:color="auto" w:fill="auto"/>
            <w:vAlign w:val="center"/>
          </w:tcPr>
          <w:p w14:paraId="50D821ED" w14:textId="44CA47C1" w:rsidR="00D809C5" w:rsidRPr="000B2AB8" w:rsidRDefault="00B90F4D" w:rsidP="006207E3">
            <w:pPr>
              <w:keepNext/>
              <w:ind w:left="135"/>
              <w:textAlignment w:val="baseline"/>
              <w:rPr>
                <w:rFonts w:eastAsia="Times New Roman" w:cs="Calibri"/>
                <w:sz w:val="20"/>
                <w:szCs w:val="20"/>
              </w:rPr>
            </w:pPr>
            <w:r w:rsidRPr="000B2AB8">
              <w:rPr>
                <w:rFonts w:eastAsia="Times New Roman" w:cs="Calibri"/>
                <w:color w:val="000000"/>
                <w:sz w:val="20"/>
                <w:szCs w:val="20"/>
              </w:rPr>
              <w:t>27 years</w:t>
            </w:r>
          </w:p>
        </w:tc>
      </w:tr>
      <w:tr w:rsidR="00D809C5" w:rsidRPr="000B2AB8" w14:paraId="11B3398D" w14:textId="77777777" w:rsidTr="00B11D8C">
        <w:trPr>
          <w:trHeight w:val="1070"/>
        </w:trPr>
        <w:tc>
          <w:tcPr>
            <w:tcW w:w="5000" w:type="pct"/>
            <w:gridSpan w:val="4"/>
            <w:shd w:val="clear" w:color="auto" w:fill="F2F2F2" w:themeFill="background1" w:themeFillShade="F2"/>
            <w:vAlign w:val="center"/>
          </w:tcPr>
          <w:p w14:paraId="7285CA6A" w14:textId="77777777" w:rsidR="00D809C5" w:rsidRPr="000B2AB8" w:rsidRDefault="00D809C5" w:rsidP="006207E3">
            <w:pPr>
              <w:keepNext/>
              <w:ind w:left="75"/>
              <w:textAlignment w:val="baseline"/>
              <w:rPr>
                <w:rFonts w:eastAsia="Times New Roman" w:cs="Calibri"/>
                <w:color w:val="000000"/>
                <w:sz w:val="20"/>
                <w:szCs w:val="20"/>
              </w:rPr>
            </w:pPr>
            <w:r w:rsidRPr="000B2AB8">
              <w:rPr>
                <w:rFonts w:eastAsia="Times New Roman" w:cs="Calibri"/>
                <w:b/>
                <w:bCs/>
                <w:sz w:val="20"/>
                <w:szCs w:val="20"/>
              </w:rPr>
              <w:t>Mission Statement:</w:t>
            </w:r>
            <w:r w:rsidRPr="000B2AB8">
              <w:rPr>
                <w:rFonts w:eastAsia="Times New Roman" w:cs="Calibri"/>
                <w:sz w:val="20"/>
                <w:szCs w:val="20"/>
              </w:rPr>
              <w:t> The Edward M. Kennedy Academy for Health Careers is a college preparatory and vocational high school for Boston students exploring careers in health and health-related professions. The Academy provides a supportive learning environment that promotes respect and embraces diversity. Students will attain the life skills needed to become productive and positive members of society.</w:t>
            </w:r>
          </w:p>
        </w:tc>
      </w:tr>
    </w:tbl>
    <w:p w14:paraId="15E9E96D" w14:textId="77777777" w:rsidR="00EE7E5A" w:rsidRPr="000B2AB8" w:rsidRDefault="00EE7E5A" w:rsidP="006207E3">
      <w:pPr>
        <w:keepNext/>
        <w:rPr>
          <w:rFonts w:cs="Calibri"/>
        </w:rPr>
      </w:pPr>
    </w:p>
    <w:p w14:paraId="21470AB8" w14:textId="0BE03F93" w:rsidR="005819B0" w:rsidRPr="000B2AB8" w:rsidRDefault="000313CE" w:rsidP="006207E3">
      <w:pPr>
        <w:keepNext/>
        <w:rPr>
          <w:rFonts w:cs="Calibri"/>
          <w:b/>
          <w:bCs/>
        </w:rPr>
      </w:pPr>
      <w:r w:rsidRPr="000B2AB8">
        <w:rPr>
          <w:rFonts w:cs="Calibri"/>
        </w:rPr>
        <w:tab/>
      </w:r>
      <w:r w:rsidRPr="000B2AB8">
        <w:rPr>
          <w:rFonts w:cs="Calibri"/>
          <w:b/>
          <w:bCs/>
        </w:rPr>
        <w:t>Request</w:t>
      </w:r>
      <w:r w:rsidR="00593C93" w:rsidRPr="000B2AB8">
        <w:rPr>
          <w:rFonts w:cs="Calibri"/>
          <w:b/>
          <w:bCs/>
        </w:rPr>
        <w:t xml:space="preserve"> and Plan for Implementation</w:t>
      </w:r>
    </w:p>
    <w:p w14:paraId="02B9DCAA" w14:textId="77777777" w:rsidR="00F53324" w:rsidRPr="000B2AB8" w:rsidRDefault="00F53324" w:rsidP="005819B0">
      <w:pPr>
        <w:rPr>
          <w:rFonts w:cs="Calibri"/>
        </w:rPr>
      </w:pPr>
    </w:p>
    <w:p w14:paraId="38753B0A" w14:textId="2FFD6DFC" w:rsidR="001F39EF" w:rsidRPr="000B2AB8" w:rsidRDefault="00F53324" w:rsidP="00FF23E4">
      <w:pPr>
        <w:rPr>
          <w:rFonts w:cs="Calibri"/>
        </w:rPr>
      </w:pPr>
      <w:r w:rsidRPr="000B2AB8">
        <w:rPr>
          <w:rFonts w:cs="Calibri"/>
        </w:rPr>
        <w:t xml:space="preserve">The board of trustees of EMK has submitted a request to increase </w:t>
      </w:r>
      <w:r w:rsidR="00A15EB5" w:rsidRPr="000B2AB8">
        <w:rPr>
          <w:rFonts w:cs="Calibri"/>
        </w:rPr>
        <w:t xml:space="preserve">its maximum </w:t>
      </w:r>
      <w:r w:rsidRPr="000B2AB8">
        <w:rPr>
          <w:rFonts w:cs="Calibri"/>
        </w:rPr>
        <w:t>enrollment by 352 students, effective for the 2025-2026 school year.</w:t>
      </w:r>
      <w:r w:rsidR="0062512A" w:rsidRPr="000B2AB8">
        <w:rPr>
          <w:rStyle w:val="FootnoteReference"/>
          <w:rFonts w:cs="Calibri"/>
        </w:rPr>
        <w:footnoteReference w:id="19"/>
      </w:r>
      <w:r w:rsidRPr="000B2AB8">
        <w:rPr>
          <w:rFonts w:cs="Calibri"/>
        </w:rPr>
        <w:t xml:space="preserve"> The Boston School Committee and Boston Teachers Union approved the school’s request as required by 603 CMR 1.10(4)(b).</w:t>
      </w:r>
      <w:r w:rsidR="00E02635" w:rsidRPr="000B2AB8">
        <w:rPr>
          <w:rFonts w:cs="Calibri"/>
        </w:rPr>
        <w:t xml:space="preserve"> </w:t>
      </w:r>
      <w:r w:rsidR="00AF3AFE" w:rsidRPr="000B2AB8">
        <w:rPr>
          <w:rFonts w:cs="Calibri"/>
        </w:rPr>
        <w:t xml:space="preserve">A copy of the school’s request is attached. </w:t>
      </w:r>
      <w:r w:rsidRPr="000B2AB8">
        <w:rPr>
          <w:rFonts w:cs="Calibri"/>
        </w:rPr>
        <w:t>The school proposes to almost double the size of its grade 9 cohort</w:t>
      </w:r>
      <w:r w:rsidR="00F75EA8" w:rsidRPr="000B2AB8">
        <w:rPr>
          <w:rFonts w:cs="Calibri"/>
        </w:rPr>
        <w:t xml:space="preserve"> in its first year of implementation</w:t>
      </w:r>
      <w:r w:rsidRPr="000B2AB8">
        <w:rPr>
          <w:rFonts w:cs="Calibri"/>
        </w:rPr>
        <w:t xml:space="preserve">, </w:t>
      </w:r>
      <w:r w:rsidR="008414E4" w:rsidRPr="000B2AB8">
        <w:rPr>
          <w:rFonts w:cs="Calibri"/>
        </w:rPr>
        <w:t>enrolling</w:t>
      </w:r>
      <w:r w:rsidRPr="000B2AB8">
        <w:rPr>
          <w:rFonts w:cs="Calibri"/>
        </w:rPr>
        <w:t xml:space="preserve"> 224 </w:t>
      </w:r>
      <w:r w:rsidR="002E653D">
        <w:rPr>
          <w:rFonts w:cs="Calibri"/>
        </w:rPr>
        <w:t>ninth grade</w:t>
      </w:r>
      <w:r w:rsidR="005D6CE0" w:rsidRPr="000B2AB8">
        <w:rPr>
          <w:rFonts w:cs="Calibri"/>
        </w:rPr>
        <w:t xml:space="preserve"> </w:t>
      </w:r>
      <w:r w:rsidRPr="000B2AB8">
        <w:rPr>
          <w:rFonts w:cs="Calibri"/>
        </w:rPr>
        <w:t>students</w:t>
      </w:r>
      <w:r w:rsidR="00E05DC3" w:rsidRPr="000B2AB8">
        <w:rPr>
          <w:rFonts w:cs="Calibri"/>
        </w:rPr>
        <w:t xml:space="preserve"> </w:t>
      </w:r>
      <w:r w:rsidR="008F4C24" w:rsidRPr="000B2AB8">
        <w:rPr>
          <w:rFonts w:cs="Calibri"/>
        </w:rPr>
        <w:t xml:space="preserve">in </w:t>
      </w:r>
      <w:r w:rsidR="005D6CE0" w:rsidRPr="000B2AB8">
        <w:rPr>
          <w:rFonts w:cs="Calibri"/>
        </w:rPr>
        <w:t>fall 2025</w:t>
      </w:r>
      <w:r w:rsidR="00B61925">
        <w:rPr>
          <w:rFonts w:cs="Calibri"/>
        </w:rPr>
        <w:t xml:space="preserve">, </w:t>
      </w:r>
      <w:r w:rsidR="00CC57BF" w:rsidRPr="000B2AB8">
        <w:rPr>
          <w:rFonts w:cs="Calibri"/>
        </w:rPr>
        <w:t>ultimately</w:t>
      </w:r>
      <w:r w:rsidR="00B1629E" w:rsidRPr="000B2AB8">
        <w:rPr>
          <w:rFonts w:cs="Calibri"/>
        </w:rPr>
        <w:t xml:space="preserve"> </w:t>
      </w:r>
      <w:r w:rsidRPr="000B2AB8">
        <w:rPr>
          <w:rFonts w:cs="Calibri"/>
        </w:rPr>
        <w:t xml:space="preserve">reaching its </w:t>
      </w:r>
      <w:r w:rsidR="00BC3C3E" w:rsidRPr="000B2AB8">
        <w:rPr>
          <w:rFonts w:cs="Calibri"/>
        </w:rPr>
        <w:t xml:space="preserve">proposed </w:t>
      </w:r>
      <w:r w:rsidRPr="000B2AB8">
        <w:rPr>
          <w:rFonts w:cs="Calibri"/>
        </w:rPr>
        <w:t xml:space="preserve">maximum enrollment </w:t>
      </w:r>
      <w:r w:rsidR="007F5AD8" w:rsidRPr="000B2AB8">
        <w:rPr>
          <w:rFonts w:cs="Calibri"/>
        </w:rPr>
        <w:t xml:space="preserve">of 800 students </w:t>
      </w:r>
      <w:r w:rsidRPr="000B2AB8">
        <w:rPr>
          <w:rFonts w:cs="Calibri"/>
        </w:rPr>
        <w:t xml:space="preserve">in four years. </w:t>
      </w:r>
      <w:r w:rsidR="0062512A" w:rsidRPr="000B2AB8">
        <w:rPr>
          <w:rFonts w:cs="Calibri"/>
        </w:rPr>
        <w:t xml:space="preserve">BPS has allocated a temporary space, the former Josiah Quincy Upper School location on Arlington Street, for </w:t>
      </w:r>
      <w:r w:rsidR="003A7536" w:rsidRPr="000B2AB8">
        <w:rPr>
          <w:rFonts w:cs="Calibri"/>
        </w:rPr>
        <w:t xml:space="preserve">a portion of </w:t>
      </w:r>
      <w:r w:rsidR="0062512A" w:rsidRPr="000B2AB8">
        <w:rPr>
          <w:rFonts w:cs="Calibri"/>
        </w:rPr>
        <w:t>EMK</w:t>
      </w:r>
      <w:r w:rsidR="00C82130" w:rsidRPr="000B2AB8">
        <w:rPr>
          <w:rFonts w:cs="Calibri"/>
        </w:rPr>
        <w:t xml:space="preserve"> </w:t>
      </w:r>
      <w:r w:rsidR="0062512A" w:rsidRPr="000B2AB8">
        <w:rPr>
          <w:rFonts w:cs="Calibri"/>
        </w:rPr>
        <w:t xml:space="preserve">during the first two years of the </w:t>
      </w:r>
      <w:r w:rsidR="004B6FED" w:rsidRPr="000B2AB8">
        <w:rPr>
          <w:rFonts w:cs="Calibri"/>
        </w:rPr>
        <w:t>proposed enrollment increase</w:t>
      </w:r>
      <w:r w:rsidR="0062512A" w:rsidRPr="000B2AB8">
        <w:rPr>
          <w:rFonts w:cs="Calibri"/>
        </w:rPr>
        <w:t xml:space="preserve">. EMK is working with BPS and the city to identify a long-term site for </w:t>
      </w:r>
      <w:r w:rsidR="00D52C0D" w:rsidRPr="000B2AB8">
        <w:rPr>
          <w:rFonts w:cs="Calibri"/>
        </w:rPr>
        <w:t>the school</w:t>
      </w:r>
      <w:r w:rsidR="0062512A" w:rsidRPr="000B2AB8">
        <w:rPr>
          <w:rFonts w:cs="Calibri"/>
        </w:rPr>
        <w:t xml:space="preserve">. </w:t>
      </w:r>
    </w:p>
    <w:p w14:paraId="18AF9DD2" w14:textId="77777777" w:rsidR="001F39EF" w:rsidRPr="000B2AB8" w:rsidRDefault="001F39EF" w:rsidP="00FF23E4">
      <w:pPr>
        <w:rPr>
          <w:rFonts w:cs="Calibri"/>
        </w:rPr>
      </w:pPr>
    </w:p>
    <w:p w14:paraId="52F33B67" w14:textId="2FF70CE6" w:rsidR="00E02635" w:rsidRPr="000B2AB8" w:rsidRDefault="00E02635" w:rsidP="00E02635">
      <w:pPr>
        <w:rPr>
          <w:rFonts w:cs="Calibri"/>
        </w:rPr>
      </w:pPr>
      <w:r w:rsidRPr="000B2AB8">
        <w:rPr>
          <w:rFonts w:cs="Calibri"/>
        </w:rPr>
        <w:t xml:space="preserve">The school's waitlist demonstrates demand for enrollment and supports the proposed increase. The </w:t>
      </w:r>
      <w:r w:rsidR="00D52C0D" w:rsidRPr="000B2AB8">
        <w:rPr>
          <w:rFonts w:cs="Calibri"/>
        </w:rPr>
        <w:t xml:space="preserve">school reported </w:t>
      </w:r>
      <w:r w:rsidR="00EA0F67" w:rsidRPr="000B2AB8">
        <w:rPr>
          <w:rFonts w:cs="Calibri"/>
        </w:rPr>
        <w:t>336</w:t>
      </w:r>
      <w:r w:rsidR="00B34C13" w:rsidRPr="000B2AB8">
        <w:rPr>
          <w:rFonts w:cs="Calibri"/>
        </w:rPr>
        <w:t xml:space="preserve"> students</w:t>
      </w:r>
      <w:r w:rsidRPr="000B2AB8">
        <w:rPr>
          <w:rFonts w:cs="Calibri"/>
        </w:rPr>
        <w:t xml:space="preserve"> </w:t>
      </w:r>
      <w:r w:rsidR="00081C2D" w:rsidRPr="000B2AB8">
        <w:rPr>
          <w:rFonts w:cs="Calibri"/>
        </w:rPr>
        <w:t xml:space="preserve">on its waitlist </w:t>
      </w:r>
      <w:r w:rsidRPr="000B2AB8">
        <w:rPr>
          <w:rFonts w:cs="Calibri"/>
        </w:rPr>
        <w:t xml:space="preserve">in March 2024 and </w:t>
      </w:r>
      <w:r w:rsidR="00EA0F67" w:rsidRPr="000B2AB8">
        <w:rPr>
          <w:rFonts w:cs="Calibri"/>
        </w:rPr>
        <w:t>362</w:t>
      </w:r>
      <w:r w:rsidRPr="000B2AB8">
        <w:rPr>
          <w:rFonts w:cs="Calibri"/>
        </w:rPr>
        <w:t xml:space="preserve"> </w:t>
      </w:r>
      <w:r w:rsidR="00B34C13" w:rsidRPr="000B2AB8">
        <w:rPr>
          <w:rFonts w:cs="Calibri"/>
        </w:rPr>
        <w:t xml:space="preserve">students </w:t>
      </w:r>
      <w:r w:rsidR="007601F1" w:rsidRPr="000B2AB8">
        <w:rPr>
          <w:rFonts w:cs="Calibri"/>
        </w:rPr>
        <w:t xml:space="preserve">on its waitlist </w:t>
      </w:r>
      <w:r w:rsidRPr="000B2AB8">
        <w:rPr>
          <w:rFonts w:cs="Calibri"/>
        </w:rPr>
        <w:t xml:space="preserve">in March 2023. </w:t>
      </w:r>
      <w:r w:rsidR="00563141" w:rsidRPr="000B2AB8">
        <w:rPr>
          <w:rFonts w:cs="Calibri"/>
        </w:rPr>
        <w:t xml:space="preserve">EMK </w:t>
      </w:r>
      <w:r w:rsidRPr="000B2AB8">
        <w:rPr>
          <w:rFonts w:cs="Calibri"/>
        </w:rPr>
        <w:t>currently admits new students in</w:t>
      </w:r>
      <w:r w:rsidR="00DC52C1" w:rsidRPr="000B2AB8">
        <w:rPr>
          <w:rFonts w:cs="Calibri"/>
        </w:rPr>
        <w:t xml:space="preserve"> all</w:t>
      </w:r>
      <w:r w:rsidRPr="000B2AB8">
        <w:rPr>
          <w:rFonts w:cs="Calibri"/>
        </w:rPr>
        <w:t xml:space="preserve"> grade</w:t>
      </w:r>
      <w:r w:rsidR="00DC52C1" w:rsidRPr="000B2AB8">
        <w:rPr>
          <w:rFonts w:cs="Calibri"/>
        </w:rPr>
        <w:t>s</w:t>
      </w:r>
      <w:r w:rsidRPr="000B2AB8">
        <w:rPr>
          <w:rFonts w:cs="Calibri"/>
        </w:rPr>
        <w:t xml:space="preserve"> and fills vacancies during the school year in </w:t>
      </w:r>
      <w:r w:rsidR="00DC52C1" w:rsidRPr="000B2AB8">
        <w:rPr>
          <w:rFonts w:cs="Calibri"/>
        </w:rPr>
        <w:t xml:space="preserve">all </w:t>
      </w:r>
      <w:r w:rsidRPr="000B2AB8">
        <w:rPr>
          <w:rFonts w:cs="Calibri"/>
        </w:rPr>
        <w:t>grades</w:t>
      </w:r>
      <w:r w:rsidR="00DC52C1" w:rsidRPr="000B2AB8">
        <w:rPr>
          <w:rFonts w:cs="Calibri"/>
        </w:rPr>
        <w:t xml:space="preserve">, exceeding </w:t>
      </w:r>
      <w:r w:rsidRPr="000B2AB8">
        <w:rPr>
          <w:rFonts w:cs="Calibri"/>
        </w:rPr>
        <w:t xml:space="preserve">statutory requirements. </w:t>
      </w:r>
    </w:p>
    <w:p w14:paraId="46617212" w14:textId="77777777" w:rsidR="00E02635" w:rsidRPr="000B2AB8" w:rsidRDefault="00E02635" w:rsidP="00FF23E4">
      <w:pPr>
        <w:rPr>
          <w:rFonts w:cs="Calibri"/>
        </w:rPr>
      </w:pPr>
    </w:p>
    <w:p w14:paraId="45704AA3" w14:textId="77777777" w:rsidR="00C95384" w:rsidRPr="000B2AB8" w:rsidRDefault="00FE5D5D" w:rsidP="00FF23E4">
      <w:pPr>
        <w:rPr>
          <w:rFonts w:cs="Calibri"/>
        </w:rPr>
      </w:pPr>
      <w:r w:rsidRPr="000B2AB8">
        <w:rPr>
          <w:rFonts w:cs="Calibri"/>
        </w:rPr>
        <w:t>As noted in the school’s mission, EMK</w:t>
      </w:r>
      <w:r w:rsidR="00C97860" w:rsidRPr="000B2AB8">
        <w:rPr>
          <w:rFonts w:cs="Calibri"/>
        </w:rPr>
        <w:t xml:space="preserve">’s educational </w:t>
      </w:r>
      <w:r w:rsidR="002B1E29" w:rsidRPr="000B2AB8">
        <w:rPr>
          <w:rFonts w:cs="Calibri"/>
        </w:rPr>
        <w:t xml:space="preserve">program </w:t>
      </w:r>
      <w:r w:rsidR="00453C80" w:rsidRPr="000B2AB8">
        <w:rPr>
          <w:rFonts w:cs="Calibri"/>
        </w:rPr>
        <w:t>provides students</w:t>
      </w:r>
      <w:r w:rsidR="002B1E29" w:rsidRPr="000B2AB8">
        <w:rPr>
          <w:rFonts w:cs="Calibri"/>
        </w:rPr>
        <w:t xml:space="preserve"> </w:t>
      </w:r>
      <w:r w:rsidR="0043364F" w:rsidRPr="000B2AB8">
        <w:rPr>
          <w:rFonts w:cs="Calibri"/>
        </w:rPr>
        <w:t xml:space="preserve">with </w:t>
      </w:r>
      <w:r w:rsidR="00C97860" w:rsidRPr="000B2AB8">
        <w:rPr>
          <w:rFonts w:cs="Calibri"/>
        </w:rPr>
        <w:t xml:space="preserve">college </w:t>
      </w:r>
      <w:r w:rsidR="00806358" w:rsidRPr="000B2AB8">
        <w:rPr>
          <w:rFonts w:cs="Calibri"/>
        </w:rPr>
        <w:t xml:space="preserve">preparation </w:t>
      </w:r>
      <w:r w:rsidR="00C97860" w:rsidRPr="000B2AB8">
        <w:rPr>
          <w:rFonts w:cs="Calibri"/>
        </w:rPr>
        <w:t xml:space="preserve">and career </w:t>
      </w:r>
      <w:r w:rsidR="00AB4C62" w:rsidRPr="000B2AB8">
        <w:rPr>
          <w:rFonts w:cs="Calibri"/>
        </w:rPr>
        <w:t xml:space="preserve">exploration and </w:t>
      </w:r>
      <w:r w:rsidR="00C97860" w:rsidRPr="000B2AB8">
        <w:rPr>
          <w:rFonts w:cs="Calibri"/>
        </w:rPr>
        <w:t>preparatio</w:t>
      </w:r>
      <w:r w:rsidR="002B1E29" w:rsidRPr="000B2AB8">
        <w:rPr>
          <w:rFonts w:cs="Calibri"/>
        </w:rPr>
        <w:t>n</w:t>
      </w:r>
      <w:r w:rsidR="00B95B65" w:rsidRPr="000B2AB8">
        <w:rPr>
          <w:rFonts w:cs="Calibri"/>
        </w:rPr>
        <w:t xml:space="preserve"> in </w:t>
      </w:r>
      <w:r w:rsidR="00F26463" w:rsidRPr="000B2AB8">
        <w:rPr>
          <w:rFonts w:cs="Calibri"/>
        </w:rPr>
        <w:t>health and health-related professions</w:t>
      </w:r>
      <w:r w:rsidR="002B1E29" w:rsidRPr="000B2AB8">
        <w:rPr>
          <w:rFonts w:cs="Calibri"/>
        </w:rPr>
        <w:t>.</w:t>
      </w:r>
      <w:r w:rsidRPr="000B2AB8">
        <w:rPr>
          <w:rFonts w:cs="Calibri"/>
        </w:rPr>
        <w:t xml:space="preserve"> </w:t>
      </w:r>
      <w:r w:rsidR="001F39EF" w:rsidRPr="000B2AB8">
        <w:rPr>
          <w:rFonts w:cs="Calibri"/>
        </w:rPr>
        <w:t xml:space="preserve">EMK provides learning opportunities to students in grades 9 and 10 through career and technical education (CTE) exploratory programming. Students in grades 11 and 12 are able to participate in its Chapter 74 Health Assisting program; participants can earn certified nursing assistant (CNA) and emergency medical technician (EMT) certifications. </w:t>
      </w:r>
    </w:p>
    <w:p w14:paraId="2109DA1B" w14:textId="77777777" w:rsidR="00C95384" w:rsidRPr="000B2AB8" w:rsidRDefault="00C95384" w:rsidP="00FF23E4">
      <w:pPr>
        <w:rPr>
          <w:rFonts w:cs="Calibri"/>
        </w:rPr>
      </w:pPr>
    </w:p>
    <w:p w14:paraId="58B33EC1" w14:textId="1CF2793B" w:rsidR="00FF23E4" w:rsidRPr="000B2AB8" w:rsidRDefault="000043EF" w:rsidP="00FF23E4">
      <w:pPr>
        <w:rPr>
          <w:rFonts w:cs="Calibri"/>
        </w:rPr>
      </w:pPr>
      <w:r w:rsidRPr="000B2AB8">
        <w:rPr>
          <w:rFonts w:cs="Calibri"/>
        </w:rPr>
        <w:t xml:space="preserve">In January 2024, </w:t>
      </w:r>
      <w:r w:rsidR="00352877" w:rsidRPr="000B2AB8">
        <w:rPr>
          <w:rFonts w:cs="Calibri"/>
        </w:rPr>
        <w:t xml:space="preserve">Bloomberg </w:t>
      </w:r>
      <w:r w:rsidR="00ED7E5F" w:rsidRPr="000B2AB8">
        <w:rPr>
          <w:rFonts w:cs="Calibri"/>
        </w:rPr>
        <w:t>Philanthropies</w:t>
      </w:r>
      <w:r w:rsidR="00352877" w:rsidRPr="000B2AB8">
        <w:rPr>
          <w:rFonts w:cs="Calibri"/>
        </w:rPr>
        <w:t xml:space="preserve"> </w:t>
      </w:r>
      <w:r w:rsidR="00F53324" w:rsidRPr="000B2AB8">
        <w:rPr>
          <w:rFonts w:cs="Calibri"/>
        </w:rPr>
        <w:t xml:space="preserve">awarded </w:t>
      </w:r>
      <w:r w:rsidR="004675CB" w:rsidRPr="000B2AB8">
        <w:rPr>
          <w:rFonts w:cs="Calibri"/>
        </w:rPr>
        <w:t xml:space="preserve">a </w:t>
      </w:r>
      <w:r w:rsidR="00F53324" w:rsidRPr="000B2AB8">
        <w:rPr>
          <w:rFonts w:cs="Calibri"/>
        </w:rPr>
        <w:t xml:space="preserve">$38 million </w:t>
      </w:r>
      <w:r w:rsidRPr="000B2AB8">
        <w:rPr>
          <w:rFonts w:cs="Calibri"/>
        </w:rPr>
        <w:t>grant</w:t>
      </w:r>
      <w:r w:rsidR="00F53324" w:rsidRPr="000B2AB8">
        <w:rPr>
          <w:rFonts w:cs="Calibri"/>
        </w:rPr>
        <w:t>, to be distributed over a six-year period</w:t>
      </w:r>
      <w:r w:rsidR="009B36ED" w:rsidRPr="000B2AB8">
        <w:rPr>
          <w:rFonts w:cs="Calibri"/>
        </w:rPr>
        <w:t xml:space="preserve">, to support a partnership </w:t>
      </w:r>
      <w:r w:rsidR="00C84C8F" w:rsidRPr="000B2AB8">
        <w:rPr>
          <w:rFonts w:cs="Calibri"/>
        </w:rPr>
        <w:t>between Boston Public Schools and Mass</w:t>
      </w:r>
      <w:r w:rsidR="00F46F48" w:rsidRPr="000B2AB8">
        <w:rPr>
          <w:rFonts w:cs="Calibri"/>
        </w:rPr>
        <w:t>achusetts</w:t>
      </w:r>
      <w:r w:rsidR="00C84C8F" w:rsidRPr="000B2AB8">
        <w:rPr>
          <w:rFonts w:cs="Calibri"/>
        </w:rPr>
        <w:t xml:space="preserve"> General Brigham hospital</w:t>
      </w:r>
      <w:r w:rsidR="00F53324" w:rsidRPr="000B2AB8">
        <w:rPr>
          <w:rFonts w:cs="Calibri"/>
        </w:rPr>
        <w:t xml:space="preserve">. </w:t>
      </w:r>
      <w:r w:rsidR="006F4BE4" w:rsidRPr="000B2AB8">
        <w:rPr>
          <w:rFonts w:cs="Calibri"/>
        </w:rPr>
        <w:t xml:space="preserve">Supported by </w:t>
      </w:r>
      <w:r w:rsidR="00C45384" w:rsidRPr="000B2AB8">
        <w:rPr>
          <w:rFonts w:cs="Calibri"/>
        </w:rPr>
        <w:t xml:space="preserve">the </w:t>
      </w:r>
      <w:r w:rsidR="00461B9B" w:rsidRPr="000B2AB8">
        <w:rPr>
          <w:rFonts w:cs="Calibri"/>
        </w:rPr>
        <w:t>partnership with Mass</w:t>
      </w:r>
      <w:r w:rsidR="00F46F48" w:rsidRPr="000B2AB8">
        <w:rPr>
          <w:rFonts w:cs="Calibri"/>
        </w:rPr>
        <w:t>achusetts</w:t>
      </w:r>
      <w:r w:rsidR="00461B9B" w:rsidRPr="000B2AB8">
        <w:rPr>
          <w:rFonts w:cs="Calibri"/>
        </w:rPr>
        <w:t xml:space="preserve"> General Brigham</w:t>
      </w:r>
      <w:r w:rsidR="00E677D1" w:rsidRPr="000B2AB8">
        <w:rPr>
          <w:rFonts w:cs="Calibri"/>
        </w:rPr>
        <w:t xml:space="preserve"> and </w:t>
      </w:r>
      <w:r w:rsidR="00AF0963" w:rsidRPr="000B2AB8">
        <w:rPr>
          <w:rFonts w:cs="Calibri"/>
        </w:rPr>
        <w:t xml:space="preserve">the </w:t>
      </w:r>
      <w:r w:rsidR="00FC401E" w:rsidRPr="000B2AB8">
        <w:rPr>
          <w:rFonts w:cs="Calibri"/>
        </w:rPr>
        <w:t>grant</w:t>
      </w:r>
      <w:r w:rsidR="00C45384" w:rsidRPr="000B2AB8">
        <w:rPr>
          <w:rFonts w:cs="Calibri"/>
        </w:rPr>
        <w:t xml:space="preserve">, the school seeks to increase enrollment in </w:t>
      </w:r>
      <w:r w:rsidR="00FC401E" w:rsidRPr="000B2AB8">
        <w:rPr>
          <w:rFonts w:cs="Calibri"/>
        </w:rPr>
        <w:t xml:space="preserve">its </w:t>
      </w:r>
      <w:r w:rsidR="00C45384" w:rsidRPr="000B2AB8">
        <w:rPr>
          <w:rFonts w:cs="Calibri"/>
        </w:rPr>
        <w:t>two existing health career pathways</w:t>
      </w:r>
      <w:r w:rsidR="00DA0B67" w:rsidRPr="000B2AB8">
        <w:rPr>
          <w:rFonts w:cs="Calibri"/>
        </w:rPr>
        <w:t xml:space="preserve"> </w:t>
      </w:r>
      <w:r w:rsidR="00C45384" w:rsidRPr="000B2AB8">
        <w:rPr>
          <w:rFonts w:cs="Calibri"/>
        </w:rPr>
        <w:t xml:space="preserve">and </w:t>
      </w:r>
      <w:r w:rsidR="00FC401E" w:rsidRPr="000B2AB8">
        <w:rPr>
          <w:rFonts w:cs="Calibri"/>
        </w:rPr>
        <w:t xml:space="preserve">to </w:t>
      </w:r>
      <w:r w:rsidR="00C45384" w:rsidRPr="000B2AB8">
        <w:rPr>
          <w:rFonts w:cs="Calibri"/>
        </w:rPr>
        <w:t>create three new pathways in radiolog</w:t>
      </w:r>
      <w:r w:rsidR="00C34909" w:rsidRPr="000B2AB8">
        <w:rPr>
          <w:rFonts w:cs="Calibri"/>
        </w:rPr>
        <w:t>ic</w:t>
      </w:r>
      <w:r w:rsidR="00C45384" w:rsidRPr="000B2AB8">
        <w:rPr>
          <w:rFonts w:cs="Calibri"/>
        </w:rPr>
        <w:t xml:space="preserve"> tech</w:t>
      </w:r>
      <w:r w:rsidR="00447E33" w:rsidRPr="000B2AB8">
        <w:rPr>
          <w:rFonts w:cs="Calibri"/>
        </w:rPr>
        <w:t>nology</w:t>
      </w:r>
      <w:r w:rsidR="00C45384" w:rsidRPr="000B2AB8">
        <w:rPr>
          <w:rFonts w:cs="Calibri"/>
        </w:rPr>
        <w:t>/medical imaging, surgical tech</w:t>
      </w:r>
      <w:r w:rsidR="00FA734B" w:rsidRPr="000B2AB8">
        <w:rPr>
          <w:rFonts w:cs="Calibri"/>
        </w:rPr>
        <w:t>nology</w:t>
      </w:r>
      <w:r w:rsidR="00C45384" w:rsidRPr="000B2AB8">
        <w:rPr>
          <w:rFonts w:cs="Calibri"/>
        </w:rPr>
        <w:t>/central sterile processing, and biotechnology/medical laboratory.</w:t>
      </w:r>
      <w:r w:rsidR="00ED50E3" w:rsidRPr="000B2AB8">
        <w:rPr>
          <w:rFonts w:cs="Calibri"/>
        </w:rPr>
        <w:t xml:space="preserve"> </w:t>
      </w:r>
      <w:r w:rsidR="00552784" w:rsidRPr="000B2AB8">
        <w:rPr>
          <w:rFonts w:cs="Calibri"/>
        </w:rPr>
        <w:t xml:space="preserve">The partnership will offer EMK students </w:t>
      </w:r>
      <w:r w:rsidR="00516365" w:rsidRPr="000B2AB8">
        <w:rPr>
          <w:rFonts w:cs="Calibri"/>
        </w:rPr>
        <w:t xml:space="preserve">work-based learning, summer and afterschool placements, and career counseling. </w:t>
      </w:r>
      <w:r w:rsidR="0017666C" w:rsidRPr="00F674C2">
        <w:rPr>
          <w:rFonts w:cs="Calibri"/>
        </w:rPr>
        <w:t>EMK</w:t>
      </w:r>
      <w:r w:rsidR="00F82967" w:rsidRPr="000B2AB8">
        <w:rPr>
          <w:rFonts w:cs="Calibri"/>
        </w:rPr>
        <w:t xml:space="preserve"> also plans to expand student access to </w:t>
      </w:r>
      <w:r w:rsidR="00AE4655" w:rsidRPr="000B2AB8">
        <w:rPr>
          <w:rFonts w:cs="Calibri"/>
        </w:rPr>
        <w:t xml:space="preserve">advanced </w:t>
      </w:r>
      <w:r w:rsidR="00F82967" w:rsidRPr="000B2AB8">
        <w:rPr>
          <w:rFonts w:cs="Calibri"/>
        </w:rPr>
        <w:t>health career credentials through partnerships with higher education institutions</w:t>
      </w:r>
      <w:r w:rsidR="00AE4655" w:rsidRPr="000B2AB8">
        <w:rPr>
          <w:rFonts w:cs="Calibri"/>
        </w:rPr>
        <w:t xml:space="preserve"> offering aligned college coursework</w:t>
      </w:r>
      <w:r w:rsidR="00F82967" w:rsidRPr="000B2AB8">
        <w:rPr>
          <w:rFonts w:cs="Calibri"/>
        </w:rPr>
        <w:t xml:space="preserve">. </w:t>
      </w:r>
    </w:p>
    <w:p w14:paraId="51C383FE" w14:textId="77777777" w:rsidR="00106705" w:rsidRPr="000B2AB8" w:rsidRDefault="00106705" w:rsidP="00FF23E4">
      <w:pPr>
        <w:rPr>
          <w:rFonts w:cs="Calibri"/>
        </w:rPr>
      </w:pPr>
    </w:p>
    <w:p w14:paraId="69690C84" w14:textId="7E074F5F" w:rsidR="00F70F3B" w:rsidRPr="000B2AB8" w:rsidRDefault="00DB0B03" w:rsidP="0004351F">
      <w:pPr>
        <w:rPr>
          <w:rFonts w:cs="Calibri"/>
          <w:b/>
          <w:bCs/>
        </w:rPr>
      </w:pPr>
      <w:r w:rsidRPr="000B2AB8">
        <w:rPr>
          <w:rFonts w:cs="Calibri"/>
        </w:rPr>
        <w:tab/>
      </w:r>
      <w:r w:rsidR="008A6086" w:rsidRPr="000B2AB8">
        <w:rPr>
          <w:rFonts w:cs="Calibri"/>
          <w:b/>
          <w:bCs/>
        </w:rPr>
        <w:t>Public Comment</w:t>
      </w:r>
    </w:p>
    <w:p w14:paraId="143F1B0A" w14:textId="77777777" w:rsidR="00F70F3B" w:rsidRPr="000B2AB8" w:rsidRDefault="00F70F3B" w:rsidP="00234BF9">
      <w:pPr>
        <w:keepNext/>
        <w:keepLines/>
        <w:rPr>
          <w:rFonts w:cs="Calibri"/>
        </w:rPr>
      </w:pPr>
    </w:p>
    <w:p w14:paraId="39922E18" w14:textId="7F4B3378" w:rsidR="00477EF1" w:rsidRPr="000B2AB8" w:rsidRDefault="001B6205" w:rsidP="00234BF9">
      <w:pPr>
        <w:keepNext/>
        <w:keepLines/>
        <w:rPr>
          <w:rFonts w:cs="Calibri"/>
        </w:rPr>
      </w:pPr>
      <w:r w:rsidRPr="000B2AB8">
        <w:rPr>
          <w:rFonts w:cs="Calibri"/>
        </w:rPr>
        <w:t xml:space="preserve">The Department received comment in support of the </w:t>
      </w:r>
      <w:r w:rsidR="00E14D8E" w:rsidRPr="000B2AB8">
        <w:rPr>
          <w:rFonts w:cs="Calibri"/>
        </w:rPr>
        <w:t xml:space="preserve">amendment from </w:t>
      </w:r>
      <w:r w:rsidR="005C1875" w:rsidRPr="000B2AB8">
        <w:rPr>
          <w:rFonts w:cs="Calibri"/>
        </w:rPr>
        <w:t>S</w:t>
      </w:r>
      <w:r w:rsidR="00E14D8E" w:rsidRPr="000B2AB8">
        <w:rPr>
          <w:rFonts w:cs="Calibri"/>
        </w:rPr>
        <w:t xml:space="preserve">uperintendent </w:t>
      </w:r>
      <w:r w:rsidR="005C1875" w:rsidRPr="000B2AB8">
        <w:rPr>
          <w:rFonts w:cs="Calibri"/>
        </w:rPr>
        <w:t xml:space="preserve">Mary Skipper </w:t>
      </w:r>
      <w:r w:rsidR="00E14D8E" w:rsidRPr="000B2AB8">
        <w:rPr>
          <w:rFonts w:cs="Calibri"/>
        </w:rPr>
        <w:t>of Boston Public Schools</w:t>
      </w:r>
      <w:r w:rsidR="005C1875" w:rsidRPr="000B2AB8">
        <w:rPr>
          <w:rFonts w:cs="Calibri"/>
        </w:rPr>
        <w:t>.</w:t>
      </w:r>
      <w:r w:rsidR="0089313F" w:rsidRPr="000B2AB8">
        <w:rPr>
          <w:rFonts w:cs="Calibri"/>
        </w:rPr>
        <w:t xml:space="preserve"> Comment is attached.</w:t>
      </w:r>
      <w:r w:rsidR="00E14D8E" w:rsidRPr="000B2AB8">
        <w:rPr>
          <w:rFonts w:cs="Calibri"/>
        </w:rPr>
        <w:t xml:space="preserve"> </w:t>
      </w:r>
    </w:p>
    <w:p w14:paraId="61811743" w14:textId="77777777" w:rsidR="00727FDC" w:rsidRPr="000B2AB8" w:rsidRDefault="00727FDC" w:rsidP="005819B0">
      <w:pPr>
        <w:rPr>
          <w:rFonts w:cs="Calibri"/>
        </w:rPr>
      </w:pPr>
    </w:p>
    <w:p w14:paraId="11C0FE18" w14:textId="77777777" w:rsidR="00727FDC" w:rsidRPr="000B2AB8" w:rsidRDefault="00727FDC" w:rsidP="005819B0">
      <w:pPr>
        <w:rPr>
          <w:rFonts w:cs="Calibri"/>
          <w:b/>
          <w:bCs/>
        </w:rPr>
      </w:pPr>
      <w:r w:rsidRPr="000B2AB8">
        <w:rPr>
          <w:rFonts w:cs="Calibri"/>
        </w:rPr>
        <w:tab/>
      </w:r>
      <w:r w:rsidRPr="000B2AB8">
        <w:rPr>
          <w:rFonts w:cs="Calibri"/>
          <w:b/>
          <w:bCs/>
        </w:rPr>
        <w:t>Recommendation</w:t>
      </w:r>
    </w:p>
    <w:p w14:paraId="4972188B" w14:textId="77777777" w:rsidR="00727FDC" w:rsidRPr="000B2AB8" w:rsidRDefault="00727FDC" w:rsidP="005819B0">
      <w:pPr>
        <w:rPr>
          <w:rFonts w:cs="Calibri"/>
        </w:rPr>
      </w:pPr>
    </w:p>
    <w:p w14:paraId="09B0F30A" w14:textId="34FC87D6" w:rsidR="00B61D3B" w:rsidRPr="000B2AB8" w:rsidRDefault="0084681B" w:rsidP="005819B0">
      <w:pPr>
        <w:rPr>
          <w:rFonts w:cs="Calibri"/>
        </w:rPr>
      </w:pPr>
      <w:r w:rsidRPr="000B2AB8">
        <w:rPr>
          <w:rFonts w:cs="Calibri"/>
        </w:rPr>
        <w:t xml:space="preserve">The school’s request is reasonable and consistent with the charter school statute and regulations. </w:t>
      </w:r>
      <w:r w:rsidR="00DA5B24" w:rsidRPr="000B2AB8">
        <w:rPr>
          <w:rFonts w:cs="Calibri"/>
        </w:rPr>
        <w:t xml:space="preserve">Overall, the submitted amendment request, the renewal of the school’s charter in 2023, and the Department’s accountability records indicate that the school </w:t>
      </w:r>
      <w:r w:rsidR="00926F5C" w:rsidRPr="000B2AB8">
        <w:rPr>
          <w:rFonts w:cs="Calibri"/>
        </w:rPr>
        <w:t xml:space="preserve">is an </w:t>
      </w:r>
      <w:r w:rsidR="00DA5B24" w:rsidRPr="000B2AB8">
        <w:rPr>
          <w:rFonts w:cs="Calibri"/>
        </w:rPr>
        <w:t xml:space="preserve">academic success, a viable organization, and faithful to the terms of its charter. </w:t>
      </w:r>
      <w:r w:rsidR="00727FDC" w:rsidRPr="000B2AB8">
        <w:rPr>
          <w:rFonts w:cs="Calibri"/>
        </w:rPr>
        <w:t xml:space="preserve">I recommend that the Board approve the increase in enrollment </w:t>
      </w:r>
      <w:r w:rsidR="000D1025" w:rsidRPr="000B2AB8">
        <w:rPr>
          <w:rFonts w:cs="Calibri"/>
        </w:rPr>
        <w:t>to serve an additional</w:t>
      </w:r>
      <w:r w:rsidR="00727FDC" w:rsidRPr="000B2AB8">
        <w:rPr>
          <w:rFonts w:cs="Calibri"/>
        </w:rPr>
        <w:t xml:space="preserve"> 352 students as request</w:t>
      </w:r>
      <w:r w:rsidR="000D1025" w:rsidRPr="000B2AB8">
        <w:rPr>
          <w:rFonts w:cs="Calibri"/>
        </w:rPr>
        <w:t xml:space="preserve">ed by the school. If the Board votes to grant EMK’s request, the school will serve students in grades 9-12 with a maximum enrollment of </w:t>
      </w:r>
      <w:r w:rsidR="007154E1" w:rsidRPr="000B2AB8">
        <w:rPr>
          <w:rFonts w:cs="Calibri"/>
        </w:rPr>
        <w:t>8</w:t>
      </w:r>
      <w:r w:rsidR="008F4C24" w:rsidRPr="000B2AB8">
        <w:rPr>
          <w:rFonts w:cs="Calibri"/>
        </w:rPr>
        <w:t>0</w:t>
      </w:r>
      <w:r w:rsidR="007154E1" w:rsidRPr="000B2AB8">
        <w:rPr>
          <w:rFonts w:cs="Calibri"/>
        </w:rPr>
        <w:t>0 students</w:t>
      </w:r>
      <w:r w:rsidR="00A37319" w:rsidRPr="000B2AB8">
        <w:rPr>
          <w:rFonts w:cs="Calibri"/>
        </w:rPr>
        <w:t>. A motion for approval is attached for your consideration.</w:t>
      </w:r>
    </w:p>
    <w:p w14:paraId="56416995" w14:textId="5A10018C" w:rsidR="00444F99" w:rsidRPr="000B2AB8" w:rsidRDefault="00444F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38"/>
        <w:gridCol w:w="1978"/>
        <w:gridCol w:w="2251"/>
        <w:gridCol w:w="2783"/>
      </w:tblGrid>
      <w:tr w:rsidR="00A73B3F" w:rsidRPr="000B2AB8" w14:paraId="7AA75B7C" w14:textId="77777777" w:rsidTr="00D05B02">
        <w:trPr>
          <w:trHeight w:val="435"/>
        </w:trPr>
        <w:tc>
          <w:tcPr>
            <w:tcW w:w="5000" w:type="pct"/>
            <w:gridSpan w:val="4"/>
            <w:shd w:val="clear" w:color="auto" w:fill="A6A6A6" w:themeFill="background1" w:themeFillShade="A6"/>
            <w:vAlign w:val="center"/>
            <w:hideMark/>
          </w:tcPr>
          <w:p w14:paraId="44B1F8EC" w14:textId="184BF22E" w:rsidR="00A73B3F" w:rsidRPr="000B2AB8" w:rsidRDefault="00A73B3F" w:rsidP="001A2C0F">
            <w:pPr>
              <w:keepNext/>
              <w:ind w:left="165"/>
              <w:textAlignment w:val="baseline"/>
              <w:rPr>
                <w:rFonts w:eastAsia="Times New Roman" w:cs="Calibri"/>
                <w:b/>
                <w:bCs/>
                <w:sz w:val="32"/>
                <w:szCs w:val="32"/>
              </w:rPr>
            </w:pPr>
            <w:r w:rsidRPr="000B2AB8">
              <w:rPr>
                <w:rFonts w:eastAsia="Times New Roman" w:cs="Calibri"/>
                <w:b/>
                <w:bCs/>
                <w:sz w:val="32"/>
                <w:szCs w:val="32"/>
              </w:rPr>
              <w:t>KIPP Academy Lynn Charter School</w:t>
            </w:r>
          </w:p>
        </w:tc>
      </w:tr>
      <w:tr w:rsidR="00584433" w:rsidRPr="000B2AB8" w14:paraId="2E223EA3" w14:textId="77777777" w:rsidTr="00444F99">
        <w:trPr>
          <w:trHeight w:val="530"/>
        </w:trPr>
        <w:tc>
          <w:tcPr>
            <w:tcW w:w="1250" w:type="pct"/>
            <w:shd w:val="clear" w:color="auto" w:fill="F2F2F2" w:themeFill="background1" w:themeFillShade="F2"/>
            <w:vAlign w:val="center"/>
            <w:hideMark/>
          </w:tcPr>
          <w:p w14:paraId="489D3452" w14:textId="77777777" w:rsidR="0090581A" w:rsidRPr="000B2AB8" w:rsidRDefault="00A73B3F" w:rsidP="001A2C0F">
            <w:pPr>
              <w:keepNext/>
              <w:ind w:left="165" w:firstLine="15"/>
              <w:textAlignment w:val="baseline"/>
              <w:rPr>
                <w:rFonts w:eastAsia="Times New Roman" w:cs="Times New Roman"/>
                <w:sz w:val="20"/>
                <w:szCs w:val="20"/>
              </w:rPr>
            </w:pPr>
            <w:r w:rsidRPr="000B2AB8">
              <w:rPr>
                <w:rFonts w:eastAsia="Times New Roman" w:cs="Calibri"/>
                <w:b/>
                <w:bCs/>
                <w:sz w:val="20"/>
                <w:szCs w:val="20"/>
              </w:rPr>
              <w:t>Type of Charter</w:t>
            </w:r>
          </w:p>
          <w:p w14:paraId="016D9784" w14:textId="058D19D3" w:rsidR="00A73B3F" w:rsidRPr="000B2AB8" w:rsidRDefault="00A73B3F" w:rsidP="001A2C0F">
            <w:pPr>
              <w:keepNext/>
              <w:ind w:left="165" w:firstLine="15"/>
              <w:textAlignment w:val="baseline"/>
              <w:rPr>
                <w:rFonts w:eastAsia="Times New Roman" w:cs="Times New Roman"/>
                <w:sz w:val="20"/>
                <w:szCs w:val="20"/>
              </w:rPr>
            </w:pPr>
          </w:p>
        </w:tc>
        <w:tc>
          <w:tcPr>
            <w:tcW w:w="1058" w:type="pct"/>
            <w:shd w:val="clear" w:color="auto" w:fill="auto"/>
            <w:vAlign w:val="center"/>
            <w:hideMark/>
          </w:tcPr>
          <w:p w14:paraId="4928EA6E" w14:textId="77777777" w:rsidR="0090581A" w:rsidRPr="000B2AB8" w:rsidRDefault="00A73B3F" w:rsidP="001A2C0F">
            <w:pPr>
              <w:keepNext/>
              <w:ind w:left="70" w:hanging="15"/>
              <w:textAlignment w:val="baseline"/>
              <w:rPr>
                <w:rFonts w:eastAsia="Times New Roman" w:cs="Times New Roman"/>
                <w:sz w:val="20"/>
                <w:szCs w:val="20"/>
              </w:rPr>
            </w:pPr>
            <w:r w:rsidRPr="000B2AB8">
              <w:rPr>
                <w:rFonts w:eastAsia="Times New Roman" w:cs="Calibri"/>
                <w:color w:val="000000"/>
                <w:sz w:val="20"/>
                <w:szCs w:val="20"/>
              </w:rPr>
              <w:t>Commonwealth</w:t>
            </w:r>
          </w:p>
          <w:p w14:paraId="645A52FB" w14:textId="73E76C49" w:rsidR="00A73B3F" w:rsidRPr="000B2AB8" w:rsidRDefault="00A73B3F" w:rsidP="001A2C0F">
            <w:pPr>
              <w:keepNext/>
              <w:ind w:left="70" w:hanging="15"/>
              <w:textAlignment w:val="baseline"/>
              <w:rPr>
                <w:rFonts w:eastAsia="Times New Roman" w:cs="Times New Roman"/>
                <w:sz w:val="20"/>
                <w:szCs w:val="20"/>
              </w:rPr>
            </w:pPr>
          </w:p>
        </w:tc>
        <w:tc>
          <w:tcPr>
            <w:tcW w:w="1204" w:type="pct"/>
            <w:shd w:val="clear" w:color="auto" w:fill="F2F2F2" w:themeFill="background1" w:themeFillShade="F2"/>
            <w:vAlign w:val="center"/>
            <w:hideMark/>
          </w:tcPr>
          <w:p w14:paraId="782E5194" w14:textId="77777777" w:rsidR="00A73B3F" w:rsidRPr="000B2AB8" w:rsidRDefault="00A73B3F" w:rsidP="001A2C0F">
            <w:pPr>
              <w:keepNext/>
              <w:ind w:left="165"/>
              <w:textAlignment w:val="baseline"/>
              <w:rPr>
                <w:rFonts w:eastAsia="Times New Roman" w:cs="Times New Roman"/>
                <w:sz w:val="20"/>
                <w:szCs w:val="20"/>
              </w:rPr>
            </w:pPr>
            <w:r w:rsidRPr="000B2AB8">
              <w:rPr>
                <w:rFonts w:eastAsia="Times New Roman" w:cs="Calibri"/>
                <w:b/>
                <w:bCs/>
                <w:sz w:val="20"/>
                <w:szCs w:val="20"/>
              </w:rPr>
              <w:t>Location</w:t>
            </w:r>
            <w:r w:rsidRPr="000B2AB8">
              <w:rPr>
                <w:rFonts w:ascii="Arial" w:eastAsia="Times New Roman" w:hAnsi="Arial" w:cs="Arial"/>
                <w:b/>
                <w:bCs/>
                <w:sz w:val="20"/>
                <w:szCs w:val="20"/>
              </w:rPr>
              <w:t> </w:t>
            </w:r>
            <w:r w:rsidRPr="000B2AB8">
              <w:rPr>
                <w:rFonts w:ascii="Arial" w:eastAsia="Times New Roman" w:hAnsi="Arial" w:cs="Arial"/>
                <w:sz w:val="20"/>
                <w:szCs w:val="20"/>
              </w:rPr>
              <w:t> </w:t>
            </w:r>
            <w:r w:rsidRPr="000B2AB8">
              <w:rPr>
                <w:rFonts w:eastAsia="Times New Roman" w:cs="Aptos"/>
                <w:sz w:val="20"/>
                <w:szCs w:val="20"/>
              </w:rPr>
              <w:t> </w:t>
            </w:r>
          </w:p>
        </w:tc>
        <w:tc>
          <w:tcPr>
            <w:tcW w:w="1489" w:type="pct"/>
            <w:shd w:val="clear" w:color="auto" w:fill="auto"/>
            <w:vAlign w:val="center"/>
            <w:hideMark/>
          </w:tcPr>
          <w:p w14:paraId="23FCA3BD" w14:textId="77777777" w:rsidR="00A73B3F" w:rsidRPr="000B2AB8" w:rsidRDefault="00A73B3F" w:rsidP="001A2C0F">
            <w:pPr>
              <w:keepNext/>
              <w:ind w:left="165"/>
              <w:textAlignment w:val="baseline"/>
              <w:rPr>
                <w:rFonts w:eastAsia="Times New Roman" w:cs="Times New Roman"/>
                <w:sz w:val="20"/>
                <w:szCs w:val="20"/>
              </w:rPr>
            </w:pPr>
            <w:r w:rsidRPr="000B2AB8">
              <w:rPr>
                <w:rFonts w:eastAsia="Times New Roman" w:cs="Times New Roman"/>
                <w:sz w:val="20"/>
                <w:szCs w:val="20"/>
              </w:rPr>
              <w:t>Lynn</w:t>
            </w:r>
            <w:r w:rsidRPr="000B2AB8">
              <w:rPr>
                <w:rFonts w:eastAsia="Times New Roman" w:cs="Times New Roman"/>
                <w:sz w:val="20"/>
                <w:szCs w:val="20"/>
              </w:rPr>
              <w:br/>
              <w:t>(Non-Regional)</w:t>
            </w:r>
          </w:p>
        </w:tc>
      </w:tr>
      <w:tr w:rsidR="00584433" w:rsidRPr="000B2AB8" w14:paraId="7591383D" w14:textId="77777777" w:rsidTr="00444F99">
        <w:trPr>
          <w:trHeight w:val="360"/>
        </w:trPr>
        <w:tc>
          <w:tcPr>
            <w:tcW w:w="1250" w:type="pct"/>
            <w:shd w:val="clear" w:color="auto" w:fill="F2F2F2" w:themeFill="background1" w:themeFillShade="F2"/>
            <w:vAlign w:val="center"/>
          </w:tcPr>
          <w:p w14:paraId="46F1C3F5" w14:textId="1FEA6542" w:rsidR="00A73B3F" w:rsidRPr="000B2AB8" w:rsidRDefault="0090581A" w:rsidP="001A2C0F">
            <w:pPr>
              <w:keepNext/>
              <w:ind w:left="165" w:firstLine="15"/>
              <w:textAlignment w:val="baseline"/>
              <w:rPr>
                <w:rFonts w:eastAsia="Times New Roman" w:cs="Times New Roman"/>
                <w:sz w:val="20"/>
                <w:szCs w:val="20"/>
              </w:rPr>
            </w:pPr>
            <w:r w:rsidRPr="000B2AB8">
              <w:rPr>
                <w:rFonts w:eastAsia="Times New Roman" w:cs="Calibri"/>
                <w:b/>
                <w:bCs/>
                <w:sz w:val="20"/>
                <w:szCs w:val="20"/>
              </w:rPr>
              <w:t>Year Opened</w:t>
            </w:r>
          </w:p>
        </w:tc>
        <w:tc>
          <w:tcPr>
            <w:tcW w:w="1058" w:type="pct"/>
            <w:shd w:val="clear" w:color="auto" w:fill="auto"/>
            <w:vAlign w:val="center"/>
          </w:tcPr>
          <w:p w14:paraId="43F7581C" w14:textId="565DE1E5" w:rsidR="00A73B3F" w:rsidRPr="000B2AB8" w:rsidRDefault="0090581A" w:rsidP="001A2C0F">
            <w:pPr>
              <w:keepNext/>
              <w:ind w:left="70" w:hanging="15"/>
              <w:textAlignment w:val="baseline"/>
              <w:rPr>
                <w:rFonts w:eastAsia="Times New Roman" w:cs="Times New Roman"/>
                <w:sz w:val="20"/>
                <w:szCs w:val="20"/>
              </w:rPr>
            </w:pPr>
            <w:r w:rsidRPr="000B2AB8">
              <w:rPr>
                <w:rFonts w:eastAsia="Times New Roman" w:cs="Times New Roman"/>
                <w:sz w:val="20"/>
                <w:szCs w:val="20"/>
              </w:rPr>
              <w:t>2004</w:t>
            </w:r>
          </w:p>
        </w:tc>
        <w:tc>
          <w:tcPr>
            <w:tcW w:w="1204" w:type="pct"/>
            <w:shd w:val="clear" w:color="auto" w:fill="F2F2F2" w:themeFill="background1" w:themeFillShade="F2"/>
            <w:vAlign w:val="center"/>
          </w:tcPr>
          <w:p w14:paraId="02FBF64E" w14:textId="08B2B022" w:rsidR="00A73B3F" w:rsidRPr="000B2AB8" w:rsidRDefault="0090581A" w:rsidP="001A2C0F">
            <w:pPr>
              <w:keepNext/>
              <w:ind w:left="165"/>
              <w:textAlignment w:val="baseline"/>
              <w:rPr>
                <w:rFonts w:eastAsia="Times New Roman" w:cs="Times New Roman"/>
                <w:sz w:val="20"/>
                <w:szCs w:val="20"/>
              </w:rPr>
            </w:pPr>
            <w:r w:rsidRPr="000B2AB8">
              <w:rPr>
                <w:rFonts w:eastAsia="Times New Roman" w:cs="Calibri"/>
                <w:b/>
                <w:bCs/>
                <w:sz w:val="20"/>
                <w:szCs w:val="20"/>
              </w:rPr>
              <w:t>Year(s) Renewed</w:t>
            </w:r>
          </w:p>
        </w:tc>
        <w:tc>
          <w:tcPr>
            <w:tcW w:w="1489" w:type="pct"/>
            <w:shd w:val="clear" w:color="auto" w:fill="auto"/>
            <w:vAlign w:val="center"/>
          </w:tcPr>
          <w:p w14:paraId="1724B06E" w14:textId="48BEB300" w:rsidR="00A73B3F" w:rsidRPr="000B2AB8" w:rsidRDefault="0090581A" w:rsidP="001A2C0F">
            <w:pPr>
              <w:keepNext/>
              <w:ind w:left="165"/>
              <w:textAlignment w:val="baseline"/>
              <w:rPr>
                <w:rFonts w:eastAsia="Times New Roman" w:cs="Times New Roman"/>
                <w:sz w:val="20"/>
                <w:szCs w:val="20"/>
              </w:rPr>
            </w:pPr>
            <w:r w:rsidRPr="000B2AB8">
              <w:rPr>
                <w:rFonts w:eastAsia="Times New Roman" w:cs="Calibri"/>
                <w:sz w:val="20"/>
                <w:szCs w:val="20"/>
              </w:rPr>
              <w:t>2009, 2014, 2019, 2024</w:t>
            </w:r>
          </w:p>
        </w:tc>
      </w:tr>
      <w:tr w:rsidR="0090581A" w:rsidRPr="000B2AB8" w14:paraId="04879F96" w14:textId="77777777" w:rsidTr="00444F99">
        <w:trPr>
          <w:trHeight w:val="360"/>
        </w:trPr>
        <w:tc>
          <w:tcPr>
            <w:tcW w:w="1250" w:type="pct"/>
            <w:shd w:val="clear" w:color="auto" w:fill="F2F2F2" w:themeFill="background1" w:themeFillShade="F2"/>
            <w:vAlign w:val="center"/>
          </w:tcPr>
          <w:p w14:paraId="509B95BF" w14:textId="3955F4E6" w:rsidR="0090581A" w:rsidRPr="000B2AB8" w:rsidRDefault="0090581A" w:rsidP="001A2C0F">
            <w:pPr>
              <w:keepNext/>
              <w:ind w:left="165" w:firstLine="15"/>
              <w:textAlignment w:val="baseline"/>
              <w:rPr>
                <w:rFonts w:eastAsia="Times New Roman" w:cs="Calibri"/>
                <w:b/>
                <w:bCs/>
                <w:sz w:val="20"/>
                <w:szCs w:val="20"/>
              </w:rPr>
            </w:pPr>
            <w:r w:rsidRPr="000B2AB8">
              <w:rPr>
                <w:rFonts w:eastAsia="Times New Roman" w:cs="Calibri"/>
                <w:b/>
                <w:bCs/>
                <w:sz w:val="20"/>
                <w:szCs w:val="20"/>
              </w:rPr>
              <w:t>Maximum Enrollment</w:t>
            </w:r>
            <w:r w:rsidRPr="000B2AB8">
              <w:rPr>
                <w:rFonts w:ascii="Arial" w:eastAsia="Times New Roman" w:hAnsi="Arial" w:cs="Arial"/>
                <w:sz w:val="20"/>
                <w:szCs w:val="20"/>
              </w:rPr>
              <w:t> </w:t>
            </w:r>
            <w:r w:rsidRPr="000B2AB8">
              <w:rPr>
                <w:rFonts w:eastAsia="Times New Roman" w:cs="Aptos"/>
                <w:sz w:val="20"/>
                <w:szCs w:val="20"/>
              </w:rPr>
              <w:t> </w:t>
            </w:r>
          </w:p>
        </w:tc>
        <w:tc>
          <w:tcPr>
            <w:tcW w:w="1058" w:type="pct"/>
            <w:shd w:val="clear" w:color="auto" w:fill="auto"/>
            <w:vAlign w:val="center"/>
          </w:tcPr>
          <w:p w14:paraId="7BCCA084" w14:textId="31A0F5FF" w:rsidR="0090581A" w:rsidRPr="000B2AB8" w:rsidRDefault="0090581A" w:rsidP="001A2C0F">
            <w:pPr>
              <w:keepNext/>
              <w:ind w:left="70" w:hanging="15"/>
              <w:textAlignment w:val="baseline"/>
              <w:rPr>
                <w:rFonts w:eastAsia="Times New Roman" w:cs="Times New Roman"/>
                <w:sz w:val="20"/>
                <w:szCs w:val="20"/>
              </w:rPr>
            </w:pPr>
            <w:r w:rsidRPr="000B2AB8">
              <w:rPr>
                <w:rFonts w:eastAsia="Times New Roman"/>
                <w:sz w:val="20"/>
                <w:szCs w:val="20"/>
              </w:rPr>
              <w:t>1,586</w:t>
            </w:r>
          </w:p>
        </w:tc>
        <w:tc>
          <w:tcPr>
            <w:tcW w:w="1204" w:type="pct"/>
            <w:shd w:val="clear" w:color="auto" w:fill="F2F2F2" w:themeFill="background1" w:themeFillShade="F2"/>
            <w:vAlign w:val="center"/>
          </w:tcPr>
          <w:p w14:paraId="7436E9E0" w14:textId="2439CB72" w:rsidR="0090581A" w:rsidRPr="000B2AB8" w:rsidRDefault="0090581A" w:rsidP="001A2C0F">
            <w:pPr>
              <w:keepNext/>
              <w:ind w:left="165"/>
              <w:textAlignment w:val="baseline"/>
              <w:rPr>
                <w:rFonts w:eastAsia="Times New Roman" w:cs="Calibri"/>
                <w:b/>
                <w:bCs/>
                <w:sz w:val="20"/>
                <w:szCs w:val="20"/>
              </w:rPr>
            </w:pPr>
            <w:r w:rsidRPr="000B2AB8">
              <w:rPr>
                <w:rFonts w:eastAsia="Times New Roman" w:cs="Calibri"/>
                <w:b/>
                <w:bCs/>
                <w:sz w:val="20"/>
                <w:szCs w:val="20"/>
              </w:rPr>
              <w:t>Current Enrollment</w:t>
            </w:r>
          </w:p>
        </w:tc>
        <w:tc>
          <w:tcPr>
            <w:tcW w:w="1489" w:type="pct"/>
            <w:shd w:val="clear" w:color="auto" w:fill="auto"/>
            <w:vAlign w:val="center"/>
          </w:tcPr>
          <w:p w14:paraId="79B73560" w14:textId="6245EFE9" w:rsidR="0090581A" w:rsidRPr="000B2AB8" w:rsidRDefault="0090581A" w:rsidP="001A2C0F">
            <w:pPr>
              <w:keepNext/>
              <w:ind w:left="165"/>
              <w:textAlignment w:val="baseline"/>
              <w:rPr>
                <w:rFonts w:eastAsia="Times New Roman"/>
                <w:sz w:val="20"/>
                <w:szCs w:val="20"/>
              </w:rPr>
            </w:pPr>
            <w:r w:rsidRPr="000B2AB8">
              <w:rPr>
                <w:rFonts w:eastAsia="Times New Roman" w:cs="Calibri"/>
                <w:color w:val="000000"/>
                <w:sz w:val="20"/>
                <w:szCs w:val="20"/>
              </w:rPr>
              <w:t>1,637</w:t>
            </w:r>
            <w:r w:rsidR="009272F6" w:rsidRPr="000B2AB8">
              <w:rPr>
                <w:rStyle w:val="FootnoteReference"/>
                <w:rFonts w:eastAsia="Times New Roman" w:cs="Calibri"/>
                <w:color w:val="000000"/>
                <w:sz w:val="20"/>
                <w:szCs w:val="20"/>
              </w:rPr>
              <w:footnoteReference w:id="20"/>
            </w:r>
          </w:p>
        </w:tc>
      </w:tr>
      <w:tr w:rsidR="00584433" w:rsidRPr="000B2AB8" w14:paraId="25071802" w14:textId="77777777" w:rsidTr="00444F99">
        <w:trPr>
          <w:trHeight w:val="360"/>
        </w:trPr>
        <w:tc>
          <w:tcPr>
            <w:tcW w:w="1250" w:type="pct"/>
            <w:shd w:val="clear" w:color="auto" w:fill="F2F2F2" w:themeFill="background1" w:themeFillShade="F2"/>
            <w:vAlign w:val="center"/>
          </w:tcPr>
          <w:p w14:paraId="5F27698E" w14:textId="33591322" w:rsidR="00A73B3F" w:rsidRPr="000B2AB8" w:rsidRDefault="0090581A" w:rsidP="001A2C0F">
            <w:pPr>
              <w:keepNext/>
              <w:ind w:left="165"/>
              <w:textAlignment w:val="baseline"/>
              <w:rPr>
                <w:rFonts w:eastAsia="Times New Roman" w:cs="Calibri"/>
                <w:b/>
                <w:bCs/>
                <w:sz w:val="20"/>
                <w:szCs w:val="20"/>
              </w:rPr>
            </w:pPr>
            <w:r w:rsidRPr="000B2AB8">
              <w:rPr>
                <w:rFonts w:eastAsia="Times New Roman" w:cs="Calibri"/>
                <w:b/>
                <w:bCs/>
                <w:sz w:val="20"/>
                <w:szCs w:val="20"/>
              </w:rPr>
              <w:t>Chartered Grade Span</w:t>
            </w:r>
            <w:r w:rsidRPr="000B2AB8">
              <w:rPr>
                <w:rFonts w:ascii="Arial" w:eastAsia="Times New Roman" w:hAnsi="Arial" w:cs="Arial"/>
                <w:sz w:val="20"/>
                <w:szCs w:val="20"/>
              </w:rPr>
              <w:t> </w:t>
            </w:r>
            <w:r w:rsidRPr="000B2AB8">
              <w:rPr>
                <w:rFonts w:eastAsia="Times New Roman" w:cs="Aptos"/>
                <w:sz w:val="20"/>
                <w:szCs w:val="20"/>
              </w:rPr>
              <w:t> </w:t>
            </w:r>
          </w:p>
        </w:tc>
        <w:tc>
          <w:tcPr>
            <w:tcW w:w="1058" w:type="pct"/>
            <w:shd w:val="clear" w:color="auto" w:fill="auto"/>
            <w:vAlign w:val="center"/>
          </w:tcPr>
          <w:p w14:paraId="06094DEC" w14:textId="64E6673C" w:rsidR="00A73B3F" w:rsidRPr="000B2AB8" w:rsidRDefault="0090581A" w:rsidP="001A2C0F">
            <w:pPr>
              <w:keepNext/>
              <w:ind w:left="70"/>
              <w:textAlignment w:val="baseline"/>
              <w:rPr>
                <w:rFonts w:eastAsia="Times New Roman" w:cs="Calibri"/>
                <w:color w:val="000000"/>
                <w:sz w:val="20"/>
                <w:szCs w:val="20"/>
              </w:rPr>
            </w:pPr>
            <w:r w:rsidRPr="000B2AB8">
              <w:rPr>
                <w:rFonts w:eastAsia="Times New Roman" w:cs="Times New Roman"/>
                <w:sz w:val="20"/>
                <w:szCs w:val="20"/>
              </w:rPr>
              <w:t>K-12</w:t>
            </w:r>
          </w:p>
        </w:tc>
        <w:tc>
          <w:tcPr>
            <w:tcW w:w="1204" w:type="pct"/>
            <w:shd w:val="clear" w:color="auto" w:fill="F2F2F2" w:themeFill="background1" w:themeFillShade="F2"/>
            <w:vAlign w:val="center"/>
          </w:tcPr>
          <w:p w14:paraId="2DFF0857" w14:textId="5149220D" w:rsidR="00A73B3F" w:rsidRPr="000B2AB8" w:rsidRDefault="0090581A" w:rsidP="001A2C0F">
            <w:pPr>
              <w:keepNext/>
              <w:ind w:left="165"/>
              <w:textAlignment w:val="baseline"/>
              <w:rPr>
                <w:rFonts w:eastAsia="Times New Roman" w:cs="Calibri"/>
                <w:b/>
                <w:bCs/>
                <w:sz w:val="20"/>
                <w:szCs w:val="20"/>
              </w:rPr>
            </w:pPr>
            <w:r w:rsidRPr="000B2AB8">
              <w:rPr>
                <w:rFonts w:eastAsia="Times New Roman" w:cs="Calibri"/>
                <w:b/>
                <w:bCs/>
                <w:sz w:val="20"/>
                <w:szCs w:val="20"/>
              </w:rPr>
              <w:t>Current Grade Span</w:t>
            </w:r>
          </w:p>
        </w:tc>
        <w:tc>
          <w:tcPr>
            <w:tcW w:w="1489" w:type="pct"/>
            <w:shd w:val="clear" w:color="auto" w:fill="auto"/>
            <w:vAlign w:val="center"/>
          </w:tcPr>
          <w:p w14:paraId="2BEFAE86" w14:textId="0547D1B5" w:rsidR="00A73B3F" w:rsidRPr="000B2AB8" w:rsidRDefault="0090581A" w:rsidP="001A2C0F">
            <w:pPr>
              <w:keepNext/>
              <w:ind w:left="165"/>
              <w:textAlignment w:val="baseline"/>
              <w:rPr>
                <w:rFonts w:eastAsia="Times New Roman" w:cs="Calibri"/>
                <w:sz w:val="20"/>
                <w:szCs w:val="20"/>
              </w:rPr>
            </w:pPr>
            <w:r w:rsidRPr="000B2AB8">
              <w:rPr>
                <w:rFonts w:eastAsia="Times New Roman" w:cs="Calibri"/>
                <w:color w:val="000000"/>
                <w:sz w:val="20"/>
                <w:szCs w:val="20"/>
              </w:rPr>
              <w:t>K-12</w:t>
            </w:r>
          </w:p>
        </w:tc>
      </w:tr>
      <w:tr w:rsidR="0090581A" w:rsidRPr="000B2AB8" w14:paraId="144ABAA1" w14:textId="77777777" w:rsidTr="00444F99">
        <w:trPr>
          <w:trHeight w:val="360"/>
        </w:trPr>
        <w:tc>
          <w:tcPr>
            <w:tcW w:w="1250" w:type="pct"/>
            <w:shd w:val="clear" w:color="auto" w:fill="F2F2F2" w:themeFill="background1" w:themeFillShade="F2"/>
            <w:vAlign w:val="center"/>
          </w:tcPr>
          <w:p w14:paraId="44AA865A" w14:textId="5EF1D50B" w:rsidR="0090581A" w:rsidRPr="000B2AB8" w:rsidRDefault="0090581A" w:rsidP="001A2C0F">
            <w:pPr>
              <w:keepNext/>
              <w:ind w:left="165"/>
              <w:textAlignment w:val="baseline"/>
              <w:rPr>
                <w:rFonts w:eastAsia="Times New Roman" w:cs="Calibri"/>
                <w:b/>
                <w:bCs/>
                <w:sz w:val="20"/>
                <w:szCs w:val="20"/>
              </w:rPr>
            </w:pPr>
            <w:r w:rsidRPr="000B2AB8">
              <w:rPr>
                <w:rFonts w:eastAsia="Times New Roman" w:cs="Calibri"/>
                <w:b/>
                <w:bCs/>
                <w:sz w:val="20"/>
                <w:szCs w:val="20"/>
              </w:rPr>
              <w:t>Students on Waitlist</w:t>
            </w:r>
            <w:r w:rsidRPr="000B2AB8">
              <w:rPr>
                <w:rFonts w:ascii="Arial" w:eastAsia="Times New Roman" w:hAnsi="Arial" w:cs="Arial"/>
                <w:sz w:val="20"/>
                <w:szCs w:val="20"/>
              </w:rPr>
              <w:t> </w:t>
            </w:r>
            <w:r w:rsidRPr="000B2AB8">
              <w:rPr>
                <w:rFonts w:eastAsia="Times New Roman" w:cs="Aptos"/>
                <w:sz w:val="20"/>
                <w:szCs w:val="20"/>
              </w:rPr>
              <w:t> </w:t>
            </w:r>
          </w:p>
        </w:tc>
        <w:tc>
          <w:tcPr>
            <w:tcW w:w="1058" w:type="pct"/>
            <w:shd w:val="clear" w:color="auto" w:fill="auto"/>
            <w:vAlign w:val="center"/>
          </w:tcPr>
          <w:p w14:paraId="5CF0F2ED" w14:textId="3B14FBC6" w:rsidR="0090581A" w:rsidRPr="000B2AB8" w:rsidRDefault="0090581A" w:rsidP="001A2C0F">
            <w:pPr>
              <w:keepNext/>
              <w:ind w:left="70"/>
              <w:textAlignment w:val="baseline"/>
              <w:rPr>
                <w:rFonts w:eastAsia="Times New Roman" w:cs="Calibri"/>
                <w:color w:val="000000"/>
                <w:sz w:val="20"/>
                <w:szCs w:val="20"/>
              </w:rPr>
            </w:pPr>
            <w:r w:rsidRPr="000B2AB8">
              <w:rPr>
                <w:rFonts w:eastAsia="Times New Roman" w:cs="Calibri"/>
                <w:color w:val="000000"/>
                <w:sz w:val="20"/>
                <w:szCs w:val="20"/>
              </w:rPr>
              <w:t xml:space="preserve">FY25 Initial: 1,789   </w:t>
            </w:r>
            <w:r w:rsidRPr="000B2AB8">
              <w:rPr>
                <w:rFonts w:eastAsia="Times New Roman" w:cs="Calibri"/>
                <w:color w:val="000000"/>
                <w:sz w:val="20"/>
                <w:szCs w:val="20"/>
              </w:rPr>
              <w:br/>
            </w:r>
            <w:r w:rsidRPr="006C4071">
              <w:rPr>
                <w:rFonts w:eastAsia="Times New Roman" w:cs="Calibri"/>
                <w:color w:val="000000"/>
                <w:sz w:val="20"/>
                <w:szCs w:val="20"/>
              </w:rPr>
              <w:t>FY25 Update: 1,719</w:t>
            </w:r>
          </w:p>
        </w:tc>
        <w:tc>
          <w:tcPr>
            <w:tcW w:w="1204" w:type="pct"/>
            <w:shd w:val="clear" w:color="auto" w:fill="F2F2F2" w:themeFill="background1" w:themeFillShade="F2"/>
            <w:vAlign w:val="center"/>
          </w:tcPr>
          <w:p w14:paraId="22A44BD6" w14:textId="60BED212" w:rsidR="0090581A" w:rsidRPr="000B2AB8" w:rsidRDefault="0090581A" w:rsidP="001A2C0F">
            <w:pPr>
              <w:keepNext/>
              <w:ind w:left="165"/>
              <w:textAlignment w:val="baseline"/>
              <w:rPr>
                <w:rFonts w:eastAsia="Times New Roman" w:cs="Calibri"/>
                <w:b/>
                <w:bCs/>
                <w:sz w:val="20"/>
                <w:szCs w:val="20"/>
              </w:rPr>
            </w:pPr>
            <w:r w:rsidRPr="000B2AB8">
              <w:rPr>
                <w:rFonts w:eastAsia="Times New Roman" w:cs="Calibri"/>
                <w:b/>
                <w:bCs/>
                <w:sz w:val="20"/>
                <w:szCs w:val="20"/>
              </w:rPr>
              <w:t>Current Age of School</w:t>
            </w:r>
          </w:p>
        </w:tc>
        <w:tc>
          <w:tcPr>
            <w:tcW w:w="1489" w:type="pct"/>
            <w:shd w:val="clear" w:color="auto" w:fill="auto"/>
            <w:vAlign w:val="center"/>
          </w:tcPr>
          <w:p w14:paraId="13FE0D23" w14:textId="138DDD46" w:rsidR="0090581A" w:rsidRPr="000B2AB8" w:rsidRDefault="0090581A" w:rsidP="001A2C0F">
            <w:pPr>
              <w:keepNext/>
              <w:ind w:left="165"/>
              <w:textAlignment w:val="baseline"/>
              <w:rPr>
                <w:rFonts w:eastAsia="Times New Roman" w:cs="Calibri"/>
                <w:color w:val="000000"/>
                <w:sz w:val="20"/>
                <w:szCs w:val="20"/>
              </w:rPr>
            </w:pPr>
            <w:r w:rsidRPr="000B2AB8">
              <w:rPr>
                <w:rFonts w:eastAsia="Times New Roman" w:cs="Calibri"/>
                <w:color w:val="000000"/>
                <w:sz w:val="20"/>
                <w:szCs w:val="20"/>
              </w:rPr>
              <w:t>21 years</w:t>
            </w:r>
          </w:p>
        </w:tc>
      </w:tr>
      <w:tr w:rsidR="00A73B3F" w:rsidRPr="000B2AB8" w14:paraId="330E23A9" w14:textId="77777777" w:rsidTr="00D81C6F">
        <w:trPr>
          <w:trHeight w:val="1070"/>
        </w:trPr>
        <w:tc>
          <w:tcPr>
            <w:tcW w:w="5000" w:type="pct"/>
            <w:gridSpan w:val="4"/>
            <w:shd w:val="clear" w:color="auto" w:fill="F2F2F2" w:themeFill="background1" w:themeFillShade="F2"/>
            <w:vAlign w:val="center"/>
          </w:tcPr>
          <w:p w14:paraId="52AF8856" w14:textId="77777777" w:rsidR="00A73B3F" w:rsidRPr="000B2AB8" w:rsidRDefault="00A73B3F" w:rsidP="001A2C0F">
            <w:pPr>
              <w:keepNext/>
              <w:ind w:left="165"/>
              <w:textAlignment w:val="baseline"/>
              <w:rPr>
                <w:rFonts w:eastAsia="Times New Roman" w:cs="Calibri"/>
                <w:color w:val="000000"/>
                <w:sz w:val="20"/>
                <w:szCs w:val="20"/>
              </w:rPr>
            </w:pPr>
            <w:r w:rsidRPr="000B2AB8">
              <w:rPr>
                <w:rFonts w:eastAsia="Times New Roman" w:cs="Calibri"/>
                <w:b/>
                <w:bCs/>
                <w:sz w:val="20"/>
                <w:szCs w:val="20"/>
              </w:rPr>
              <w:t>Mission Statement:</w:t>
            </w:r>
            <w:r w:rsidRPr="000B2AB8">
              <w:rPr>
                <w:rFonts w:eastAsia="Times New Roman" w:cs="Calibri"/>
                <w:sz w:val="20"/>
                <w:szCs w:val="20"/>
              </w:rPr>
              <w:t> Together with families and communities, we create a joyful, academically excellent school that prepares students at KIPP Academy Lynn Charter School with the skills and confidence to pursue the paths they choose - college, career, and beyond - so they can lead fulfilling lives and build a more just world.</w:t>
            </w:r>
          </w:p>
        </w:tc>
      </w:tr>
    </w:tbl>
    <w:p w14:paraId="7B394E2F" w14:textId="77777777" w:rsidR="00A73B3F" w:rsidRPr="000B2AB8" w:rsidRDefault="00A73B3F" w:rsidP="001A2C0F">
      <w:pPr>
        <w:keepNext/>
        <w:rPr>
          <w:rFonts w:cs="Calibri"/>
        </w:rPr>
      </w:pPr>
    </w:p>
    <w:p w14:paraId="60795091" w14:textId="73C595C6" w:rsidR="00A73B3F" w:rsidRPr="000B2AB8" w:rsidRDefault="00A73B3F" w:rsidP="001A2C0F">
      <w:pPr>
        <w:keepNext/>
        <w:rPr>
          <w:rFonts w:cs="Calibri"/>
          <w:b/>
          <w:bCs/>
        </w:rPr>
      </w:pPr>
      <w:r w:rsidRPr="000B2AB8">
        <w:rPr>
          <w:rFonts w:cs="Calibri"/>
        </w:rPr>
        <w:tab/>
      </w:r>
      <w:r w:rsidR="005861BA" w:rsidRPr="000B2AB8">
        <w:rPr>
          <w:rFonts w:cs="Calibri"/>
          <w:b/>
          <w:bCs/>
        </w:rPr>
        <w:t>Request and Plan for Implementation</w:t>
      </w:r>
    </w:p>
    <w:p w14:paraId="2914AF4E" w14:textId="77777777" w:rsidR="00A73B3F" w:rsidRPr="000B2AB8" w:rsidRDefault="00A73B3F" w:rsidP="00A73B3F">
      <w:pPr>
        <w:rPr>
          <w:rFonts w:cs="Calibri"/>
        </w:rPr>
      </w:pPr>
    </w:p>
    <w:p w14:paraId="2EBACFBE" w14:textId="59CF5F33" w:rsidR="00BB121A" w:rsidRPr="000B2AB8" w:rsidRDefault="00A73B3F" w:rsidP="00BB121A">
      <w:pPr>
        <w:rPr>
          <w:rFonts w:cs="Calibri"/>
        </w:rPr>
      </w:pPr>
      <w:r w:rsidRPr="000B2AB8">
        <w:rPr>
          <w:rFonts w:cs="Calibri"/>
        </w:rPr>
        <w:t>The board of trustees of</w:t>
      </w:r>
      <w:r w:rsidR="005E1853" w:rsidRPr="000B2AB8">
        <w:rPr>
          <w:rFonts w:cs="Calibri"/>
        </w:rPr>
        <w:t xml:space="preserve"> </w:t>
      </w:r>
      <w:r w:rsidR="00EE27B8" w:rsidRPr="000B2AB8">
        <w:rPr>
          <w:rFonts w:cs="Calibri"/>
        </w:rPr>
        <w:t>KIPP Lynn</w:t>
      </w:r>
      <w:r w:rsidR="005E1853" w:rsidRPr="000B2AB8">
        <w:rPr>
          <w:rFonts w:cs="Calibri"/>
        </w:rPr>
        <w:t xml:space="preserve"> </w:t>
      </w:r>
      <w:r w:rsidR="00BB121A" w:rsidRPr="000B2AB8">
        <w:rPr>
          <w:rFonts w:cs="Calibri"/>
        </w:rPr>
        <w:t xml:space="preserve">is seeking to expand from 1,586 students to </w:t>
      </w:r>
      <w:r w:rsidR="00047CBD" w:rsidRPr="000B2AB8">
        <w:rPr>
          <w:rFonts w:cs="Calibri"/>
        </w:rPr>
        <w:t>2,036</w:t>
      </w:r>
      <w:r w:rsidR="00BB121A" w:rsidRPr="000B2AB8">
        <w:rPr>
          <w:rFonts w:cs="Calibri"/>
        </w:rPr>
        <w:t xml:space="preserve"> students over a </w:t>
      </w:r>
      <w:r w:rsidR="00047CBD" w:rsidRPr="000B2AB8">
        <w:rPr>
          <w:rFonts w:cs="Calibri"/>
        </w:rPr>
        <w:t>three</w:t>
      </w:r>
      <w:r w:rsidR="00BB121A" w:rsidRPr="000B2AB8">
        <w:rPr>
          <w:rFonts w:cs="Calibri"/>
        </w:rPr>
        <w:t xml:space="preserve"> year period.</w:t>
      </w:r>
      <w:r w:rsidR="006819A0" w:rsidRPr="000B2AB8">
        <w:rPr>
          <w:rStyle w:val="FootnoteReference"/>
          <w:rFonts w:eastAsia="Times New Roman" w:cs="Times New Roman"/>
          <w:sz w:val="20"/>
          <w:szCs w:val="20"/>
        </w:rPr>
        <w:footnoteReference w:id="21"/>
      </w:r>
      <w:r w:rsidR="00BB121A" w:rsidRPr="000B2AB8">
        <w:rPr>
          <w:rFonts w:cs="Calibri"/>
        </w:rPr>
        <w:t xml:space="preserve"> In September 2024, the board of trustees of KIPP Lynn </w:t>
      </w:r>
      <w:r w:rsidR="00613DFA">
        <w:rPr>
          <w:rFonts w:cs="Calibri"/>
        </w:rPr>
        <w:t xml:space="preserve">submitted a request </w:t>
      </w:r>
      <w:r w:rsidR="007740A5">
        <w:rPr>
          <w:rFonts w:cs="Calibri"/>
        </w:rPr>
        <w:t xml:space="preserve">to increase its maximum enrollment by 1,361 students to reach a maximum enrollment of </w:t>
      </w:r>
      <w:r w:rsidR="00BB121A" w:rsidRPr="000B2AB8">
        <w:rPr>
          <w:rFonts w:cs="Calibri"/>
        </w:rPr>
        <w:t>2,947 students</w:t>
      </w:r>
      <w:r w:rsidR="00A94CAD">
        <w:rPr>
          <w:rFonts w:cs="Calibri"/>
        </w:rPr>
        <w:t xml:space="preserve"> in grades K-12</w:t>
      </w:r>
      <w:r w:rsidR="00BB121A" w:rsidRPr="000B2AB8">
        <w:rPr>
          <w:rFonts w:cs="Calibri"/>
        </w:rPr>
        <w:t xml:space="preserve">. </w:t>
      </w:r>
      <w:r w:rsidR="00421F04" w:rsidRPr="000B2AB8">
        <w:rPr>
          <w:rFonts w:cs="Calibri"/>
        </w:rPr>
        <w:t>After a</w:t>
      </w:r>
      <w:r w:rsidR="00932602" w:rsidRPr="000B2AB8">
        <w:rPr>
          <w:rFonts w:cs="Calibri"/>
        </w:rPr>
        <w:t xml:space="preserve"> review of the request, the</w:t>
      </w:r>
      <w:r w:rsidR="00BB121A" w:rsidRPr="000B2AB8">
        <w:rPr>
          <w:rFonts w:cs="Calibri"/>
        </w:rPr>
        <w:t xml:space="preserve"> Department asked the board of trustees</w:t>
      </w:r>
      <w:r w:rsidR="00047CBD" w:rsidRPr="00F674C2">
        <w:rPr>
          <w:rFonts w:cs="Calibri"/>
        </w:rPr>
        <w:t xml:space="preserve"> for</w:t>
      </w:r>
      <w:r w:rsidR="00BB121A" w:rsidRPr="000B2AB8">
        <w:rPr>
          <w:rFonts w:cs="Calibri"/>
        </w:rPr>
        <w:t xml:space="preserve"> </w:t>
      </w:r>
      <w:r w:rsidR="00EA3A8C" w:rsidRPr="000B2AB8">
        <w:rPr>
          <w:rFonts w:cs="Calibri"/>
        </w:rPr>
        <w:t>alternative requests</w:t>
      </w:r>
      <w:r w:rsidR="00BB121A" w:rsidRPr="000B2AB8">
        <w:rPr>
          <w:rFonts w:cs="Calibri"/>
        </w:rPr>
        <w:t xml:space="preserve"> </w:t>
      </w:r>
      <w:r w:rsidR="00EA3A8C" w:rsidRPr="000B2AB8">
        <w:rPr>
          <w:rFonts w:cs="Calibri"/>
        </w:rPr>
        <w:t>because of</w:t>
      </w:r>
      <w:r w:rsidR="00BB121A" w:rsidRPr="000B2AB8">
        <w:rPr>
          <w:rFonts w:cs="Calibri"/>
        </w:rPr>
        <w:t xml:space="preserve"> concerns regarding the size and pace of the expansion. The Department also requested additional information regarding planning </w:t>
      </w:r>
      <w:r w:rsidR="00EA3A8C" w:rsidRPr="000B2AB8">
        <w:rPr>
          <w:rFonts w:cs="Calibri"/>
        </w:rPr>
        <w:t>if a</w:t>
      </w:r>
      <w:r w:rsidR="005D1D9D" w:rsidRPr="000B2AB8">
        <w:rPr>
          <w:rFonts w:cs="Calibri"/>
        </w:rPr>
        <w:t>lternative request(s) were submitted</w:t>
      </w:r>
      <w:r w:rsidR="00BB121A" w:rsidRPr="000B2AB8">
        <w:rPr>
          <w:rFonts w:cs="Calibri"/>
        </w:rPr>
        <w:t>.</w:t>
      </w:r>
      <w:r w:rsidR="003B7B71" w:rsidRPr="000B2AB8">
        <w:rPr>
          <w:rFonts w:cs="Calibri"/>
        </w:rPr>
        <w:t xml:space="preserve"> </w:t>
      </w:r>
      <w:r w:rsidR="00BB121A" w:rsidRPr="000B2AB8">
        <w:rPr>
          <w:rFonts w:cs="Calibri"/>
        </w:rPr>
        <w:t xml:space="preserve">The board of trustees subsequently </w:t>
      </w:r>
      <w:r w:rsidR="00CF5BD0" w:rsidRPr="000B2AB8">
        <w:rPr>
          <w:rFonts w:cs="Calibri"/>
        </w:rPr>
        <w:t xml:space="preserve">proposed </w:t>
      </w:r>
      <w:r w:rsidR="008E4BA8" w:rsidRPr="000B2AB8">
        <w:rPr>
          <w:rFonts w:cs="Calibri"/>
        </w:rPr>
        <w:t>an increase of 450 students</w:t>
      </w:r>
      <w:r w:rsidR="00BB121A" w:rsidRPr="000B2AB8">
        <w:rPr>
          <w:rFonts w:cs="Calibri"/>
        </w:rPr>
        <w:t xml:space="preserve">. The school submitted additional </w:t>
      </w:r>
      <w:r w:rsidR="00A94CAD">
        <w:rPr>
          <w:rFonts w:cs="Calibri"/>
        </w:rPr>
        <w:t>documentation</w:t>
      </w:r>
      <w:r w:rsidR="00BB121A" w:rsidRPr="000B2AB8">
        <w:rPr>
          <w:rFonts w:cs="Calibri"/>
        </w:rPr>
        <w:t xml:space="preserve"> includ</w:t>
      </w:r>
      <w:r w:rsidR="00DA7AE3" w:rsidRPr="000B2AB8">
        <w:rPr>
          <w:rFonts w:cs="Calibri"/>
        </w:rPr>
        <w:t>ing</w:t>
      </w:r>
      <w:r w:rsidR="00BB121A" w:rsidRPr="000B2AB8">
        <w:rPr>
          <w:rFonts w:cs="Calibri"/>
        </w:rPr>
        <w:t xml:space="preserve"> a revised growth plan, </w:t>
      </w:r>
      <w:r w:rsidR="00725A48" w:rsidRPr="000B2AB8">
        <w:rPr>
          <w:rFonts w:cs="Calibri"/>
        </w:rPr>
        <w:t xml:space="preserve">a </w:t>
      </w:r>
      <w:r w:rsidR="00BB121A" w:rsidRPr="000B2AB8">
        <w:rPr>
          <w:rFonts w:cs="Calibri"/>
        </w:rPr>
        <w:t xml:space="preserve">staffing plan, and </w:t>
      </w:r>
      <w:r w:rsidR="00725A48" w:rsidRPr="000B2AB8">
        <w:rPr>
          <w:rFonts w:cs="Calibri"/>
        </w:rPr>
        <w:t xml:space="preserve">a </w:t>
      </w:r>
      <w:r w:rsidR="00BB121A" w:rsidRPr="000B2AB8">
        <w:rPr>
          <w:rFonts w:cs="Calibri"/>
        </w:rPr>
        <w:t>budget for an enrollment increase from 1,586 to 2,036 students.</w:t>
      </w:r>
      <w:r w:rsidR="00D71800">
        <w:rPr>
          <w:rFonts w:cs="Calibri"/>
        </w:rPr>
        <w:t xml:space="preserve"> </w:t>
      </w:r>
      <w:r w:rsidR="00BB121A" w:rsidRPr="000B2AB8">
        <w:rPr>
          <w:rFonts w:cs="Calibri"/>
        </w:rPr>
        <w:t>The</w:t>
      </w:r>
      <w:r w:rsidR="00047CBD" w:rsidRPr="000B2AB8">
        <w:rPr>
          <w:rFonts w:cs="Calibri"/>
        </w:rPr>
        <w:t xml:space="preserve"> original request and additional </w:t>
      </w:r>
      <w:r w:rsidR="00A94CAD">
        <w:rPr>
          <w:rFonts w:cs="Calibri"/>
        </w:rPr>
        <w:t>documentation</w:t>
      </w:r>
      <w:r w:rsidR="00047CBD" w:rsidRPr="000B2AB8">
        <w:rPr>
          <w:rFonts w:cs="Calibri"/>
        </w:rPr>
        <w:t xml:space="preserve"> for </w:t>
      </w:r>
      <w:r w:rsidR="005B38BC">
        <w:rPr>
          <w:rFonts w:cs="Calibri"/>
        </w:rPr>
        <w:t xml:space="preserve">the </w:t>
      </w:r>
      <w:r w:rsidR="00047CBD" w:rsidRPr="000B2AB8">
        <w:rPr>
          <w:rFonts w:cs="Calibri"/>
        </w:rPr>
        <w:t>increase</w:t>
      </w:r>
      <w:r w:rsidR="00BB121A" w:rsidRPr="000B2AB8">
        <w:rPr>
          <w:rFonts w:cs="Calibri"/>
        </w:rPr>
        <w:t xml:space="preserve"> </w:t>
      </w:r>
      <w:r w:rsidR="00C221BE">
        <w:rPr>
          <w:rFonts w:cs="Calibri"/>
        </w:rPr>
        <w:t xml:space="preserve">of </w:t>
      </w:r>
      <w:r w:rsidR="005B38BC">
        <w:rPr>
          <w:rFonts w:cs="Calibri"/>
        </w:rPr>
        <w:t xml:space="preserve">450 students </w:t>
      </w:r>
      <w:r w:rsidR="00BB121A" w:rsidRPr="000B2AB8">
        <w:rPr>
          <w:rFonts w:cs="Calibri"/>
        </w:rPr>
        <w:t>are attached for your review.</w:t>
      </w:r>
    </w:p>
    <w:p w14:paraId="3732B43A" w14:textId="4FC079CC" w:rsidR="00C67707" w:rsidRPr="000B2AB8" w:rsidRDefault="00C67707" w:rsidP="00FE7472">
      <w:pPr>
        <w:rPr>
          <w:rFonts w:cs="Calibri"/>
        </w:rPr>
      </w:pPr>
    </w:p>
    <w:p w14:paraId="5C34A72F" w14:textId="5DF4A6B6" w:rsidR="00FE7472" w:rsidRPr="000B2AB8" w:rsidRDefault="00FE7472" w:rsidP="00FE7472">
      <w:r w:rsidRPr="000B2AB8">
        <w:t xml:space="preserve">As evidenced by </w:t>
      </w:r>
      <w:r w:rsidR="00C95CB0" w:rsidRPr="000B2AB8">
        <w:t>its</w:t>
      </w:r>
      <w:r w:rsidRPr="000B2AB8">
        <w:t xml:space="preserve"> charter renewal</w:t>
      </w:r>
      <w:r w:rsidR="00C95CB0" w:rsidRPr="000B2AB8">
        <w:t xml:space="preserve"> in 2024</w:t>
      </w:r>
      <w:r w:rsidRPr="000B2AB8">
        <w:t xml:space="preserve">, KIPP Lynn has a history of operating in accordance with its </w:t>
      </w:r>
      <w:r w:rsidR="00271B0D" w:rsidRPr="000B2AB8">
        <w:t>mission</w:t>
      </w:r>
      <w:r w:rsidRPr="000B2AB8">
        <w:t>. KIPP Lynn partners with families as members of the school community, provides students with a</w:t>
      </w:r>
      <w:r w:rsidR="00E669F4">
        <w:t xml:space="preserve"> mission-aligned</w:t>
      </w:r>
      <w:r w:rsidRPr="000B2AB8">
        <w:t xml:space="preserve"> environment </w:t>
      </w:r>
      <w:r w:rsidR="00FC741F">
        <w:t>involving</w:t>
      </w:r>
      <w:r w:rsidR="00FC741F" w:rsidRPr="000B2AB8">
        <w:t xml:space="preserve"> </w:t>
      </w:r>
      <w:r w:rsidRPr="000B2AB8">
        <w:t xml:space="preserve">character development and extra-curricular activities, and </w:t>
      </w:r>
      <w:r w:rsidR="009D651C">
        <w:t>supports</w:t>
      </w:r>
      <w:r w:rsidRPr="000B2AB8">
        <w:t xml:space="preserve"> students to pursue the post-secondary paths of their choice. The school provides teachers with professional development to </w:t>
      </w:r>
      <w:r w:rsidR="00FC741F">
        <w:t xml:space="preserve">support the use of </w:t>
      </w:r>
      <w:r w:rsidRPr="000B2AB8">
        <w:t>high-quality instruction and materials</w:t>
      </w:r>
      <w:r w:rsidR="00FC741F">
        <w:t xml:space="preserve"> to foster student learning</w:t>
      </w:r>
      <w:r w:rsidRPr="000B2AB8">
        <w:t>; develop</w:t>
      </w:r>
      <w:r w:rsidR="00157A6D" w:rsidRPr="000B2AB8">
        <w:t>s</w:t>
      </w:r>
      <w:r w:rsidRPr="000B2AB8">
        <w:t xml:space="preserve"> student character </w:t>
      </w:r>
      <w:r w:rsidR="003D4E10" w:rsidRPr="000B2AB8">
        <w:t xml:space="preserve">with </w:t>
      </w:r>
      <w:r w:rsidRPr="000B2AB8">
        <w:t xml:space="preserve">social-emotional learning and restorative justice practices; creates an environment where families </w:t>
      </w:r>
      <w:r w:rsidR="00C660CA" w:rsidRPr="000B2AB8">
        <w:t>contribute to</w:t>
      </w:r>
      <w:r w:rsidRPr="000B2AB8">
        <w:t xml:space="preserve"> </w:t>
      </w:r>
      <w:r w:rsidR="00EB5B3A" w:rsidRPr="000B2AB8">
        <w:t>school</w:t>
      </w:r>
      <w:r w:rsidRPr="000B2AB8">
        <w:t xml:space="preserve"> decision-making process</w:t>
      </w:r>
      <w:r w:rsidR="00EB5B3A" w:rsidRPr="000B2AB8">
        <w:t>es</w:t>
      </w:r>
      <w:r w:rsidRPr="000B2AB8">
        <w:t>; and prepares students for college and beyond through the school’s program</w:t>
      </w:r>
      <w:r w:rsidR="00FC741F">
        <w:t>ming for current students and alumni</w:t>
      </w:r>
      <w:r w:rsidRPr="000B2AB8">
        <w:t>.</w:t>
      </w:r>
    </w:p>
    <w:p w14:paraId="65006BCE" w14:textId="77777777" w:rsidR="00FE7472" w:rsidRPr="000B2AB8" w:rsidRDefault="00FE7472" w:rsidP="00A73B3F">
      <w:pPr>
        <w:rPr>
          <w:rFonts w:cs="Calibri"/>
        </w:rPr>
      </w:pPr>
    </w:p>
    <w:p w14:paraId="69EFFB23" w14:textId="1269C2D2" w:rsidR="005B2C2D" w:rsidRPr="000B2AB8" w:rsidRDefault="004848C0" w:rsidP="005B2C2D">
      <w:pPr>
        <w:rPr>
          <w:rFonts w:cs="Calibri"/>
        </w:rPr>
      </w:pPr>
      <w:r w:rsidRPr="000B2AB8">
        <w:rPr>
          <w:rFonts w:cs="Calibri"/>
        </w:rPr>
        <w:t xml:space="preserve">The school's waitlist demonstrates demand at all grade levels and supports the proposed increase. </w:t>
      </w:r>
      <w:r w:rsidR="00E110F8" w:rsidRPr="000B2AB8">
        <w:rPr>
          <w:rFonts w:cs="Calibri"/>
        </w:rPr>
        <w:t xml:space="preserve">The school </w:t>
      </w:r>
      <w:r w:rsidR="00143365" w:rsidRPr="000B2AB8">
        <w:rPr>
          <w:rFonts w:cs="Calibri"/>
        </w:rPr>
        <w:t xml:space="preserve">has </w:t>
      </w:r>
      <w:r w:rsidR="00E110F8" w:rsidRPr="000B2AB8">
        <w:rPr>
          <w:rFonts w:cs="Calibri"/>
        </w:rPr>
        <w:t>report</w:t>
      </w:r>
      <w:r w:rsidR="00143365" w:rsidRPr="000B2AB8">
        <w:rPr>
          <w:rFonts w:cs="Calibri"/>
        </w:rPr>
        <w:t xml:space="preserve">ed </w:t>
      </w:r>
      <w:r w:rsidR="00E110F8" w:rsidRPr="000B2AB8">
        <w:rPr>
          <w:rFonts w:cs="Calibri"/>
        </w:rPr>
        <w:t>a</w:t>
      </w:r>
      <w:r w:rsidR="001A4617" w:rsidRPr="000B2AB8">
        <w:rPr>
          <w:rFonts w:cs="Calibri"/>
        </w:rPr>
        <w:t>n</w:t>
      </w:r>
      <w:r w:rsidR="00E110F8" w:rsidRPr="000B2AB8">
        <w:rPr>
          <w:rFonts w:cs="Calibri"/>
        </w:rPr>
        <w:t xml:space="preserve"> </w:t>
      </w:r>
      <w:r w:rsidR="001A4617" w:rsidRPr="000B2AB8">
        <w:rPr>
          <w:rFonts w:cs="Calibri"/>
        </w:rPr>
        <w:t xml:space="preserve">overall </w:t>
      </w:r>
      <w:r w:rsidR="00E110F8" w:rsidRPr="000B2AB8">
        <w:rPr>
          <w:rFonts w:cs="Calibri"/>
        </w:rPr>
        <w:t>waitlist between 1,789 and 1,917 students over the past five years</w:t>
      </w:r>
      <w:r w:rsidR="00637D4B" w:rsidRPr="000B2AB8">
        <w:rPr>
          <w:rFonts w:cs="Calibri"/>
        </w:rPr>
        <w:t>; the school average</w:t>
      </w:r>
      <w:r w:rsidR="007E33C2" w:rsidRPr="000B2AB8">
        <w:rPr>
          <w:rFonts w:cs="Calibri"/>
        </w:rPr>
        <w:t xml:space="preserve">s a waitlist of 275 students </w:t>
      </w:r>
      <w:r w:rsidR="007B68D2" w:rsidRPr="000B2AB8">
        <w:rPr>
          <w:rFonts w:cs="Calibri"/>
        </w:rPr>
        <w:t xml:space="preserve">in kindergarten </w:t>
      </w:r>
      <w:r w:rsidR="007E33C2" w:rsidRPr="000B2AB8">
        <w:rPr>
          <w:rFonts w:cs="Calibri"/>
        </w:rPr>
        <w:t xml:space="preserve">and </w:t>
      </w:r>
      <w:r w:rsidR="009C4489" w:rsidRPr="000B2AB8">
        <w:rPr>
          <w:rFonts w:cs="Calibri"/>
        </w:rPr>
        <w:t>212</w:t>
      </w:r>
      <w:r w:rsidR="007E33C2" w:rsidRPr="000B2AB8">
        <w:rPr>
          <w:rFonts w:cs="Calibri"/>
        </w:rPr>
        <w:t xml:space="preserve"> students </w:t>
      </w:r>
      <w:r w:rsidR="008874DC">
        <w:rPr>
          <w:rFonts w:cs="Calibri"/>
        </w:rPr>
        <w:t xml:space="preserve">in </w:t>
      </w:r>
      <w:r w:rsidR="007E33C2" w:rsidRPr="000B2AB8">
        <w:rPr>
          <w:rFonts w:cs="Calibri"/>
        </w:rPr>
        <w:t>grade 6, respectively</w:t>
      </w:r>
      <w:r w:rsidR="00EE3088" w:rsidRPr="000B2AB8">
        <w:rPr>
          <w:rFonts w:cs="Calibri"/>
        </w:rPr>
        <w:t>.</w:t>
      </w:r>
      <w:r w:rsidR="000B1951" w:rsidRPr="000B2AB8">
        <w:rPr>
          <w:rFonts w:cs="Calibri"/>
        </w:rPr>
        <w:t xml:space="preserve"> KIPP Lynn currently admits new students in all grades</w:t>
      </w:r>
      <w:r w:rsidR="00935FCB" w:rsidRPr="000B2AB8">
        <w:rPr>
          <w:rFonts w:cs="Calibri"/>
        </w:rPr>
        <w:t xml:space="preserve"> </w:t>
      </w:r>
      <w:r w:rsidR="000B1951" w:rsidRPr="000B2AB8">
        <w:rPr>
          <w:rFonts w:cs="Calibri"/>
        </w:rPr>
        <w:t>and fills vacancies during the school year in all grades, exceeding statutory requirements.</w:t>
      </w:r>
      <w:r w:rsidR="005B2C2D" w:rsidRPr="000B2AB8">
        <w:rPr>
          <w:rFonts w:cs="Calibri"/>
        </w:rPr>
        <w:t xml:space="preserve"> </w:t>
      </w:r>
    </w:p>
    <w:p w14:paraId="56D3B980" w14:textId="77777777" w:rsidR="00DB6011" w:rsidRPr="000B2AB8" w:rsidRDefault="00DB6011" w:rsidP="00A73B3F">
      <w:pPr>
        <w:rPr>
          <w:rFonts w:cs="Calibri"/>
        </w:rPr>
      </w:pPr>
    </w:p>
    <w:p w14:paraId="56C8CBDE" w14:textId="2EFF9579" w:rsidR="007A7097" w:rsidRPr="000B2AB8" w:rsidRDefault="00CE3DC6" w:rsidP="00A73B3F">
      <w:pPr>
        <w:rPr>
          <w:rFonts w:cs="Calibri"/>
        </w:rPr>
      </w:pPr>
      <w:r w:rsidRPr="00DD62FE">
        <w:rPr>
          <w:rFonts w:cs="Calibri"/>
        </w:rPr>
        <w:t xml:space="preserve">KIPP Lynn proposes to increase enrollment over a three-year period beginning in </w:t>
      </w:r>
      <w:r w:rsidR="00BB3CA6">
        <w:rPr>
          <w:rFonts w:cs="Calibri"/>
        </w:rPr>
        <w:t xml:space="preserve">the </w:t>
      </w:r>
      <w:r w:rsidRPr="00DD62FE">
        <w:rPr>
          <w:rFonts w:cs="Calibri"/>
        </w:rPr>
        <w:t xml:space="preserve">2025-2026 school year. The school’s current facilities will accommodate the increased enrollment. </w:t>
      </w:r>
      <w:r w:rsidR="00B92443" w:rsidRPr="00DD62FE">
        <w:rPr>
          <w:rFonts w:cs="Calibri"/>
        </w:rPr>
        <w:t xml:space="preserve">To support </w:t>
      </w:r>
      <w:r w:rsidR="00AC52CD" w:rsidRPr="00DD62FE">
        <w:rPr>
          <w:rFonts w:cs="Calibri"/>
        </w:rPr>
        <w:t xml:space="preserve">the </w:t>
      </w:r>
      <w:r w:rsidR="00165687" w:rsidRPr="00DD62FE">
        <w:rPr>
          <w:rFonts w:cs="Calibri"/>
        </w:rPr>
        <w:t>enrollment increase</w:t>
      </w:r>
      <w:r w:rsidR="00B92443" w:rsidRPr="00DD62FE">
        <w:rPr>
          <w:rFonts w:cs="Calibri"/>
        </w:rPr>
        <w:t xml:space="preserve">, KIPP Lynn </w:t>
      </w:r>
      <w:r w:rsidR="00D86500" w:rsidRPr="00DD62FE">
        <w:rPr>
          <w:rFonts w:cs="Calibri"/>
        </w:rPr>
        <w:t>plans</w:t>
      </w:r>
      <w:r w:rsidR="00B92443" w:rsidRPr="00DD62FE">
        <w:rPr>
          <w:rFonts w:cs="Calibri"/>
        </w:rPr>
        <w:t xml:space="preserve"> to grow its teaching staff </w:t>
      </w:r>
      <w:r w:rsidR="00D86500" w:rsidRPr="00DD62FE">
        <w:rPr>
          <w:rFonts w:cs="Calibri"/>
        </w:rPr>
        <w:t>using stra</w:t>
      </w:r>
      <w:r w:rsidR="00B0750C" w:rsidRPr="00DD62FE">
        <w:rPr>
          <w:rFonts w:cs="Calibri"/>
        </w:rPr>
        <w:t xml:space="preserve">tegies that will </w:t>
      </w:r>
      <w:r w:rsidR="004F5B7D" w:rsidRPr="00DD62FE">
        <w:rPr>
          <w:rFonts w:cs="Calibri"/>
        </w:rPr>
        <w:t xml:space="preserve">support the development of internal candidates. KIPP Lynn </w:t>
      </w:r>
      <w:r w:rsidR="00DB14E4" w:rsidRPr="00DD62FE">
        <w:rPr>
          <w:rFonts w:cs="Calibri"/>
        </w:rPr>
        <w:t xml:space="preserve">will </w:t>
      </w:r>
      <w:r w:rsidR="00B82559" w:rsidRPr="00DD62FE">
        <w:rPr>
          <w:rFonts w:cs="Calibri"/>
        </w:rPr>
        <w:t>use</w:t>
      </w:r>
      <w:r w:rsidR="00F10AD3" w:rsidRPr="00DD62FE">
        <w:rPr>
          <w:rFonts w:cs="Calibri"/>
        </w:rPr>
        <w:t xml:space="preserve"> </w:t>
      </w:r>
      <w:r w:rsidR="00FE1AAF" w:rsidRPr="00DD62FE">
        <w:rPr>
          <w:rFonts w:cs="Calibri"/>
        </w:rPr>
        <w:t xml:space="preserve">its teaching fellows program </w:t>
      </w:r>
      <w:r w:rsidR="00DB14E4" w:rsidRPr="00DD62FE">
        <w:rPr>
          <w:rFonts w:cs="Calibri"/>
        </w:rPr>
        <w:t xml:space="preserve">as well as </w:t>
      </w:r>
      <w:r w:rsidR="00B92443" w:rsidRPr="00DD62FE">
        <w:rPr>
          <w:rFonts w:cs="Calibri"/>
        </w:rPr>
        <w:t>financial incentives</w:t>
      </w:r>
      <w:r w:rsidR="009503BD" w:rsidRPr="00DD62FE">
        <w:rPr>
          <w:rFonts w:cs="Calibri"/>
        </w:rPr>
        <w:t xml:space="preserve"> </w:t>
      </w:r>
      <w:r w:rsidR="00DB14E4" w:rsidRPr="00DD62FE">
        <w:rPr>
          <w:rFonts w:cs="Calibri"/>
        </w:rPr>
        <w:t xml:space="preserve">for </w:t>
      </w:r>
      <w:r w:rsidR="00F10AD3" w:rsidRPr="00DD62FE">
        <w:rPr>
          <w:rFonts w:cs="Calibri"/>
        </w:rPr>
        <w:t xml:space="preserve">current staff to </w:t>
      </w:r>
      <w:r w:rsidR="0009393A" w:rsidRPr="00DD62FE">
        <w:rPr>
          <w:rFonts w:cs="Calibri"/>
        </w:rPr>
        <w:t xml:space="preserve">obtain licensure in special education and English as a </w:t>
      </w:r>
      <w:r w:rsidR="00723D4B" w:rsidRPr="00DD62FE">
        <w:rPr>
          <w:rFonts w:cs="Calibri"/>
        </w:rPr>
        <w:t>s</w:t>
      </w:r>
      <w:r w:rsidR="0009393A" w:rsidRPr="00DD62FE">
        <w:rPr>
          <w:rFonts w:cs="Calibri"/>
        </w:rPr>
        <w:t xml:space="preserve">econd </w:t>
      </w:r>
      <w:r w:rsidR="00723D4B" w:rsidRPr="00DD62FE">
        <w:rPr>
          <w:rFonts w:cs="Calibri"/>
        </w:rPr>
        <w:t>l</w:t>
      </w:r>
      <w:r w:rsidR="0009393A" w:rsidRPr="00DD62FE">
        <w:rPr>
          <w:rFonts w:cs="Calibri"/>
        </w:rPr>
        <w:t>anguage</w:t>
      </w:r>
      <w:r w:rsidR="00F10AD3" w:rsidRPr="00DD62FE">
        <w:rPr>
          <w:rFonts w:cs="Calibri"/>
        </w:rPr>
        <w:t>.</w:t>
      </w:r>
      <w:r w:rsidR="00B92443" w:rsidRPr="000B2AB8">
        <w:rPr>
          <w:rFonts w:cs="Calibri"/>
        </w:rPr>
        <w:t xml:space="preserve"> </w:t>
      </w:r>
    </w:p>
    <w:p w14:paraId="44C0EAB8" w14:textId="77777777" w:rsidR="00D83E85" w:rsidRPr="000B2AB8" w:rsidRDefault="00D83E85" w:rsidP="00661EA8">
      <w:pPr>
        <w:ind w:firstLine="720"/>
      </w:pPr>
    </w:p>
    <w:p w14:paraId="4E1E2012" w14:textId="233509AD" w:rsidR="00661EA8" w:rsidRPr="000B2AB8" w:rsidRDefault="00661EA8" w:rsidP="00661EA8">
      <w:pPr>
        <w:ind w:firstLine="720"/>
        <w:rPr>
          <w:b/>
          <w:bCs/>
        </w:rPr>
      </w:pPr>
      <w:r w:rsidRPr="000B2AB8">
        <w:rPr>
          <w:b/>
          <w:bCs/>
        </w:rPr>
        <w:t>Public Comment</w:t>
      </w:r>
    </w:p>
    <w:p w14:paraId="30F8C09C" w14:textId="77777777" w:rsidR="00661EA8" w:rsidRPr="000B2AB8" w:rsidRDefault="00661EA8" w:rsidP="001D4DAA"/>
    <w:p w14:paraId="4ACDF903" w14:textId="3E4681C4" w:rsidR="007F30C7" w:rsidRPr="000B2AB8" w:rsidRDefault="00933A19" w:rsidP="001D4DAA">
      <w:r w:rsidRPr="000B2AB8">
        <w:t>The Department received c</w:t>
      </w:r>
      <w:r w:rsidR="008B474E" w:rsidRPr="000B2AB8">
        <w:t xml:space="preserve">omment in support </w:t>
      </w:r>
      <w:r w:rsidR="004830AB" w:rsidRPr="000B2AB8">
        <w:t xml:space="preserve">of </w:t>
      </w:r>
      <w:r w:rsidR="008B474E" w:rsidRPr="000B2AB8">
        <w:t>and in opposition to the school’s request.</w:t>
      </w:r>
      <w:r w:rsidR="008B474E" w:rsidRPr="000B2AB8">
        <w:rPr>
          <w:b/>
          <w:bCs/>
        </w:rPr>
        <w:t xml:space="preserve"> </w:t>
      </w:r>
      <w:r w:rsidR="0013640D" w:rsidRPr="000B2AB8">
        <w:t xml:space="preserve">One hundred </w:t>
      </w:r>
      <w:r w:rsidR="00FB1D24" w:rsidRPr="000B2AB8">
        <w:t>and five</w:t>
      </w:r>
      <w:r w:rsidRPr="000B2AB8">
        <w:t xml:space="preserve"> </w:t>
      </w:r>
      <w:r w:rsidR="00BB7E6D" w:rsidRPr="000B2AB8">
        <w:t xml:space="preserve">community members provided comment in support, including families of </w:t>
      </w:r>
      <w:r w:rsidR="008B474E" w:rsidRPr="000B2AB8">
        <w:t>current and prospectiv</w:t>
      </w:r>
      <w:r w:rsidR="00BB7E6D" w:rsidRPr="000B2AB8">
        <w:t>e students</w:t>
      </w:r>
      <w:r w:rsidR="008B474E" w:rsidRPr="000B2AB8">
        <w:t>. Comment in opposition was provided by Mayor Jared Nicholson</w:t>
      </w:r>
      <w:r w:rsidR="00F92F43" w:rsidRPr="000B2AB8">
        <w:t>;</w:t>
      </w:r>
      <w:r w:rsidR="008B474E" w:rsidRPr="000B2AB8">
        <w:t xml:space="preserve"> Superintendent </w:t>
      </w:r>
      <w:r w:rsidR="000532A9" w:rsidRPr="000B2AB8">
        <w:t>Evonne</w:t>
      </w:r>
      <w:r w:rsidRPr="000B2AB8">
        <w:t xml:space="preserve"> </w:t>
      </w:r>
      <w:r w:rsidR="008B474E" w:rsidRPr="000B2AB8">
        <w:t>Alvarez</w:t>
      </w:r>
      <w:r w:rsidR="00F92F43" w:rsidRPr="000B2AB8">
        <w:t>;</w:t>
      </w:r>
      <w:r w:rsidR="008B474E" w:rsidRPr="000B2AB8">
        <w:t xml:space="preserve"> and Sheila O’Neil, President of the Lynn Teachers Union in writ</w:t>
      </w:r>
      <w:r w:rsidR="00F92F43" w:rsidRPr="000B2AB8">
        <w:t>ing</w:t>
      </w:r>
      <w:r w:rsidR="008B474E" w:rsidRPr="000B2AB8">
        <w:t xml:space="preserve"> and at the </w:t>
      </w:r>
      <w:r w:rsidR="00F92F43" w:rsidRPr="000B2AB8">
        <w:t xml:space="preserve">Board’s meeting </w:t>
      </w:r>
      <w:r w:rsidR="00C071A4" w:rsidRPr="000B2AB8">
        <w:t xml:space="preserve">in </w:t>
      </w:r>
      <w:r w:rsidR="008B474E" w:rsidRPr="000B2AB8">
        <w:t xml:space="preserve">November </w:t>
      </w:r>
      <w:r w:rsidR="00746F35" w:rsidRPr="000B2AB8">
        <w:t>2024</w:t>
      </w:r>
      <w:r w:rsidR="008B474E" w:rsidRPr="000B2AB8">
        <w:t xml:space="preserve">. </w:t>
      </w:r>
      <w:r w:rsidR="00C071A4" w:rsidRPr="000B2AB8">
        <w:t xml:space="preserve">State </w:t>
      </w:r>
      <w:r w:rsidR="00963733" w:rsidRPr="000B2AB8">
        <w:t>s</w:t>
      </w:r>
      <w:r w:rsidR="008B474E" w:rsidRPr="000B2AB8">
        <w:t xml:space="preserve">enator Brendan Crighton and </w:t>
      </w:r>
      <w:r w:rsidR="00963733" w:rsidRPr="000B2AB8">
        <w:t>s</w:t>
      </w:r>
      <w:r w:rsidR="00C071A4" w:rsidRPr="000B2AB8">
        <w:t xml:space="preserve">tate </w:t>
      </w:r>
      <w:r w:rsidR="00963733" w:rsidRPr="000B2AB8">
        <w:t>r</w:t>
      </w:r>
      <w:r w:rsidR="008B474E" w:rsidRPr="000B2AB8">
        <w:t xml:space="preserve">epresentatives Daniel Cahill, Peter Capano, and Jenny Balinsky Amini </w:t>
      </w:r>
      <w:r w:rsidR="00BF0BD4" w:rsidRPr="000B2AB8">
        <w:t xml:space="preserve">also signed </w:t>
      </w:r>
      <w:r w:rsidR="0002564D" w:rsidRPr="000B2AB8">
        <w:t xml:space="preserve">the </w:t>
      </w:r>
      <w:r w:rsidR="008B474E" w:rsidRPr="000B2AB8">
        <w:t>correspondence from the superintendent in opposition to the request</w:t>
      </w:r>
      <w:r w:rsidR="00D94168" w:rsidRPr="000B2AB8">
        <w:t xml:space="preserve">. </w:t>
      </w:r>
      <w:r w:rsidR="00E3525E" w:rsidRPr="000B2AB8">
        <w:t xml:space="preserve">Senator Crighton and </w:t>
      </w:r>
      <w:r w:rsidR="00963733" w:rsidRPr="000B2AB8">
        <w:t>r</w:t>
      </w:r>
      <w:r w:rsidR="00DC51B5" w:rsidRPr="000B2AB8">
        <w:t xml:space="preserve">epresentative </w:t>
      </w:r>
      <w:r w:rsidR="00A07DB3" w:rsidRPr="000B2AB8">
        <w:t xml:space="preserve">Sean </w:t>
      </w:r>
      <w:r w:rsidR="002665B2" w:rsidRPr="000B2AB8">
        <w:t>Reid</w:t>
      </w:r>
      <w:r w:rsidR="000522C8" w:rsidRPr="000B2AB8">
        <w:t xml:space="preserve">, who </w:t>
      </w:r>
      <w:r w:rsidR="00C84D6A" w:rsidRPr="000B2AB8">
        <w:t>was elected to</w:t>
      </w:r>
      <w:r w:rsidR="000522C8" w:rsidRPr="000B2AB8">
        <w:t xml:space="preserve"> </w:t>
      </w:r>
      <w:r w:rsidR="00E6369A" w:rsidRPr="000B2AB8">
        <w:t>replace</w:t>
      </w:r>
      <w:r w:rsidR="000522C8" w:rsidRPr="000B2AB8">
        <w:t xml:space="preserve"> Mr. Capano,</w:t>
      </w:r>
      <w:r w:rsidR="00BA0256" w:rsidRPr="000B2AB8">
        <w:t xml:space="preserve"> provid</w:t>
      </w:r>
      <w:r w:rsidR="00D94168" w:rsidRPr="000B2AB8">
        <w:t>ed</w:t>
      </w:r>
      <w:r w:rsidR="00BA0256" w:rsidRPr="000B2AB8">
        <w:t xml:space="preserve"> public comment at the Board</w:t>
      </w:r>
      <w:r w:rsidR="0002564D" w:rsidRPr="000B2AB8">
        <w:t>’s</w:t>
      </w:r>
      <w:r w:rsidR="00BA0256" w:rsidRPr="000B2AB8">
        <w:t xml:space="preserve"> meeting</w:t>
      </w:r>
      <w:r w:rsidR="0002564D" w:rsidRPr="000B2AB8">
        <w:t xml:space="preserve"> in December 2024</w:t>
      </w:r>
      <w:r w:rsidR="008B474E" w:rsidRPr="000B2AB8">
        <w:t>.</w:t>
      </w:r>
      <w:r w:rsidR="001651B6" w:rsidRPr="000B2AB8">
        <w:t xml:space="preserve"> </w:t>
      </w:r>
      <w:r w:rsidR="00F5312E" w:rsidRPr="000B2AB8">
        <w:t xml:space="preserve">Fifteen </w:t>
      </w:r>
      <w:r w:rsidR="009C74F4" w:rsidRPr="000B2AB8">
        <w:t>comment</w:t>
      </w:r>
      <w:r w:rsidR="00441918" w:rsidRPr="000B2AB8">
        <w:t>s</w:t>
      </w:r>
      <w:r w:rsidR="009C74F4" w:rsidRPr="000B2AB8">
        <w:t xml:space="preserve"> were submitted by the general public</w:t>
      </w:r>
      <w:r w:rsidR="00441918" w:rsidRPr="000B2AB8">
        <w:t xml:space="preserve"> in opposition to the request</w:t>
      </w:r>
      <w:r w:rsidR="009C74F4" w:rsidRPr="000B2AB8">
        <w:t>, including six</w:t>
      </w:r>
      <w:r w:rsidR="00441918" w:rsidRPr="000B2AB8">
        <w:t xml:space="preserve"> Lynn residents </w:t>
      </w:r>
      <w:r w:rsidR="009C74F4" w:rsidRPr="000B2AB8">
        <w:t xml:space="preserve">and </w:t>
      </w:r>
      <w:r w:rsidR="0011493A" w:rsidRPr="000B2AB8">
        <w:t xml:space="preserve">nine individuals from surrounding communities. </w:t>
      </w:r>
      <w:r w:rsidR="0089313F" w:rsidRPr="000B2AB8">
        <w:rPr>
          <w:rFonts w:cs="Calibri"/>
        </w:rPr>
        <w:t>Comment is attached.</w:t>
      </w:r>
    </w:p>
    <w:p w14:paraId="0E3D2B3B" w14:textId="77777777" w:rsidR="0030681D" w:rsidRPr="000B2AB8" w:rsidRDefault="0030681D" w:rsidP="001D4DAA">
      <w:pPr>
        <w:rPr>
          <w:b/>
          <w:bCs/>
        </w:rPr>
      </w:pPr>
    </w:p>
    <w:p w14:paraId="17023F9F" w14:textId="64820F13" w:rsidR="00CE67DB" w:rsidRPr="000B2AB8" w:rsidRDefault="0030681D" w:rsidP="001D4DAA">
      <w:pPr>
        <w:rPr>
          <w:b/>
          <w:bCs/>
        </w:rPr>
      </w:pPr>
      <w:r w:rsidRPr="000B2AB8">
        <w:tab/>
      </w:r>
      <w:r w:rsidRPr="000B2AB8">
        <w:rPr>
          <w:b/>
          <w:bCs/>
        </w:rPr>
        <w:t>Recommendation</w:t>
      </w:r>
    </w:p>
    <w:p w14:paraId="68F5A5AE" w14:textId="77777777" w:rsidR="00C91966" w:rsidRPr="000B2AB8" w:rsidRDefault="00C91966" w:rsidP="00C91966">
      <w:pPr>
        <w:autoSpaceDE w:val="0"/>
        <w:autoSpaceDN w:val="0"/>
        <w:adjustRightInd w:val="0"/>
      </w:pPr>
    </w:p>
    <w:p w14:paraId="32E20670" w14:textId="0125DA5C" w:rsidR="00C91966" w:rsidRPr="000B2AB8" w:rsidRDefault="00C91966" w:rsidP="00C91966">
      <w:pPr>
        <w:pStyle w:val="BodyText"/>
        <w:spacing w:after="0"/>
      </w:pPr>
      <w:r w:rsidRPr="000B2AB8">
        <w:t xml:space="preserve">As noted in the request submitted in </w:t>
      </w:r>
      <w:r w:rsidR="007A652B" w:rsidRPr="000B2AB8">
        <w:t>September</w:t>
      </w:r>
      <w:r w:rsidRPr="000B2AB8">
        <w:t xml:space="preserve"> 20</w:t>
      </w:r>
      <w:r w:rsidR="007A652B" w:rsidRPr="000B2AB8">
        <w:t>24</w:t>
      </w:r>
      <w:r w:rsidRPr="000B2AB8">
        <w:t xml:space="preserve">, the board of trustees of </w:t>
      </w:r>
      <w:r w:rsidR="007A652B" w:rsidRPr="000B2AB8">
        <w:t>KIPP L</w:t>
      </w:r>
      <w:r w:rsidR="00051F4D" w:rsidRPr="000B2AB8">
        <w:t>y</w:t>
      </w:r>
      <w:r w:rsidR="007A652B" w:rsidRPr="000B2AB8">
        <w:t>nn</w:t>
      </w:r>
      <w:r w:rsidRPr="000B2AB8">
        <w:t xml:space="preserve"> originally requested an expansion from </w:t>
      </w:r>
      <w:r w:rsidR="007A652B" w:rsidRPr="000B2AB8">
        <w:rPr>
          <w:rFonts w:cs="Calibri"/>
        </w:rPr>
        <w:t>1,58</w:t>
      </w:r>
      <w:r w:rsidR="00051F4D" w:rsidRPr="000B2AB8">
        <w:rPr>
          <w:rFonts w:cs="Calibri"/>
        </w:rPr>
        <w:t>6</w:t>
      </w:r>
      <w:r w:rsidR="007A652B" w:rsidRPr="000B2AB8">
        <w:rPr>
          <w:rFonts w:cs="Calibri"/>
        </w:rPr>
        <w:t xml:space="preserve"> to 2,947 students</w:t>
      </w:r>
      <w:r w:rsidRPr="000B2AB8">
        <w:t xml:space="preserve">. </w:t>
      </w:r>
      <w:r w:rsidR="00EC367A" w:rsidRPr="000B2AB8">
        <w:t xml:space="preserve">The </w:t>
      </w:r>
      <w:r w:rsidRPr="000B2AB8">
        <w:t>Department’s review</w:t>
      </w:r>
      <w:r w:rsidR="00EC367A" w:rsidRPr="000B2AB8">
        <w:t xml:space="preserve"> identified</w:t>
      </w:r>
      <w:r w:rsidRPr="000B2AB8">
        <w:t xml:space="preserve"> concerns regarding the </w:t>
      </w:r>
      <w:r w:rsidR="00360768" w:rsidRPr="000B2AB8">
        <w:t xml:space="preserve">size and </w:t>
      </w:r>
      <w:r w:rsidRPr="000B2AB8">
        <w:t xml:space="preserve">pace of growth proposed. </w:t>
      </w:r>
      <w:r w:rsidR="0002564D" w:rsidRPr="000B2AB8">
        <w:t>T</w:t>
      </w:r>
      <w:r w:rsidRPr="000B2AB8">
        <w:t xml:space="preserve">he school submitted a modified </w:t>
      </w:r>
      <w:r w:rsidR="0002564D" w:rsidRPr="000B2AB8">
        <w:t>request</w:t>
      </w:r>
      <w:r w:rsidRPr="000B2AB8">
        <w:t xml:space="preserve"> that will permit the school to grow at a reasonable pace and support successful</w:t>
      </w:r>
      <w:r w:rsidR="00360768" w:rsidRPr="000B2AB8">
        <w:t xml:space="preserve"> </w:t>
      </w:r>
      <w:r w:rsidRPr="000B2AB8">
        <w:t>implementation of the school’s educational model.</w:t>
      </w:r>
    </w:p>
    <w:p w14:paraId="4733FE7C" w14:textId="77777777" w:rsidR="00C91966" w:rsidRPr="000B2AB8" w:rsidRDefault="00C91966" w:rsidP="00C91966">
      <w:pPr>
        <w:pStyle w:val="BodyText"/>
        <w:spacing w:after="0"/>
      </w:pPr>
    </w:p>
    <w:p w14:paraId="28443D9E" w14:textId="2B44D2F8" w:rsidR="0030681D" w:rsidRPr="000B2AB8" w:rsidRDefault="0084681B" w:rsidP="001D4DAA">
      <w:pPr>
        <w:rPr>
          <w:rFonts w:cs="Calibri"/>
        </w:rPr>
      </w:pPr>
      <w:r w:rsidRPr="000B2AB8">
        <w:rPr>
          <w:rFonts w:cs="Calibri"/>
        </w:rPr>
        <w:t xml:space="preserve">The school’s </w:t>
      </w:r>
      <w:r w:rsidR="00721719" w:rsidRPr="000B2AB8">
        <w:rPr>
          <w:rFonts w:cs="Calibri"/>
        </w:rPr>
        <w:t xml:space="preserve">modified </w:t>
      </w:r>
      <w:r w:rsidRPr="000B2AB8">
        <w:rPr>
          <w:rFonts w:cs="Calibri"/>
        </w:rPr>
        <w:t xml:space="preserve">request is reasonable and consistent with the charter school statute and regulations. </w:t>
      </w:r>
      <w:r w:rsidR="008B474E" w:rsidRPr="000B2AB8">
        <w:rPr>
          <w:rFonts w:cs="Calibri"/>
        </w:rPr>
        <w:t xml:space="preserve">Overall, the request, the renewal of the school’s charter in 2024, and the Department’s accountability records indicate that the school </w:t>
      </w:r>
      <w:r w:rsidR="001C341B" w:rsidRPr="000B2AB8">
        <w:rPr>
          <w:rFonts w:cs="Calibri"/>
        </w:rPr>
        <w:t xml:space="preserve">is an </w:t>
      </w:r>
      <w:r w:rsidR="008B474E" w:rsidRPr="000B2AB8">
        <w:rPr>
          <w:rFonts w:cs="Calibri"/>
        </w:rPr>
        <w:t xml:space="preserve">academic success, </w:t>
      </w:r>
      <w:r w:rsidR="00721719" w:rsidRPr="000B2AB8">
        <w:rPr>
          <w:rFonts w:cs="Calibri"/>
        </w:rPr>
        <w:t xml:space="preserve">is </w:t>
      </w:r>
      <w:r w:rsidR="008B474E" w:rsidRPr="000B2AB8">
        <w:rPr>
          <w:rFonts w:cs="Calibri"/>
        </w:rPr>
        <w:t xml:space="preserve">a viable organization, and </w:t>
      </w:r>
      <w:r w:rsidR="001C341B" w:rsidRPr="000B2AB8">
        <w:rPr>
          <w:rFonts w:cs="Calibri"/>
        </w:rPr>
        <w:t>is</w:t>
      </w:r>
      <w:r w:rsidR="008B474E" w:rsidRPr="000B2AB8">
        <w:rPr>
          <w:rFonts w:cs="Calibri"/>
        </w:rPr>
        <w:t xml:space="preserve"> faithful to the terms of its charter. I recommend that the Board approve the increase in enrollment to serve an additional </w:t>
      </w:r>
      <w:r w:rsidR="00AD7CFC" w:rsidRPr="000B2AB8">
        <w:rPr>
          <w:rFonts w:cs="Calibri"/>
        </w:rPr>
        <w:t>450</w:t>
      </w:r>
      <w:r w:rsidR="008B474E" w:rsidRPr="000B2AB8">
        <w:rPr>
          <w:rFonts w:cs="Calibri"/>
        </w:rPr>
        <w:t xml:space="preserve"> students as requested by the school. If the Board votes to grant </w:t>
      </w:r>
      <w:r w:rsidR="00721719" w:rsidRPr="000B2AB8">
        <w:rPr>
          <w:rFonts w:cs="Calibri"/>
        </w:rPr>
        <w:t xml:space="preserve">KIPP Lynn’s </w:t>
      </w:r>
      <w:r w:rsidR="008B474E" w:rsidRPr="000B2AB8">
        <w:rPr>
          <w:rFonts w:cs="Calibri"/>
        </w:rPr>
        <w:t>request, the school will serve students in grades K-12 with a maximum enrollment of 2,</w:t>
      </w:r>
      <w:r w:rsidR="00AD7CFC" w:rsidRPr="000B2AB8">
        <w:rPr>
          <w:rFonts w:cs="Calibri"/>
        </w:rPr>
        <w:t>036</w:t>
      </w:r>
      <w:r w:rsidR="008B474E" w:rsidRPr="000B2AB8">
        <w:rPr>
          <w:rFonts w:cs="Calibri"/>
        </w:rPr>
        <w:t xml:space="preserve"> students. A motion for approval is attached for your consideration.</w:t>
      </w:r>
    </w:p>
    <w:p w14:paraId="0B860635" w14:textId="2BF3DBAE" w:rsidR="00C87100" w:rsidRDefault="00C87100">
      <w:r>
        <w:br w:type="page"/>
      </w:r>
    </w:p>
    <w:p w14:paraId="453F7D19" w14:textId="77777777" w:rsidR="00D0512C" w:rsidRPr="000B2AB8" w:rsidRDefault="00D0512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46"/>
        <w:gridCol w:w="1801"/>
        <w:gridCol w:w="1079"/>
        <w:gridCol w:w="4224"/>
      </w:tblGrid>
      <w:tr w:rsidR="009369CA" w:rsidRPr="000B2AB8" w14:paraId="168B9F49" w14:textId="77777777" w:rsidTr="00D05B02">
        <w:trPr>
          <w:trHeight w:val="435"/>
        </w:trPr>
        <w:tc>
          <w:tcPr>
            <w:tcW w:w="5000" w:type="pct"/>
            <w:gridSpan w:val="4"/>
            <w:shd w:val="clear" w:color="auto" w:fill="A6A6A6" w:themeFill="background1" w:themeFillShade="A6"/>
            <w:vAlign w:val="center"/>
            <w:hideMark/>
          </w:tcPr>
          <w:p w14:paraId="63C4F8DA" w14:textId="3BDF7263" w:rsidR="009369CA" w:rsidRPr="000B2AB8" w:rsidRDefault="003B6426" w:rsidP="00D05B02">
            <w:pPr>
              <w:ind w:left="165"/>
              <w:textAlignment w:val="baseline"/>
              <w:rPr>
                <w:rFonts w:eastAsia="Times New Roman" w:cs="Calibri"/>
                <w:b/>
                <w:bCs/>
                <w:sz w:val="32"/>
                <w:szCs w:val="32"/>
              </w:rPr>
            </w:pPr>
            <w:r w:rsidRPr="000B2AB8">
              <w:br w:type="page"/>
            </w:r>
            <w:r w:rsidR="009369CA" w:rsidRPr="000B2AB8">
              <w:rPr>
                <w:rFonts w:eastAsia="Times New Roman" w:cs="Calibri"/>
                <w:b/>
                <w:bCs/>
                <w:sz w:val="30"/>
                <w:szCs w:val="30"/>
              </w:rPr>
              <w:t>Pioneer Valley Chinese Immersion Charter School</w:t>
            </w:r>
          </w:p>
        </w:tc>
      </w:tr>
      <w:tr w:rsidR="009369CA" w:rsidRPr="000B2AB8" w14:paraId="7D2832C1" w14:textId="77777777" w:rsidTr="00DB105F">
        <w:trPr>
          <w:trHeight w:val="363"/>
        </w:trPr>
        <w:tc>
          <w:tcPr>
            <w:tcW w:w="1201" w:type="pct"/>
            <w:shd w:val="clear" w:color="auto" w:fill="F2F2F2" w:themeFill="background1" w:themeFillShade="F2"/>
            <w:vAlign w:val="center"/>
            <w:hideMark/>
          </w:tcPr>
          <w:p w14:paraId="056A7011" w14:textId="77777777" w:rsidR="009369CA" w:rsidRPr="000B2AB8" w:rsidRDefault="009369CA" w:rsidP="00D05B02">
            <w:pPr>
              <w:ind w:left="75" w:firstLine="15"/>
              <w:textAlignment w:val="baseline"/>
              <w:rPr>
                <w:rFonts w:eastAsia="Times New Roman" w:cs="Times New Roman"/>
                <w:sz w:val="20"/>
                <w:szCs w:val="20"/>
              </w:rPr>
            </w:pPr>
            <w:r w:rsidRPr="000B2AB8">
              <w:rPr>
                <w:rFonts w:eastAsia="Times New Roman" w:cs="Calibri"/>
                <w:b/>
                <w:bCs/>
                <w:sz w:val="20"/>
                <w:szCs w:val="20"/>
              </w:rPr>
              <w:t>Type of Charter</w:t>
            </w:r>
          </w:p>
        </w:tc>
        <w:tc>
          <w:tcPr>
            <w:tcW w:w="963" w:type="pct"/>
            <w:shd w:val="clear" w:color="auto" w:fill="auto"/>
            <w:vAlign w:val="center"/>
            <w:hideMark/>
          </w:tcPr>
          <w:p w14:paraId="5F59E6A9" w14:textId="77777777" w:rsidR="009369CA" w:rsidRPr="000B2AB8" w:rsidRDefault="009369CA" w:rsidP="00D05B02">
            <w:pPr>
              <w:ind w:left="90" w:hanging="15"/>
              <w:textAlignment w:val="baseline"/>
              <w:rPr>
                <w:rFonts w:eastAsia="Times New Roman" w:cs="Times New Roman"/>
                <w:sz w:val="20"/>
                <w:szCs w:val="20"/>
              </w:rPr>
            </w:pPr>
            <w:r w:rsidRPr="000B2AB8">
              <w:rPr>
                <w:rFonts w:eastAsia="Times New Roman" w:cs="Calibri"/>
                <w:color w:val="000000"/>
                <w:sz w:val="20"/>
                <w:szCs w:val="20"/>
              </w:rPr>
              <w:t>Commonwealth</w:t>
            </w:r>
          </w:p>
        </w:tc>
        <w:tc>
          <w:tcPr>
            <w:tcW w:w="577" w:type="pct"/>
            <w:vMerge w:val="restart"/>
            <w:shd w:val="clear" w:color="auto" w:fill="F2F2F2" w:themeFill="background1" w:themeFillShade="F2"/>
            <w:vAlign w:val="center"/>
            <w:hideMark/>
          </w:tcPr>
          <w:p w14:paraId="16F2BADD" w14:textId="4F7BDE2D" w:rsidR="009369CA" w:rsidRPr="000B2AB8" w:rsidRDefault="009369CA" w:rsidP="002742C9">
            <w:pPr>
              <w:ind w:left="90"/>
              <w:jc w:val="center"/>
              <w:textAlignment w:val="baseline"/>
              <w:rPr>
                <w:rFonts w:eastAsia="Times New Roman" w:cs="Times New Roman"/>
                <w:sz w:val="20"/>
                <w:szCs w:val="20"/>
              </w:rPr>
            </w:pPr>
            <w:r w:rsidRPr="000B2AB8">
              <w:rPr>
                <w:rFonts w:eastAsia="Times New Roman" w:cs="Calibri"/>
                <w:b/>
                <w:bCs/>
                <w:sz w:val="20"/>
                <w:szCs w:val="20"/>
              </w:rPr>
              <w:t>Charter Region</w:t>
            </w:r>
          </w:p>
          <w:p w14:paraId="78F75F1D" w14:textId="77777777" w:rsidR="009369CA" w:rsidRPr="000B2AB8" w:rsidRDefault="009369CA" w:rsidP="00D05B02">
            <w:pPr>
              <w:ind w:left="90"/>
              <w:textAlignment w:val="baseline"/>
              <w:rPr>
                <w:rFonts w:eastAsia="Times New Roman" w:cs="Times New Roman"/>
                <w:sz w:val="20"/>
                <w:szCs w:val="20"/>
              </w:rPr>
            </w:pPr>
            <w:r w:rsidRPr="000B2AB8">
              <w:rPr>
                <w:rFonts w:eastAsia="Times New Roman" w:cs="Aptos"/>
                <w:sz w:val="20"/>
                <w:szCs w:val="20"/>
              </w:rPr>
              <w:t> </w:t>
            </w:r>
          </w:p>
        </w:tc>
        <w:tc>
          <w:tcPr>
            <w:tcW w:w="2259" w:type="pct"/>
            <w:vMerge w:val="restart"/>
            <w:shd w:val="clear" w:color="auto" w:fill="auto"/>
            <w:vAlign w:val="center"/>
            <w:hideMark/>
          </w:tcPr>
          <w:p w14:paraId="4508C988" w14:textId="5E54B21A" w:rsidR="009369CA" w:rsidRPr="000B2AB8" w:rsidRDefault="009369CA" w:rsidP="00D05B02">
            <w:pPr>
              <w:ind w:left="135"/>
              <w:textAlignment w:val="baseline"/>
              <w:rPr>
                <w:rFonts w:eastAsia="Times New Roman" w:cs="Times New Roman"/>
                <w:sz w:val="20"/>
                <w:szCs w:val="20"/>
              </w:rPr>
            </w:pPr>
            <w:r w:rsidRPr="000B2AB8">
              <w:rPr>
                <w:rFonts w:eastAsia="Times New Roman" w:cs="Times New Roman"/>
                <w:sz w:val="20"/>
                <w:szCs w:val="20"/>
              </w:rPr>
              <w:t xml:space="preserve">Agawam, Amherst, Amherst-Pelham, Belchertown, Chesterfield-Goshen, Chicopee, Conway, Deerfield, East Longmeadow, Easthampton, Frontier, Gill-Montague, Granby, Greenfield, Hadley, Hampden-Wilbraham, Hampshire, Hatfield, Hawlemont, Holyoke, Leverett, Longmeadow, Ludlow, Mohawk Trail, Northampton, Pelham, Pioneer Valley, Shutesbury, South Hadley, Southampton, Southwick-Tolland-Granville, Springfield, Sunderland, West Springfield, Westfield, Westhampton, Whately, and Williamsburg  </w:t>
            </w:r>
          </w:p>
        </w:tc>
      </w:tr>
      <w:tr w:rsidR="00DB105F" w:rsidRPr="000B2AB8" w14:paraId="4E2777A9" w14:textId="77777777" w:rsidTr="00DB105F">
        <w:trPr>
          <w:trHeight w:val="363"/>
        </w:trPr>
        <w:tc>
          <w:tcPr>
            <w:tcW w:w="1201" w:type="pct"/>
            <w:shd w:val="clear" w:color="auto" w:fill="F2F2F2" w:themeFill="background1" w:themeFillShade="F2"/>
            <w:vAlign w:val="center"/>
          </w:tcPr>
          <w:p w14:paraId="10297DC8" w14:textId="5F721A85" w:rsidR="00DB105F" w:rsidRPr="000B2AB8" w:rsidRDefault="00DB105F" w:rsidP="00D05B02">
            <w:pPr>
              <w:ind w:left="75" w:firstLine="15"/>
              <w:textAlignment w:val="baseline"/>
              <w:rPr>
                <w:rFonts w:eastAsia="Times New Roman" w:cs="Calibri"/>
                <w:b/>
                <w:bCs/>
                <w:sz w:val="20"/>
                <w:szCs w:val="20"/>
              </w:rPr>
            </w:pPr>
            <w:r w:rsidRPr="000B2AB8">
              <w:rPr>
                <w:rFonts w:eastAsia="Times New Roman" w:cs="Calibri"/>
                <w:b/>
                <w:bCs/>
                <w:sz w:val="20"/>
                <w:szCs w:val="20"/>
              </w:rPr>
              <w:t>Location</w:t>
            </w:r>
          </w:p>
        </w:tc>
        <w:tc>
          <w:tcPr>
            <w:tcW w:w="963" w:type="pct"/>
            <w:shd w:val="clear" w:color="auto" w:fill="auto"/>
            <w:vAlign w:val="center"/>
          </w:tcPr>
          <w:p w14:paraId="22CB0A32" w14:textId="092CFED7" w:rsidR="00DB105F" w:rsidRPr="000B2AB8" w:rsidRDefault="00DB105F" w:rsidP="00DB105F">
            <w:pPr>
              <w:ind w:left="90" w:hanging="15"/>
              <w:textAlignment w:val="baseline"/>
              <w:rPr>
                <w:rFonts w:eastAsia="Times New Roman" w:cs="Calibri"/>
                <w:color w:val="000000"/>
                <w:sz w:val="20"/>
                <w:szCs w:val="20"/>
              </w:rPr>
            </w:pPr>
            <w:r w:rsidRPr="000B2AB8">
              <w:rPr>
                <w:rFonts w:eastAsia="Times New Roman" w:cs="Calibri"/>
                <w:color w:val="000000"/>
                <w:sz w:val="20"/>
                <w:szCs w:val="20"/>
              </w:rPr>
              <w:t>Hadley</w:t>
            </w:r>
          </w:p>
        </w:tc>
        <w:tc>
          <w:tcPr>
            <w:tcW w:w="577" w:type="pct"/>
            <w:vMerge/>
            <w:shd w:val="clear" w:color="auto" w:fill="F2F2F2" w:themeFill="background1" w:themeFillShade="F2"/>
            <w:vAlign w:val="center"/>
          </w:tcPr>
          <w:p w14:paraId="6252DDE7" w14:textId="77777777" w:rsidR="00DB105F" w:rsidRPr="000B2AB8" w:rsidRDefault="00DB105F" w:rsidP="00D05B02">
            <w:pPr>
              <w:ind w:left="90"/>
              <w:textAlignment w:val="baseline"/>
              <w:rPr>
                <w:rFonts w:eastAsia="Times New Roman" w:cs="Calibri"/>
                <w:b/>
                <w:bCs/>
                <w:sz w:val="20"/>
                <w:szCs w:val="20"/>
              </w:rPr>
            </w:pPr>
          </w:p>
        </w:tc>
        <w:tc>
          <w:tcPr>
            <w:tcW w:w="2259" w:type="pct"/>
            <w:vMerge/>
            <w:shd w:val="clear" w:color="auto" w:fill="auto"/>
            <w:vAlign w:val="center"/>
          </w:tcPr>
          <w:p w14:paraId="2017DA89" w14:textId="77777777" w:rsidR="00DB105F" w:rsidRPr="000B2AB8" w:rsidRDefault="00DB105F" w:rsidP="00D05B02">
            <w:pPr>
              <w:ind w:left="135"/>
              <w:textAlignment w:val="baseline"/>
              <w:rPr>
                <w:rFonts w:eastAsia="Times New Roman" w:cs="Times New Roman"/>
                <w:sz w:val="20"/>
                <w:szCs w:val="20"/>
              </w:rPr>
            </w:pPr>
          </w:p>
        </w:tc>
      </w:tr>
      <w:tr w:rsidR="009369CA" w:rsidRPr="000B2AB8" w14:paraId="13570852" w14:textId="77777777" w:rsidTr="00DB105F">
        <w:trPr>
          <w:trHeight w:val="435"/>
        </w:trPr>
        <w:tc>
          <w:tcPr>
            <w:tcW w:w="1201" w:type="pct"/>
            <w:shd w:val="clear" w:color="auto" w:fill="F2F2F2" w:themeFill="background1" w:themeFillShade="F2"/>
            <w:vAlign w:val="center"/>
          </w:tcPr>
          <w:p w14:paraId="0A3019D7" w14:textId="5A75205E" w:rsidR="009369CA" w:rsidRPr="000B2AB8" w:rsidRDefault="00DB105F" w:rsidP="00D05B02">
            <w:pPr>
              <w:ind w:left="75" w:firstLine="15"/>
              <w:textAlignment w:val="baseline"/>
              <w:rPr>
                <w:rFonts w:eastAsia="Times New Roman" w:cs="Calibri"/>
                <w:b/>
                <w:bCs/>
                <w:sz w:val="20"/>
                <w:szCs w:val="20"/>
              </w:rPr>
            </w:pPr>
            <w:r w:rsidRPr="000B2AB8">
              <w:rPr>
                <w:rFonts w:eastAsia="Times New Roman" w:cs="Calibri"/>
                <w:b/>
                <w:bCs/>
                <w:sz w:val="20"/>
                <w:szCs w:val="20"/>
              </w:rPr>
              <w:t>Year Opened</w:t>
            </w:r>
          </w:p>
        </w:tc>
        <w:tc>
          <w:tcPr>
            <w:tcW w:w="963" w:type="pct"/>
            <w:shd w:val="clear" w:color="auto" w:fill="auto"/>
            <w:vAlign w:val="center"/>
          </w:tcPr>
          <w:p w14:paraId="725C0D2B" w14:textId="187FA4A3" w:rsidR="009369CA" w:rsidRPr="000B2AB8" w:rsidRDefault="00DB105F" w:rsidP="00D05B02">
            <w:pPr>
              <w:ind w:left="90" w:hanging="15"/>
              <w:textAlignment w:val="baseline"/>
              <w:rPr>
                <w:rFonts w:eastAsia="Times New Roman" w:cs="Calibri"/>
                <w:color w:val="000000"/>
                <w:sz w:val="20"/>
                <w:szCs w:val="20"/>
              </w:rPr>
            </w:pPr>
            <w:r w:rsidRPr="000B2AB8">
              <w:rPr>
                <w:rFonts w:eastAsia="Times New Roman" w:cs="Calibri"/>
                <w:color w:val="000000"/>
                <w:sz w:val="20"/>
                <w:szCs w:val="20"/>
              </w:rPr>
              <w:t>2007</w:t>
            </w:r>
          </w:p>
        </w:tc>
        <w:tc>
          <w:tcPr>
            <w:tcW w:w="577" w:type="pct"/>
            <w:vMerge/>
            <w:vAlign w:val="center"/>
          </w:tcPr>
          <w:p w14:paraId="50721013" w14:textId="77777777" w:rsidR="009369CA" w:rsidRPr="000B2AB8" w:rsidRDefault="009369CA" w:rsidP="00D05B02">
            <w:pPr>
              <w:ind w:left="90"/>
              <w:textAlignment w:val="baseline"/>
              <w:rPr>
                <w:rFonts w:eastAsia="Times New Roman" w:cs="Calibri"/>
                <w:b/>
                <w:bCs/>
                <w:sz w:val="20"/>
                <w:szCs w:val="20"/>
              </w:rPr>
            </w:pPr>
          </w:p>
        </w:tc>
        <w:tc>
          <w:tcPr>
            <w:tcW w:w="2259" w:type="pct"/>
            <w:vMerge/>
            <w:vAlign w:val="center"/>
          </w:tcPr>
          <w:p w14:paraId="42DF80A5" w14:textId="77777777" w:rsidR="009369CA" w:rsidRPr="000B2AB8" w:rsidRDefault="009369CA" w:rsidP="00D05B02">
            <w:pPr>
              <w:ind w:left="135"/>
              <w:textAlignment w:val="baseline"/>
              <w:rPr>
                <w:rFonts w:eastAsia="Times New Roman" w:cs="Times New Roman"/>
                <w:sz w:val="20"/>
                <w:szCs w:val="20"/>
              </w:rPr>
            </w:pPr>
          </w:p>
        </w:tc>
      </w:tr>
      <w:tr w:rsidR="00DB105F" w:rsidRPr="000B2AB8" w14:paraId="40750078" w14:textId="77777777" w:rsidTr="00DB105F">
        <w:trPr>
          <w:trHeight w:val="435"/>
        </w:trPr>
        <w:tc>
          <w:tcPr>
            <w:tcW w:w="1201" w:type="pct"/>
            <w:shd w:val="clear" w:color="auto" w:fill="F2F2F2" w:themeFill="background1" w:themeFillShade="F2"/>
            <w:vAlign w:val="center"/>
          </w:tcPr>
          <w:p w14:paraId="7A72C198" w14:textId="098452B7" w:rsidR="00DB105F" w:rsidRPr="000B2AB8" w:rsidRDefault="00DB105F" w:rsidP="00D05B02">
            <w:pPr>
              <w:ind w:left="75" w:firstLine="15"/>
              <w:textAlignment w:val="baseline"/>
              <w:rPr>
                <w:rFonts w:eastAsia="Times New Roman" w:cs="Calibri"/>
                <w:b/>
                <w:bCs/>
                <w:sz w:val="20"/>
                <w:szCs w:val="20"/>
              </w:rPr>
            </w:pPr>
            <w:r w:rsidRPr="000B2AB8">
              <w:rPr>
                <w:rFonts w:eastAsia="Times New Roman" w:cs="Calibri"/>
                <w:b/>
                <w:bCs/>
                <w:sz w:val="20"/>
                <w:szCs w:val="20"/>
              </w:rPr>
              <w:t>Year(s) Renewed</w:t>
            </w:r>
          </w:p>
        </w:tc>
        <w:tc>
          <w:tcPr>
            <w:tcW w:w="963" w:type="pct"/>
            <w:shd w:val="clear" w:color="auto" w:fill="auto"/>
            <w:vAlign w:val="center"/>
          </w:tcPr>
          <w:p w14:paraId="1F79E639" w14:textId="74F43304" w:rsidR="00DB105F" w:rsidRPr="000B2AB8" w:rsidRDefault="00DB105F" w:rsidP="00DB105F">
            <w:pPr>
              <w:ind w:left="90" w:hanging="15"/>
              <w:textAlignment w:val="baseline"/>
              <w:rPr>
                <w:rFonts w:eastAsia="Times New Roman" w:cs="Calibri"/>
                <w:color w:val="000000"/>
                <w:sz w:val="20"/>
                <w:szCs w:val="20"/>
              </w:rPr>
            </w:pPr>
            <w:r w:rsidRPr="000B2AB8">
              <w:rPr>
                <w:rFonts w:eastAsia="Times New Roman" w:cs="Calibri"/>
                <w:sz w:val="20"/>
                <w:szCs w:val="20"/>
              </w:rPr>
              <w:t>2012, 2017, 2022</w:t>
            </w:r>
          </w:p>
        </w:tc>
        <w:tc>
          <w:tcPr>
            <w:tcW w:w="577" w:type="pct"/>
            <w:vMerge/>
            <w:vAlign w:val="center"/>
          </w:tcPr>
          <w:p w14:paraId="2281D1E1" w14:textId="77777777" w:rsidR="00DB105F" w:rsidRPr="000B2AB8" w:rsidRDefault="00DB105F" w:rsidP="00D05B02">
            <w:pPr>
              <w:ind w:left="90"/>
              <w:textAlignment w:val="baseline"/>
              <w:rPr>
                <w:rFonts w:eastAsia="Times New Roman" w:cs="Calibri"/>
                <w:b/>
                <w:bCs/>
                <w:sz w:val="20"/>
                <w:szCs w:val="20"/>
              </w:rPr>
            </w:pPr>
          </w:p>
        </w:tc>
        <w:tc>
          <w:tcPr>
            <w:tcW w:w="2259" w:type="pct"/>
            <w:vMerge/>
            <w:vAlign w:val="center"/>
          </w:tcPr>
          <w:p w14:paraId="695D6EEA" w14:textId="77777777" w:rsidR="00DB105F" w:rsidRPr="000B2AB8" w:rsidRDefault="00DB105F" w:rsidP="00D05B02">
            <w:pPr>
              <w:ind w:left="135"/>
              <w:textAlignment w:val="baseline"/>
              <w:rPr>
                <w:rFonts w:eastAsia="Times New Roman" w:cs="Times New Roman"/>
                <w:sz w:val="20"/>
                <w:szCs w:val="20"/>
              </w:rPr>
            </w:pPr>
          </w:p>
        </w:tc>
      </w:tr>
      <w:tr w:rsidR="009369CA" w:rsidRPr="000B2AB8" w14:paraId="2C5228A0" w14:textId="77777777" w:rsidTr="00DB105F">
        <w:trPr>
          <w:trHeight w:val="435"/>
        </w:trPr>
        <w:tc>
          <w:tcPr>
            <w:tcW w:w="1201" w:type="pct"/>
            <w:shd w:val="clear" w:color="auto" w:fill="F2F2F2" w:themeFill="background1" w:themeFillShade="F2"/>
            <w:vAlign w:val="center"/>
          </w:tcPr>
          <w:p w14:paraId="0CE6E51E" w14:textId="160A57E8" w:rsidR="009369CA" w:rsidRPr="000B2AB8" w:rsidRDefault="009369CA" w:rsidP="00D05B02">
            <w:pPr>
              <w:ind w:left="75" w:firstLine="15"/>
              <w:textAlignment w:val="baseline"/>
              <w:rPr>
                <w:rFonts w:eastAsia="Times New Roman" w:cs="Calibri"/>
                <w:b/>
                <w:bCs/>
                <w:sz w:val="20"/>
                <w:szCs w:val="20"/>
              </w:rPr>
            </w:pPr>
            <w:r w:rsidRPr="000B2AB8">
              <w:rPr>
                <w:rFonts w:eastAsia="Times New Roman" w:cs="Calibri"/>
                <w:b/>
                <w:bCs/>
                <w:sz w:val="20"/>
                <w:szCs w:val="20"/>
              </w:rPr>
              <w:t>Chartered Grade Span</w:t>
            </w:r>
            <w:r w:rsidRPr="000B2AB8">
              <w:rPr>
                <w:rFonts w:ascii="Arial" w:eastAsia="Times New Roman" w:hAnsi="Arial" w:cs="Arial"/>
                <w:sz w:val="20"/>
                <w:szCs w:val="20"/>
              </w:rPr>
              <w:t> </w:t>
            </w:r>
            <w:r w:rsidRPr="000B2AB8">
              <w:rPr>
                <w:rFonts w:eastAsia="Times New Roman" w:cs="Aptos"/>
                <w:sz w:val="20"/>
                <w:szCs w:val="20"/>
              </w:rPr>
              <w:t> </w:t>
            </w:r>
          </w:p>
        </w:tc>
        <w:tc>
          <w:tcPr>
            <w:tcW w:w="963" w:type="pct"/>
            <w:shd w:val="clear" w:color="auto" w:fill="auto"/>
            <w:vAlign w:val="center"/>
          </w:tcPr>
          <w:p w14:paraId="10F073A3" w14:textId="77777777" w:rsidR="009369CA" w:rsidRPr="000B2AB8" w:rsidRDefault="009369CA" w:rsidP="00D05B02">
            <w:pPr>
              <w:ind w:left="90" w:hanging="15"/>
              <w:textAlignment w:val="baseline"/>
              <w:rPr>
                <w:rFonts w:eastAsia="Times New Roman" w:cs="Calibri"/>
                <w:color w:val="000000"/>
                <w:sz w:val="20"/>
                <w:szCs w:val="20"/>
              </w:rPr>
            </w:pPr>
            <w:r w:rsidRPr="000B2AB8">
              <w:rPr>
                <w:rFonts w:eastAsia="Times New Roman" w:cs="Times New Roman"/>
                <w:sz w:val="20"/>
                <w:szCs w:val="20"/>
              </w:rPr>
              <w:t>K-12</w:t>
            </w:r>
          </w:p>
        </w:tc>
        <w:tc>
          <w:tcPr>
            <w:tcW w:w="577" w:type="pct"/>
            <w:vMerge/>
            <w:vAlign w:val="center"/>
          </w:tcPr>
          <w:p w14:paraId="7390EF7B" w14:textId="77777777" w:rsidR="009369CA" w:rsidRPr="000B2AB8" w:rsidRDefault="009369CA" w:rsidP="00D05B02">
            <w:pPr>
              <w:ind w:left="90"/>
              <w:textAlignment w:val="baseline"/>
              <w:rPr>
                <w:rFonts w:eastAsia="Times New Roman" w:cs="Calibri"/>
                <w:b/>
                <w:bCs/>
                <w:sz w:val="20"/>
                <w:szCs w:val="20"/>
              </w:rPr>
            </w:pPr>
          </w:p>
        </w:tc>
        <w:tc>
          <w:tcPr>
            <w:tcW w:w="2259" w:type="pct"/>
            <w:vMerge/>
            <w:vAlign w:val="center"/>
          </w:tcPr>
          <w:p w14:paraId="1A403586" w14:textId="77777777" w:rsidR="009369CA" w:rsidRPr="000B2AB8" w:rsidRDefault="009369CA" w:rsidP="00D05B02">
            <w:pPr>
              <w:ind w:left="135"/>
              <w:textAlignment w:val="baseline"/>
              <w:rPr>
                <w:rFonts w:eastAsia="Times New Roman" w:cs="Times New Roman"/>
                <w:sz w:val="20"/>
                <w:szCs w:val="20"/>
              </w:rPr>
            </w:pPr>
          </w:p>
        </w:tc>
      </w:tr>
      <w:tr w:rsidR="0067368A" w:rsidRPr="000B2AB8" w14:paraId="625105D4" w14:textId="77777777" w:rsidTr="00DB105F">
        <w:trPr>
          <w:trHeight w:val="360"/>
        </w:trPr>
        <w:tc>
          <w:tcPr>
            <w:tcW w:w="1201" w:type="pct"/>
            <w:shd w:val="clear" w:color="auto" w:fill="F2F2F2" w:themeFill="background1" w:themeFillShade="F2"/>
            <w:vAlign w:val="center"/>
          </w:tcPr>
          <w:p w14:paraId="4F8F4E23" w14:textId="6F3F1568" w:rsidR="0067368A" w:rsidRPr="000B2AB8" w:rsidRDefault="00DE17F4" w:rsidP="00D05B02">
            <w:pPr>
              <w:ind w:left="75" w:firstLine="15"/>
              <w:textAlignment w:val="baseline"/>
              <w:rPr>
                <w:rFonts w:eastAsia="Times New Roman" w:cs="Calibri"/>
                <w:b/>
                <w:bCs/>
                <w:sz w:val="20"/>
                <w:szCs w:val="20"/>
              </w:rPr>
            </w:pPr>
            <w:r w:rsidRPr="000B2AB8">
              <w:rPr>
                <w:rFonts w:eastAsia="Times New Roman" w:cs="Calibri"/>
                <w:b/>
                <w:bCs/>
                <w:sz w:val="20"/>
                <w:szCs w:val="20"/>
              </w:rPr>
              <w:t>Current Grade Span</w:t>
            </w:r>
          </w:p>
        </w:tc>
        <w:tc>
          <w:tcPr>
            <w:tcW w:w="963" w:type="pct"/>
            <w:shd w:val="clear" w:color="auto" w:fill="auto"/>
            <w:vAlign w:val="center"/>
          </w:tcPr>
          <w:p w14:paraId="47B57AEB" w14:textId="03AD2831" w:rsidR="0067368A" w:rsidRPr="000B2AB8" w:rsidRDefault="00DE17F4" w:rsidP="00D05B02">
            <w:pPr>
              <w:ind w:left="90" w:hanging="15"/>
              <w:textAlignment w:val="baseline"/>
              <w:rPr>
                <w:rFonts w:eastAsia="Times New Roman" w:cs="Times New Roman"/>
                <w:sz w:val="20"/>
                <w:szCs w:val="20"/>
              </w:rPr>
            </w:pPr>
            <w:r w:rsidRPr="000B2AB8">
              <w:rPr>
                <w:rFonts w:eastAsia="Times New Roman" w:cs="Times New Roman"/>
                <w:sz w:val="20"/>
                <w:szCs w:val="20"/>
              </w:rPr>
              <w:t>K-12</w:t>
            </w:r>
          </w:p>
        </w:tc>
        <w:tc>
          <w:tcPr>
            <w:tcW w:w="577" w:type="pct"/>
            <w:vMerge/>
            <w:vAlign w:val="center"/>
          </w:tcPr>
          <w:p w14:paraId="183959EC" w14:textId="77777777" w:rsidR="0067368A" w:rsidRPr="000B2AB8" w:rsidRDefault="0067368A" w:rsidP="00D05B02">
            <w:pPr>
              <w:ind w:left="90"/>
              <w:textAlignment w:val="baseline"/>
              <w:rPr>
                <w:rFonts w:eastAsia="Times New Roman" w:cs="Times New Roman"/>
                <w:sz w:val="20"/>
                <w:szCs w:val="20"/>
              </w:rPr>
            </w:pPr>
          </w:p>
        </w:tc>
        <w:tc>
          <w:tcPr>
            <w:tcW w:w="2259" w:type="pct"/>
            <w:vMerge/>
            <w:vAlign w:val="center"/>
          </w:tcPr>
          <w:p w14:paraId="6B3B7053" w14:textId="77777777" w:rsidR="0067368A" w:rsidRPr="000B2AB8" w:rsidRDefault="0067368A" w:rsidP="00D05B02">
            <w:pPr>
              <w:ind w:left="135"/>
              <w:textAlignment w:val="baseline"/>
              <w:rPr>
                <w:rFonts w:eastAsia="Times New Roman" w:cs="Times New Roman"/>
                <w:sz w:val="20"/>
                <w:szCs w:val="20"/>
              </w:rPr>
            </w:pPr>
          </w:p>
        </w:tc>
      </w:tr>
      <w:tr w:rsidR="009369CA" w:rsidRPr="000B2AB8" w14:paraId="4CFD93BE" w14:textId="77777777" w:rsidTr="00DB105F">
        <w:trPr>
          <w:trHeight w:val="360"/>
        </w:trPr>
        <w:tc>
          <w:tcPr>
            <w:tcW w:w="1201" w:type="pct"/>
            <w:shd w:val="clear" w:color="auto" w:fill="F2F2F2" w:themeFill="background1" w:themeFillShade="F2"/>
            <w:vAlign w:val="center"/>
            <w:hideMark/>
          </w:tcPr>
          <w:p w14:paraId="66ED5EE2" w14:textId="77777777" w:rsidR="009369CA" w:rsidRPr="000B2AB8" w:rsidRDefault="009369CA" w:rsidP="00D05B02">
            <w:pPr>
              <w:ind w:left="75" w:firstLine="15"/>
              <w:textAlignment w:val="baseline"/>
              <w:rPr>
                <w:rFonts w:eastAsia="Times New Roman" w:cs="Times New Roman"/>
                <w:sz w:val="20"/>
                <w:szCs w:val="20"/>
              </w:rPr>
            </w:pPr>
            <w:r w:rsidRPr="000B2AB8">
              <w:rPr>
                <w:rFonts w:eastAsia="Times New Roman" w:cs="Calibri"/>
                <w:b/>
                <w:bCs/>
                <w:sz w:val="20"/>
                <w:szCs w:val="20"/>
              </w:rPr>
              <w:t>Maximum Enrollment</w:t>
            </w:r>
            <w:r w:rsidRPr="000B2AB8">
              <w:rPr>
                <w:rFonts w:ascii="Arial" w:eastAsia="Times New Roman" w:hAnsi="Arial" w:cs="Arial"/>
                <w:sz w:val="20"/>
                <w:szCs w:val="20"/>
              </w:rPr>
              <w:t> </w:t>
            </w:r>
          </w:p>
        </w:tc>
        <w:tc>
          <w:tcPr>
            <w:tcW w:w="963" w:type="pct"/>
            <w:shd w:val="clear" w:color="auto" w:fill="auto"/>
            <w:vAlign w:val="center"/>
            <w:hideMark/>
          </w:tcPr>
          <w:p w14:paraId="3B5DFF5C" w14:textId="77777777" w:rsidR="009369CA" w:rsidRPr="000B2AB8" w:rsidRDefault="009369CA" w:rsidP="00D05B02">
            <w:pPr>
              <w:ind w:left="90" w:hanging="15"/>
              <w:textAlignment w:val="baseline"/>
              <w:rPr>
                <w:rFonts w:eastAsia="Times New Roman" w:cs="Times New Roman"/>
                <w:sz w:val="20"/>
                <w:szCs w:val="20"/>
              </w:rPr>
            </w:pPr>
            <w:r w:rsidRPr="000B2AB8">
              <w:rPr>
                <w:rFonts w:eastAsia="Times New Roman" w:cs="Times New Roman"/>
                <w:sz w:val="20"/>
                <w:szCs w:val="20"/>
              </w:rPr>
              <w:t>584</w:t>
            </w:r>
          </w:p>
        </w:tc>
        <w:tc>
          <w:tcPr>
            <w:tcW w:w="577" w:type="pct"/>
            <w:vMerge/>
            <w:vAlign w:val="center"/>
            <w:hideMark/>
          </w:tcPr>
          <w:p w14:paraId="201A3E8C" w14:textId="77777777" w:rsidR="009369CA" w:rsidRPr="000B2AB8" w:rsidRDefault="009369CA" w:rsidP="00D05B02">
            <w:pPr>
              <w:ind w:left="90"/>
              <w:textAlignment w:val="baseline"/>
              <w:rPr>
                <w:rFonts w:eastAsia="Times New Roman" w:cs="Times New Roman"/>
                <w:sz w:val="20"/>
                <w:szCs w:val="20"/>
              </w:rPr>
            </w:pPr>
          </w:p>
        </w:tc>
        <w:tc>
          <w:tcPr>
            <w:tcW w:w="2259" w:type="pct"/>
            <w:vMerge/>
            <w:vAlign w:val="center"/>
            <w:hideMark/>
          </w:tcPr>
          <w:p w14:paraId="29DE3755" w14:textId="77777777" w:rsidR="009369CA" w:rsidRPr="000B2AB8" w:rsidRDefault="009369CA" w:rsidP="00D05B02">
            <w:pPr>
              <w:ind w:left="135"/>
              <w:textAlignment w:val="baseline"/>
              <w:rPr>
                <w:rFonts w:eastAsia="Times New Roman" w:cs="Times New Roman"/>
                <w:sz w:val="20"/>
                <w:szCs w:val="20"/>
              </w:rPr>
            </w:pPr>
          </w:p>
        </w:tc>
      </w:tr>
      <w:tr w:rsidR="009369CA" w:rsidRPr="000B2AB8" w14:paraId="40FAEAB1" w14:textId="77777777" w:rsidTr="00DB105F">
        <w:trPr>
          <w:trHeight w:val="360"/>
        </w:trPr>
        <w:tc>
          <w:tcPr>
            <w:tcW w:w="1201" w:type="pct"/>
            <w:shd w:val="clear" w:color="auto" w:fill="F2F2F2" w:themeFill="background1" w:themeFillShade="F2"/>
            <w:vAlign w:val="center"/>
          </w:tcPr>
          <w:p w14:paraId="3719AE06" w14:textId="77777777" w:rsidR="009369CA" w:rsidRPr="000B2AB8" w:rsidRDefault="009369CA" w:rsidP="00D05B02">
            <w:pPr>
              <w:ind w:left="75"/>
              <w:textAlignment w:val="baseline"/>
              <w:rPr>
                <w:rFonts w:eastAsia="Times New Roman" w:cs="Calibri"/>
                <w:b/>
                <w:bCs/>
                <w:sz w:val="20"/>
                <w:szCs w:val="20"/>
              </w:rPr>
            </w:pPr>
            <w:r w:rsidRPr="000B2AB8">
              <w:rPr>
                <w:rFonts w:eastAsia="Times New Roman" w:cs="Calibri"/>
                <w:b/>
                <w:bCs/>
                <w:sz w:val="20"/>
                <w:szCs w:val="20"/>
              </w:rPr>
              <w:t>Current Enrollment</w:t>
            </w:r>
          </w:p>
        </w:tc>
        <w:tc>
          <w:tcPr>
            <w:tcW w:w="963" w:type="pct"/>
            <w:shd w:val="clear" w:color="auto" w:fill="auto"/>
            <w:vAlign w:val="center"/>
          </w:tcPr>
          <w:p w14:paraId="6F35F963" w14:textId="77777777" w:rsidR="009369CA" w:rsidRPr="000B2AB8" w:rsidRDefault="009369CA" w:rsidP="00D05B02">
            <w:pPr>
              <w:ind w:left="90"/>
              <w:textAlignment w:val="baseline"/>
              <w:rPr>
                <w:rFonts w:eastAsia="Times New Roman" w:cs="Calibri"/>
                <w:color w:val="000000"/>
                <w:sz w:val="20"/>
                <w:szCs w:val="20"/>
              </w:rPr>
            </w:pPr>
            <w:r w:rsidRPr="000B2AB8">
              <w:rPr>
                <w:rFonts w:eastAsia="Times New Roman" w:cs="Calibri"/>
                <w:color w:val="000000"/>
                <w:sz w:val="20"/>
                <w:szCs w:val="20"/>
              </w:rPr>
              <w:t>584</w:t>
            </w:r>
          </w:p>
        </w:tc>
        <w:tc>
          <w:tcPr>
            <w:tcW w:w="577" w:type="pct"/>
            <w:vMerge/>
            <w:vAlign w:val="center"/>
          </w:tcPr>
          <w:p w14:paraId="04AD49AC" w14:textId="77777777" w:rsidR="009369CA" w:rsidRPr="000B2AB8" w:rsidRDefault="009369CA" w:rsidP="00D05B02">
            <w:pPr>
              <w:ind w:left="90"/>
              <w:textAlignment w:val="baseline"/>
              <w:rPr>
                <w:rFonts w:eastAsia="Times New Roman" w:cs="Calibri"/>
                <w:b/>
                <w:bCs/>
                <w:sz w:val="20"/>
                <w:szCs w:val="20"/>
              </w:rPr>
            </w:pPr>
          </w:p>
        </w:tc>
        <w:tc>
          <w:tcPr>
            <w:tcW w:w="2259" w:type="pct"/>
            <w:vMerge/>
            <w:vAlign w:val="center"/>
          </w:tcPr>
          <w:p w14:paraId="06F004F5" w14:textId="77777777" w:rsidR="009369CA" w:rsidRPr="000B2AB8" w:rsidRDefault="009369CA" w:rsidP="00D05B02">
            <w:pPr>
              <w:ind w:left="135"/>
              <w:textAlignment w:val="baseline"/>
              <w:rPr>
                <w:rFonts w:eastAsia="Times New Roman" w:cs="Calibri"/>
                <w:color w:val="000000"/>
                <w:sz w:val="20"/>
                <w:szCs w:val="20"/>
              </w:rPr>
            </w:pPr>
          </w:p>
        </w:tc>
      </w:tr>
      <w:tr w:rsidR="009369CA" w:rsidRPr="000B2AB8" w14:paraId="4CB4DAA0" w14:textId="77777777" w:rsidTr="00DB105F">
        <w:trPr>
          <w:trHeight w:val="360"/>
        </w:trPr>
        <w:tc>
          <w:tcPr>
            <w:tcW w:w="1201" w:type="pct"/>
            <w:shd w:val="clear" w:color="auto" w:fill="F2F2F2" w:themeFill="background1" w:themeFillShade="F2"/>
            <w:vAlign w:val="center"/>
          </w:tcPr>
          <w:p w14:paraId="750A7146" w14:textId="77777777" w:rsidR="009369CA" w:rsidRPr="000B2AB8" w:rsidRDefault="009369CA" w:rsidP="00D05B02">
            <w:pPr>
              <w:ind w:left="75"/>
              <w:textAlignment w:val="baseline"/>
              <w:rPr>
                <w:rFonts w:eastAsia="Times New Roman" w:cs="Calibri"/>
                <w:b/>
                <w:bCs/>
                <w:sz w:val="20"/>
                <w:szCs w:val="20"/>
              </w:rPr>
            </w:pPr>
            <w:r w:rsidRPr="000B2AB8">
              <w:rPr>
                <w:rFonts w:eastAsia="Times New Roman" w:cs="Calibri"/>
                <w:b/>
                <w:bCs/>
                <w:sz w:val="20"/>
                <w:szCs w:val="20"/>
              </w:rPr>
              <w:t>Students on Waitlist</w:t>
            </w:r>
            <w:r w:rsidRPr="000B2AB8">
              <w:rPr>
                <w:rFonts w:ascii="Arial" w:eastAsia="Times New Roman" w:hAnsi="Arial" w:cs="Arial"/>
                <w:sz w:val="20"/>
                <w:szCs w:val="20"/>
              </w:rPr>
              <w:t> </w:t>
            </w:r>
            <w:r w:rsidRPr="000B2AB8">
              <w:rPr>
                <w:rFonts w:eastAsia="Times New Roman" w:cs="Aptos"/>
                <w:sz w:val="20"/>
                <w:szCs w:val="20"/>
              </w:rPr>
              <w:t> </w:t>
            </w:r>
          </w:p>
        </w:tc>
        <w:tc>
          <w:tcPr>
            <w:tcW w:w="963" w:type="pct"/>
            <w:shd w:val="clear" w:color="auto" w:fill="auto"/>
            <w:vAlign w:val="center"/>
          </w:tcPr>
          <w:p w14:paraId="2CA876A1" w14:textId="77777777" w:rsidR="009369CA" w:rsidRPr="000B2AB8" w:rsidRDefault="009369CA" w:rsidP="00D05B02">
            <w:pPr>
              <w:ind w:left="90"/>
              <w:textAlignment w:val="baseline"/>
              <w:rPr>
                <w:rFonts w:eastAsia="Times New Roman" w:cs="Calibri"/>
                <w:color w:val="000000"/>
                <w:sz w:val="20"/>
                <w:szCs w:val="20"/>
              </w:rPr>
            </w:pPr>
            <w:r w:rsidRPr="000B2AB8">
              <w:rPr>
                <w:rFonts w:eastAsia="Times New Roman" w:cs="Calibri"/>
                <w:color w:val="000000" w:themeColor="text1"/>
                <w:sz w:val="20"/>
                <w:szCs w:val="20"/>
              </w:rPr>
              <w:t xml:space="preserve">FY25 Initial: 190   </w:t>
            </w:r>
            <w:r w:rsidRPr="000B2AB8">
              <w:rPr>
                <w:sz w:val="20"/>
                <w:szCs w:val="20"/>
              </w:rPr>
              <w:br/>
            </w:r>
            <w:r w:rsidRPr="006C4071">
              <w:rPr>
                <w:rFonts w:eastAsia="Times New Roman" w:cs="Calibri"/>
                <w:color w:val="000000" w:themeColor="text1"/>
                <w:sz w:val="20"/>
                <w:szCs w:val="20"/>
              </w:rPr>
              <w:t>FY25 Update: 80</w:t>
            </w:r>
          </w:p>
        </w:tc>
        <w:tc>
          <w:tcPr>
            <w:tcW w:w="577" w:type="pct"/>
            <w:vMerge/>
            <w:vAlign w:val="center"/>
          </w:tcPr>
          <w:p w14:paraId="55DBBD0D" w14:textId="77777777" w:rsidR="009369CA" w:rsidRPr="000B2AB8" w:rsidRDefault="009369CA" w:rsidP="00D05B02">
            <w:pPr>
              <w:ind w:left="90"/>
              <w:textAlignment w:val="baseline"/>
              <w:rPr>
                <w:rFonts w:eastAsia="Times New Roman" w:cs="Calibri"/>
                <w:b/>
                <w:bCs/>
                <w:sz w:val="20"/>
                <w:szCs w:val="20"/>
              </w:rPr>
            </w:pPr>
          </w:p>
        </w:tc>
        <w:tc>
          <w:tcPr>
            <w:tcW w:w="2259" w:type="pct"/>
            <w:vMerge/>
            <w:vAlign w:val="center"/>
          </w:tcPr>
          <w:p w14:paraId="69F08F43" w14:textId="77777777" w:rsidR="009369CA" w:rsidRPr="000B2AB8" w:rsidRDefault="009369CA" w:rsidP="00D05B02">
            <w:pPr>
              <w:ind w:left="135"/>
              <w:textAlignment w:val="baseline"/>
              <w:rPr>
                <w:rFonts w:eastAsia="Times New Roman" w:cs="Calibri"/>
                <w:sz w:val="20"/>
                <w:szCs w:val="20"/>
              </w:rPr>
            </w:pPr>
          </w:p>
        </w:tc>
      </w:tr>
      <w:tr w:rsidR="00DB105F" w:rsidRPr="000B2AB8" w14:paraId="7C953520" w14:textId="77777777" w:rsidTr="00DB105F">
        <w:trPr>
          <w:trHeight w:val="360"/>
        </w:trPr>
        <w:tc>
          <w:tcPr>
            <w:tcW w:w="1201" w:type="pct"/>
            <w:shd w:val="clear" w:color="auto" w:fill="F2F2F2" w:themeFill="background1" w:themeFillShade="F2"/>
            <w:vAlign w:val="center"/>
          </w:tcPr>
          <w:p w14:paraId="2692C140" w14:textId="78D9C424" w:rsidR="00DB105F" w:rsidRPr="000B2AB8" w:rsidRDefault="00DB105F" w:rsidP="00DB105F">
            <w:pPr>
              <w:ind w:left="75"/>
              <w:textAlignment w:val="baseline"/>
              <w:rPr>
                <w:rFonts w:eastAsia="Times New Roman" w:cs="Calibri"/>
                <w:b/>
                <w:bCs/>
                <w:sz w:val="20"/>
                <w:szCs w:val="20"/>
              </w:rPr>
            </w:pPr>
            <w:r w:rsidRPr="000B2AB8">
              <w:rPr>
                <w:rFonts w:eastAsia="Times New Roman" w:cs="Calibri"/>
                <w:b/>
                <w:bCs/>
                <w:sz w:val="20"/>
                <w:szCs w:val="20"/>
              </w:rPr>
              <w:t>Current Age of School</w:t>
            </w:r>
          </w:p>
        </w:tc>
        <w:tc>
          <w:tcPr>
            <w:tcW w:w="963" w:type="pct"/>
            <w:shd w:val="clear" w:color="auto" w:fill="auto"/>
            <w:vAlign w:val="center"/>
          </w:tcPr>
          <w:p w14:paraId="670C7A88" w14:textId="5546A3D8" w:rsidR="00DB105F" w:rsidRPr="000B2AB8" w:rsidRDefault="00DB105F" w:rsidP="00DB105F">
            <w:pPr>
              <w:ind w:left="90"/>
              <w:textAlignment w:val="baseline"/>
              <w:rPr>
                <w:rFonts w:eastAsia="Times New Roman" w:cs="Calibri"/>
                <w:color w:val="000000" w:themeColor="text1"/>
                <w:sz w:val="20"/>
                <w:szCs w:val="20"/>
              </w:rPr>
            </w:pPr>
            <w:r w:rsidRPr="000B2AB8">
              <w:rPr>
                <w:rFonts w:eastAsia="Times New Roman" w:cs="Calibri"/>
                <w:color w:val="000000"/>
                <w:sz w:val="20"/>
                <w:szCs w:val="20"/>
              </w:rPr>
              <w:t>18 years</w:t>
            </w:r>
          </w:p>
        </w:tc>
        <w:tc>
          <w:tcPr>
            <w:tcW w:w="577" w:type="pct"/>
            <w:vMerge/>
            <w:vAlign w:val="center"/>
          </w:tcPr>
          <w:p w14:paraId="64C59BC8" w14:textId="77777777" w:rsidR="00DB105F" w:rsidRPr="000B2AB8" w:rsidRDefault="00DB105F" w:rsidP="00DB105F">
            <w:pPr>
              <w:ind w:left="90"/>
              <w:textAlignment w:val="baseline"/>
              <w:rPr>
                <w:rFonts w:eastAsia="Times New Roman" w:cs="Calibri"/>
                <w:b/>
                <w:bCs/>
                <w:sz w:val="20"/>
                <w:szCs w:val="20"/>
              </w:rPr>
            </w:pPr>
          </w:p>
        </w:tc>
        <w:tc>
          <w:tcPr>
            <w:tcW w:w="2259" w:type="pct"/>
            <w:vMerge/>
            <w:vAlign w:val="center"/>
          </w:tcPr>
          <w:p w14:paraId="0BF62279" w14:textId="77777777" w:rsidR="00DB105F" w:rsidRPr="000B2AB8" w:rsidRDefault="00DB105F" w:rsidP="00DB105F">
            <w:pPr>
              <w:ind w:left="135"/>
              <w:textAlignment w:val="baseline"/>
              <w:rPr>
                <w:rFonts w:eastAsia="Times New Roman" w:cs="Calibri"/>
                <w:sz w:val="20"/>
                <w:szCs w:val="20"/>
              </w:rPr>
            </w:pPr>
          </w:p>
        </w:tc>
      </w:tr>
      <w:tr w:rsidR="009369CA" w:rsidRPr="000B2AB8" w14:paraId="07F6DF04" w14:textId="77777777" w:rsidTr="00D05B02">
        <w:trPr>
          <w:trHeight w:val="360"/>
        </w:trPr>
        <w:tc>
          <w:tcPr>
            <w:tcW w:w="5000" w:type="pct"/>
            <w:gridSpan w:val="4"/>
            <w:shd w:val="clear" w:color="auto" w:fill="F2F2F2" w:themeFill="background1" w:themeFillShade="F2"/>
            <w:vAlign w:val="center"/>
          </w:tcPr>
          <w:p w14:paraId="3871C8D4" w14:textId="25DB14C8" w:rsidR="009369CA" w:rsidRPr="000B2AB8" w:rsidRDefault="009369CA" w:rsidP="00D05B02">
            <w:pPr>
              <w:ind w:left="75"/>
              <w:textAlignment w:val="baseline"/>
              <w:rPr>
                <w:rFonts w:eastAsia="Times New Roman" w:cs="Calibri"/>
                <w:sz w:val="20"/>
                <w:szCs w:val="20"/>
              </w:rPr>
            </w:pPr>
            <w:r w:rsidRPr="000B2AB8">
              <w:rPr>
                <w:rFonts w:eastAsia="Times New Roman" w:cs="Calibri"/>
                <w:b/>
                <w:bCs/>
                <w:sz w:val="20"/>
                <w:szCs w:val="20"/>
              </w:rPr>
              <w:t>Mission Statement:</w:t>
            </w:r>
            <w:r w:rsidRPr="000B2AB8">
              <w:rPr>
                <w:rFonts w:eastAsia="Times New Roman" w:cs="Calibri"/>
                <w:sz w:val="20"/>
                <w:szCs w:val="20"/>
              </w:rPr>
              <w:t xml:space="preserve"> The Pioneer Valley Chinese Immersion Charter School (PVCICS) is a K-12th grade educational program that produces academically strong students highly proficient in Chinese and English. The program goals are: </w:t>
            </w:r>
          </w:p>
          <w:p w14:paraId="0032303B" w14:textId="77777777" w:rsidR="009369CA" w:rsidRPr="000B2AB8" w:rsidRDefault="009369CA" w:rsidP="009369CA">
            <w:pPr>
              <w:pStyle w:val="ListParagraph"/>
              <w:numPr>
                <w:ilvl w:val="0"/>
                <w:numId w:val="4"/>
              </w:numPr>
              <w:textAlignment w:val="baseline"/>
              <w:rPr>
                <w:rFonts w:eastAsia="Times New Roman" w:cs="Calibri"/>
                <w:sz w:val="20"/>
                <w:szCs w:val="20"/>
              </w:rPr>
            </w:pPr>
            <w:r w:rsidRPr="000B2AB8">
              <w:rPr>
                <w:rFonts w:eastAsia="Times New Roman" w:cs="Calibri"/>
                <w:sz w:val="20"/>
                <w:szCs w:val="20"/>
              </w:rPr>
              <w:t xml:space="preserve">To develop proficiency in Mandarin Chinese. </w:t>
            </w:r>
          </w:p>
          <w:p w14:paraId="2070F84A" w14:textId="77777777" w:rsidR="009369CA" w:rsidRPr="000B2AB8" w:rsidRDefault="009369CA" w:rsidP="009369CA">
            <w:pPr>
              <w:pStyle w:val="ListParagraph"/>
              <w:numPr>
                <w:ilvl w:val="0"/>
                <w:numId w:val="4"/>
              </w:numPr>
              <w:textAlignment w:val="baseline"/>
              <w:rPr>
                <w:rFonts w:eastAsia="Times New Roman" w:cs="Calibri"/>
                <w:sz w:val="20"/>
                <w:szCs w:val="20"/>
              </w:rPr>
            </w:pPr>
            <w:r w:rsidRPr="000B2AB8">
              <w:rPr>
                <w:rFonts w:eastAsia="Times New Roman" w:cs="Calibri"/>
                <w:sz w:val="20"/>
                <w:szCs w:val="20"/>
              </w:rPr>
              <w:t xml:space="preserve">To maintain and extend students’ proficiency in English. </w:t>
            </w:r>
          </w:p>
          <w:p w14:paraId="28F1F2D9" w14:textId="77777777" w:rsidR="009369CA" w:rsidRPr="000B2AB8" w:rsidRDefault="009369CA" w:rsidP="009369CA">
            <w:pPr>
              <w:pStyle w:val="ListParagraph"/>
              <w:numPr>
                <w:ilvl w:val="0"/>
                <w:numId w:val="4"/>
              </w:numPr>
              <w:textAlignment w:val="baseline"/>
              <w:rPr>
                <w:rFonts w:eastAsia="Times New Roman" w:cs="Calibri"/>
                <w:sz w:val="20"/>
                <w:szCs w:val="20"/>
              </w:rPr>
            </w:pPr>
            <w:r w:rsidRPr="000B2AB8">
              <w:rPr>
                <w:rFonts w:eastAsia="Times New Roman" w:cs="Calibri"/>
                <w:sz w:val="20"/>
                <w:szCs w:val="20"/>
              </w:rPr>
              <w:t xml:space="preserve">To develop high levels of academic attainment, meeting or exceeding national and state standards, through rigorous study and instruction aligned with the Massachusetts Curriculum Frameworks. </w:t>
            </w:r>
          </w:p>
          <w:p w14:paraId="64FE2707" w14:textId="77777777" w:rsidR="009369CA" w:rsidRPr="000B2AB8" w:rsidRDefault="009369CA" w:rsidP="009369CA">
            <w:pPr>
              <w:pStyle w:val="ListParagraph"/>
              <w:numPr>
                <w:ilvl w:val="0"/>
                <w:numId w:val="4"/>
              </w:numPr>
              <w:textAlignment w:val="baseline"/>
              <w:rPr>
                <w:rFonts w:eastAsia="Times New Roman" w:cs="Calibri"/>
                <w:sz w:val="20"/>
                <w:szCs w:val="20"/>
              </w:rPr>
            </w:pPr>
            <w:r w:rsidRPr="000B2AB8">
              <w:rPr>
                <w:rFonts w:eastAsia="Times New Roman" w:cs="Calibri"/>
                <w:sz w:val="20"/>
                <w:szCs w:val="20"/>
              </w:rPr>
              <w:t xml:space="preserve">To develop students’ understanding of Chinese culture and the ability to interact successfully with others whose language and/or culture differs from their own. </w:t>
            </w:r>
          </w:p>
          <w:p w14:paraId="052C1A3A" w14:textId="77777777" w:rsidR="009369CA" w:rsidRPr="000B2AB8" w:rsidRDefault="009369CA" w:rsidP="00D05B02">
            <w:pPr>
              <w:ind w:left="75"/>
              <w:textAlignment w:val="baseline"/>
              <w:rPr>
                <w:rFonts w:eastAsia="Times New Roman" w:cs="Calibri"/>
                <w:color w:val="000000"/>
              </w:rPr>
            </w:pPr>
            <w:r w:rsidRPr="000B2AB8">
              <w:rPr>
                <w:rFonts w:eastAsia="Times New Roman" w:cs="Calibri"/>
                <w:sz w:val="20"/>
                <w:szCs w:val="20"/>
              </w:rPr>
              <w:t>PVCICS serves the Pioneer Valley region and offers a diverse group of students an innovative educational opportunity unavailable elsewhere in Massachusetts. PVCICS works to disseminate the school’s experiences and serve as a resource for schools trying to develop similar programs.</w:t>
            </w:r>
          </w:p>
        </w:tc>
      </w:tr>
    </w:tbl>
    <w:p w14:paraId="678489B3" w14:textId="77777777" w:rsidR="009369CA" w:rsidRPr="000B2AB8" w:rsidRDefault="009369CA" w:rsidP="001D4DAA"/>
    <w:p w14:paraId="377313DC" w14:textId="6E3D1417" w:rsidR="009369CA" w:rsidRPr="000B2AB8" w:rsidRDefault="009369CA" w:rsidP="001D4DAA">
      <w:pPr>
        <w:rPr>
          <w:rFonts w:cs="Calibri"/>
          <w:b/>
          <w:bCs/>
        </w:rPr>
      </w:pPr>
      <w:r w:rsidRPr="000B2AB8">
        <w:rPr>
          <w:b/>
          <w:bCs/>
        </w:rPr>
        <w:tab/>
      </w:r>
      <w:r w:rsidR="005861BA" w:rsidRPr="000B2AB8">
        <w:rPr>
          <w:rFonts w:cs="Calibri"/>
          <w:b/>
          <w:bCs/>
        </w:rPr>
        <w:t>Request and Plan for Implementation</w:t>
      </w:r>
    </w:p>
    <w:p w14:paraId="419645C2" w14:textId="77777777" w:rsidR="005861BA" w:rsidRPr="000B2AB8" w:rsidRDefault="005861BA" w:rsidP="001D4DAA"/>
    <w:p w14:paraId="0C27FE71" w14:textId="272EA9B1" w:rsidR="006A6A5A" w:rsidRPr="000B2AB8" w:rsidRDefault="009369CA" w:rsidP="001D4DAA">
      <w:pPr>
        <w:rPr>
          <w:rFonts w:cs="Calibri"/>
        </w:rPr>
      </w:pPr>
      <w:r w:rsidRPr="000B2AB8">
        <w:rPr>
          <w:rFonts w:cs="Calibri"/>
        </w:rPr>
        <w:t>The board of trustees of PVCI</w:t>
      </w:r>
      <w:r w:rsidR="006D109A" w:rsidRPr="000B2AB8">
        <w:rPr>
          <w:rFonts w:cs="Calibri"/>
        </w:rPr>
        <w:t>CS</w:t>
      </w:r>
      <w:r w:rsidRPr="000B2AB8">
        <w:rPr>
          <w:rFonts w:cs="Calibri"/>
        </w:rPr>
        <w:t xml:space="preserve"> </w:t>
      </w:r>
      <w:r w:rsidR="00843897" w:rsidRPr="000B2AB8">
        <w:rPr>
          <w:rFonts w:cs="Calibri"/>
        </w:rPr>
        <w:t>submitted a request</w:t>
      </w:r>
      <w:r w:rsidRPr="000B2AB8">
        <w:rPr>
          <w:rFonts w:cs="Calibri"/>
        </w:rPr>
        <w:t xml:space="preserve"> to increase </w:t>
      </w:r>
      <w:r w:rsidR="003E52D8" w:rsidRPr="000B2AB8">
        <w:rPr>
          <w:rFonts w:cs="Calibri"/>
        </w:rPr>
        <w:t xml:space="preserve">its maximum </w:t>
      </w:r>
      <w:r w:rsidRPr="000B2AB8">
        <w:rPr>
          <w:rFonts w:cs="Calibri"/>
        </w:rPr>
        <w:t xml:space="preserve">enrollment </w:t>
      </w:r>
      <w:r w:rsidR="00F44EF0" w:rsidRPr="000B2AB8">
        <w:rPr>
          <w:rFonts w:cs="Calibri"/>
        </w:rPr>
        <w:t xml:space="preserve">to </w:t>
      </w:r>
      <w:r w:rsidR="003E52D8" w:rsidRPr="000B2AB8">
        <w:rPr>
          <w:rFonts w:cs="Calibri"/>
        </w:rPr>
        <w:t>684</w:t>
      </w:r>
      <w:r w:rsidR="00D352F9" w:rsidRPr="000B2AB8">
        <w:rPr>
          <w:rFonts w:cs="Calibri"/>
        </w:rPr>
        <w:t xml:space="preserve"> students </w:t>
      </w:r>
      <w:r w:rsidR="000234B7" w:rsidRPr="000B2AB8">
        <w:rPr>
          <w:rFonts w:cs="Calibri"/>
        </w:rPr>
        <w:t>in grades K-12</w:t>
      </w:r>
      <w:r w:rsidR="00F44EF0" w:rsidRPr="000B2AB8">
        <w:rPr>
          <w:rFonts w:cs="Calibri"/>
        </w:rPr>
        <w:t>, an increase of 100 students</w:t>
      </w:r>
      <w:r w:rsidR="00F2316E" w:rsidRPr="000B2AB8">
        <w:rPr>
          <w:rFonts w:cs="Calibri"/>
        </w:rPr>
        <w:t>.</w:t>
      </w:r>
      <w:r w:rsidR="00EF3008" w:rsidRPr="000B2AB8">
        <w:rPr>
          <w:rStyle w:val="FootnoteReference"/>
          <w:rFonts w:cs="Calibri"/>
        </w:rPr>
        <w:footnoteReference w:id="22"/>
      </w:r>
      <w:r w:rsidR="00F2316E" w:rsidRPr="000B2AB8">
        <w:rPr>
          <w:rFonts w:cs="Calibri"/>
        </w:rPr>
        <w:t xml:space="preserve"> </w:t>
      </w:r>
      <w:r w:rsidR="00AF3AFE" w:rsidRPr="000B2AB8">
        <w:rPr>
          <w:rFonts w:cs="Calibri"/>
        </w:rPr>
        <w:t xml:space="preserve">A copy of the school’s request is attached. </w:t>
      </w:r>
      <w:r w:rsidR="002C44E3" w:rsidRPr="000B2AB8">
        <w:rPr>
          <w:rFonts w:cs="Calibri"/>
        </w:rPr>
        <w:t>Th</w:t>
      </w:r>
      <w:r w:rsidR="006237D5" w:rsidRPr="000B2AB8">
        <w:rPr>
          <w:rFonts w:cs="Calibri"/>
        </w:rPr>
        <w:t xml:space="preserve">e school </w:t>
      </w:r>
      <w:r w:rsidR="002C44E3" w:rsidRPr="000B2AB8">
        <w:rPr>
          <w:rFonts w:cs="Calibri"/>
        </w:rPr>
        <w:t xml:space="preserve">seeks to increase the size of </w:t>
      </w:r>
      <w:r w:rsidR="006237D5" w:rsidRPr="000B2AB8">
        <w:rPr>
          <w:rFonts w:cs="Calibri"/>
        </w:rPr>
        <w:t>its</w:t>
      </w:r>
      <w:r w:rsidR="002C44E3" w:rsidRPr="000B2AB8">
        <w:rPr>
          <w:rFonts w:cs="Calibri"/>
        </w:rPr>
        <w:t xml:space="preserve"> middle and high school </w:t>
      </w:r>
      <w:r w:rsidR="00050F00" w:rsidRPr="000B2AB8">
        <w:rPr>
          <w:rFonts w:cs="Calibri"/>
        </w:rPr>
        <w:t xml:space="preserve">grades. </w:t>
      </w:r>
      <w:r w:rsidR="00EF20AA" w:rsidRPr="000B2AB8">
        <w:rPr>
          <w:rFonts w:cs="Calibri"/>
        </w:rPr>
        <w:t xml:space="preserve">The school </w:t>
      </w:r>
      <w:r w:rsidR="00441533" w:rsidRPr="000B2AB8">
        <w:rPr>
          <w:rFonts w:cs="Calibri"/>
        </w:rPr>
        <w:t>proposes to</w:t>
      </w:r>
      <w:r w:rsidR="00171FAC" w:rsidRPr="000B2AB8">
        <w:rPr>
          <w:rFonts w:cs="Calibri"/>
        </w:rPr>
        <w:t xml:space="preserve"> </w:t>
      </w:r>
      <w:r w:rsidR="00B9338C" w:rsidRPr="000B2AB8">
        <w:rPr>
          <w:rFonts w:cs="Calibri"/>
        </w:rPr>
        <w:t>maintain</w:t>
      </w:r>
      <w:r w:rsidR="00EF20AA" w:rsidRPr="000B2AB8">
        <w:rPr>
          <w:rFonts w:cs="Calibri"/>
        </w:rPr>
        <w:t xml:space="preserve"> </w:t>
      </w:r>
      <w:r w:rsidR="000978A8" w:rsidRPr="000B2AB8">
        <w:rPr>
          <w:rFonts w:cs="Calibri"/>
        </w:rPr>
        <w:t xml:space="preserve">its </w:t>
      </w:r>
      <w:r w:rsidR="008D27E8" w:rsidRPr="000B2AB8">
        <w:rPr>
          <w:rFonts w:cs="Calibri"/>
        </w:rPr>
        <w:t xml:space="preserve">current enrollment distribution across the </w:t>
      </w:r>
      <w:r w:rsidR="003C3FEE" w:rsidRPr="000B2AB8">
        <w:rPr>
          <w:rFonts w:cs="Calibri"/>
        </w:rPr>
        <w:t>elementary school grades</w:t>
      </w:r>
      <w:r w:rsidR="00105731" w:rsidRPr="000B2AB8">
        <w:rPr>
          <w:rFonts w:cs="Calibri"/>
        </w:rPr>
        <w:t xml:space="preserve"> </w:t>
      </w:r>
      <w:r w:rsidR="00B37C40" w:rsidRPr="000B2AB8">
        <w:rPr>
          <w:rFonts w:cs="Calibri"/>
        </w:rPr>
        <w:t xml:space="preserve">with </w:t>
      </w:r>
      <w:r w:rsidR="00B041F7" w:rsidRPr="000B2AB8">
        <w:rPr>
          <w:rFonts w:cs="Calibri"/>
        </w:rPr>
        <w:t xml:space="preserve">44 </w:t>
      </w:r>
      <w:r w:rsidR="00630083" w:rsidRPr="000B2AB8">
        <w:rPr>
          <w:rFonts w:cs="Calibri"/>
        </w:rPr>
        <w:t>students</w:t>
      </w:r>
      <w:r w:rsidR="00105731" w:rsidRPr="000B2AB8">
        <w:rPr>
          <w:rFonts w:cs="Calibri"/>
        </w:rPr>
        <w:t xml:space="preserve"> per grade</w:t>
      </w:r>
      <w:r w:rsidR="00630083" w:rsidRPr="000B2AB8">
        <w:rPr>
          <w:rFonts w:cs="Calibri"/>
        </w:rPr>
        <w:t xml:space="preserve"> in </w:t>
      </w:r>
      <w:r w:rsidR="00B37C40" w:rsidRPr="000B2AB8">
        <w:rPr>
          <w:rFonts w:cs="Calibri"/>
        </w:rPr>
        <w:t>kindergarten</w:t>
      </w:r>
      <w:r w:rsidR="00630083" w:rsidRPr="000B2AB8">
        <w:rPr>
          <w:rFonts w:cs="Calibri"/>
        </w:rPr>
        <w:t xml:space="preserve"> through </w:t>
      </w:r>
      <w:r w:rsidR="00B37C40" w:rsidRPr="000B2AB8">
        <w:rPr>
          <w:rFonts w:cs="Calibri"/>
        </w:rPr>
        <w:t xml:space="preserve">grade </w:t>
      </w:r>
      <w:r w:rsidR="00B041F7" w:rsidRPr="000B2AB8">
        <w:rPr>
          <w:rFonts w:cs="Calibri"/>
        </w:rPr>
        <w:t>5</w:t>
      </w:r>
      <w:r w:rsidR="00760AAB" w:rsidRPr="000B2AB8">
        <w:rPr>
          <w:rFonts w:cs="Calibri"/>
        </w:rPr>
        <w:t xml:space="preserve">. </w:t>
      </w:r>
      <w:r w:rsidR="00A045B9" w:rsidRPr="000B2AB8">
        <w:rPr>
          <w:rFonts w:cs="Calibri"/>
        </w:rPr>
        <w:t xml:space="preserve">The school proposes to </w:t>
      </w:r>
      <w:r w:rsidR="0065649A" w:rsidRPr="000B2AB8">
        <w:rPr>
          <w:rFonts w:cs="Calibri"/>
        </w:rPr>
        <w:t xml:space="preserve">add </w:t>
      </w:r>
      <w:r w:rsidR="00BF7AC7" w:rsidRPr="000B2AB8">
        <w:rPr>
          <w:rFonts w:cs="Calibri"/>
        </w:rPr>
        <w:t xml:space="preserve">students </w:t>
      </w:r>
      <w:r w:rsidR="0065649A" w:rsidRPr="000B2AB8">
        <w:rPr>
          <w:rFonts w:cs="Calibri"/>
        </w:rPr>
        <w:t>in grades 6-12 to reach</w:t>
      </w:r>
      <w:r w:rsidR="00630083" w:rsidRPr="000B2AB8">
        <w:rPr>
          <w:rFonts w:cs="Calibri"/>
        </w:rPr>
        <w:t xml:space="preserve"> 60 students</w:t>
      </w:r>
      <w:r w:rsidR="00AB771F" w:rsidRPr="000B2AB8">
        <w:rPr>
          <w:rFonts w:cs="Calibri"/>
        </w:rPr>
        <w:t xml:space="preserve"> per grade</w:t>
      </w:r>
      <w:r w:rsidR="00AD7CFC" w:rsidRPr="000B2AB8">
        <w:rPr>
          <w:rFonts w:cs="Calibri"/>
        </w:rPr>
        <w:t xml:space="preserve">.  </w:t>
      </w:r>
      <w:r w:rsidR="00E949FA" w:rsidRPr="000B2AB8">
        <w:rPr>
          <w:rFonts w:cs="Calibri"/>
        </w:rPr>
        <w:t>The</w:t>
      </w:r>
      <w:r w:rsidR="002558AC" w:rsidRPr="000B2AB8">
        <w:rPr>
          <w:rFonts w:cs="Calibri"/>
        </w:rPr>
        <w:t xml:space="preserve"> </w:t>
      </w:r>
      <w:r w:rsidR="0003520D" w:rsidRPr="000B2AB8">
        <w:rPr>
          <w:rFonts w:cs="Calibri"/>
        </w:rPr>
        <w:t>total enrollment</w:t>
      </w:r>
      <w:r w:rsidR="00302B48" w:rsidRPr="000B2AB8">
        <w:rPr>
          <w:rFonts w:cs="Calibri"/>
        </w:rPr>
        <w:t xml:space="preserve"> in</w:t>
      </w:r>
      <w:r w:rsidR="002558AC" w:rsidRPr="000B2AB8">
        <w:rPr>
          <w:rFonts w:cs="Calibri"/>
        </w:rPr>
        <w:t xml:space="preserve"> the high school would increase from </w:t>
      </w:r>
      <w:r w:rsidR="0065649A" w:rsidRPr="000B2AB8">
        <w:rPr>
          <w:rFonts w:cs="Calibri"/>
        </w:rPr>
        <w:t xml:space="preserve">approximately </w:t>
      </w:r>
      <w:r w:rsidR="00A8462B" w:rsidRPr="000B2AB8">
        <w:rPr>
          <w:rFonts w:cs="Calibri"/>
        </w:rPr>
        <w:t>150</w:t>
      </w:r>
      <w:r w:rsidR="003D59B3" w:rsidRPr="000B2AB8">
        <w:rPr>
          <w:rFonts w:cs="Calibri"/>
        </w:rPr>
        <w:t xml:space="preserve"> students</w:t>
      </w:r>
      <w:r w:rsidR="00665DB7" w:rsidRPr="000B2AB8">
        <w:rPr>
          <w:rFonts w:cs="Calibri"/>
        </w:rPr>
        <w:t xml:space="preserve"> to 2</w:t>
      </w:r>
      <w:r w:rsidR="00D0695E" w:rsidRPr="000B2AB8">
        <w:rPr>
          <w:rFonts w:cs="Calibri"/>
        </w:rPr>
        <w:t xml:space="preserve">40 students. </w:t>
      </w:r>
      <w:r w:rsidR="00655ED5" w:rsidRPr="000B2AB8">
        <w:rPr>
          <w:rFonts w:cs="Calibri"/>
        </w:rPr>
        <w:t xml:space="preserve">The </w:t>
      </w:r>
      <w:r w:rsidR="00302B48" w:rsidRPr="000B2AB8">
        <w:rPr>
          <w:rFonts w:cs="Calibri"/>
        </w:rPr>
        <w:t xml:space="preserve">total </w:t>
      </w:r>
      <w:r w:rsidR="00655ED5" w:rsidRPr="000B2AB8">
        <w:rPr>
          <w:rFonts w:cs="Calibri"/>
        </w:rPr>
        <w:t xml:space="preserve">enrollment in grades </w:t>
      </w:r>
      <w:r w:rsidR="008C0E22" w:rsidRPr="000B2AB8">
        <w:rPr>
          <w:rFonts w:cs="Calibri"/>
        </w:rPr>
        <w:t xml:space="preserve">6-8 </w:t>
      </w:r>
      <w:r w:rsidR="00302B48" w:rsidRPr="000B2AB8">
        <w:rPr>
          <w:rFonts w:cs="Calibri"/>
        </w:rPr>
        <w:t xml:space="preserve">would </w:t>
      </w:r>
      <w:r w:rsidR="008C0E22" w:rsidRPr="000B2AB8">
        <w:rPr>
          <w:rFonts w:cs="Calibri"/>
        </w:rPr>
        <w:t>increase by no more than 20 students.</w:t>
      </w:r>
    </w:p>
    <w:p w14:paraId="70B4DF59" w14:textId="3580C31A" w:rsidR="009369CA" w:rsidRPr="000B2AB8" w:rsidRDefault="00D0695E" w:rsidP="001D4DAA">
      <w:pPr>
        <w:rPr>
          <w:rFonts w:cs="Calibri"/>
        </w:rPr>
      </w:pPr>
      <w:r w:rsidRPr="000B2AB8">
        <w:rPr>
          <w:rFonts w:cs="Calibri"/>
        </w:rPr>
        <w:t xml:space="preserve">Based on current recruitment </w:t>
      </w:r>
      <w:r w:rsidR="00752803" w:rsidRPr="000B2AB8">
        <w:rPr>
          <w:rFonts w:cs="Calibri"/>
        </w:rPr>
        <w:t xml:space="preserve">and retention </w:t>
      </w:r>
      <w:r w:rsidR="005C26A3" w:rsidRPr="000B2AB8">
        <w:rPr>
          <w:rFonts w:cs="Calibri"/>
        </w:rPr>
        <w:t>trends</w:t>
      </w:r>
      <w:r w:rsidRPr="000B2AB8">
        <w:rPr>
          <w:rFonts w:cs="Calibri"/>
        </w:rPr>
        <w:t xml:space="preserve">, as evidenced by the </w:t>
      </w:r>
      <w:r w:rsidR="00E8733D" w:rsidRPr="000B2AB8">
        <w:rPr>
          <w:rFonts w:cs="Calibri"/>
        </w:rPr>
        <w:t>school’s</w:t>
      </w:r>
      <w:r w:rsidRPr="000B2AB8">
        <w:rPr>
          <w:rFonts w:cs="Calibri"/>
        </w:rPr>
        <w:t xml:space="preserve"> waitlist data</w:t>
      </w:r>
      <w:r w:rsidR="00752803" w:rsidRPr="000B2AB8">
        <w:rPr>
          <w:rFonts w:cs="Calibri"/>
        </w:rPr>
        <w:t xml:space="preserve"> </w:t>
      </w:r>
      <w:r w:rsidR="00302B48" w:rsidRPr="000B2AB8">
        <w:rPr>
          <w:rFonts w:cs="Calibri"/>
        </w:rPr>
        <w:t>a</w:t>
      </w:r>
      <w:r w:rsidR="00B777DE" w:rsidRPr="000B2AB8">
        <w:rPr>
          <w:rFonts w:cs="Calibri"/>
        </w:rPr>
        <w:t>nd</w:t>
      </w:r>
      <w:r w:rsidR="000D5B43" w:rsidRPr="000B2AB8">
        <w:rPr>
          <w:rFonts w:cs="Calibri"/>
        </w:rPr>
        <w:t xml:space="preserve"> </w:t>
      </w:r>
      <w:r w:rsidR="00EC224B" w:rsidRPr="000B2AB8">
        <w:rPr>
          <w:rFonts w:cs="Calibri"/>
        </w:rPr>
        <w:t xml:space="preserve">the number of </w:t>
      </w:r>
      <w:r w:rsidR="00752803" w:rsidRPr="000B2AB8">
        <w:rPr>
          <w:rFonts w:cs="Calibri"/>
        </w:rPr>
        <w:t>students</w:t>
      </w:r>
      <w:r w:rsidR="00FA6AE0" w:rsidRPr="000B2AB8">
        <w:rPr>
          <w:rFonts w:cs="Calibri"/>
        </w:rPr>
        <w:t xml:space="preserve"> in</w:t>
      </w:r>
      <w:r w:rsidR="00EC224B" w:rsidRPr="000B2AB8">
        <w:rPr>
          <w:rFonts w:cs="Calibri"/>
        </w:rPr>
        <w:t xml:space="preserve"> grade 8 </w:t>
      </w:r>
      <w:r w:rsidR="00D42970" w:rsidRPr="000B2AB8">
        <w:rPr>
          <w:rFonts w:cs="Calibri"/>
        </w:rPr>
        <w:t xml:space="preserve">who </w:t>
      </w:r>
      <w:r w:rsidR="00B777DE" w:rsidRPr="000B2AB8">
        <w:rPr>
          <w:rFonts w:cs="Calibri"/>
        </w:rPr>
        <w:t xml:space="preserve">continue </w:t>
      </w:r>
      <w:r w:rsidR="00C92A07" w:rsidRPr="000B2AB8">
        <w:rPr>
          <w:rFonts w:cs="Calibri"/>
        </w:rPr>
        <w:t>into the</w:t>
      </w:r>
      <w:r w:rsidR="004D5728" w:rsidRPr="000B2AB8">
        <w:rPr>
          <w:rFonts w:cs="Calibri"/>
        </w:rPr>
        <w:t xml:space="preserve"> high</w:t>
      </w:r>
      <w:r w:rsidR="00C92A07" w:rsidRPr="000B2AB8">
        <w:rPr>
          <w:rFonts w:cs="Calibri"/>
        </w:rPr>
        <w:t xml:space="preserve"> school, the school can </w:t>
      </w:r>
      <w:r w:rsidR="00EF3008" w:rsidRPr="000B2AB8">
        <w:rPr>
          <w:rFonts w:cs="Calibri"/>
        </w:rPr>
        <w:t xml:space="preserve">effectively </w:t>
      </w:r>
      <w:r w:rsidR="00C92A07" w:rsidRPr="000B2AB8">
        <w:rPr>
          <w:rFonts w:cs="Calibri"/>
        </w:rPr>
        <w:t xml:space="preserve">implement </w:t>
      </w:r>
      <w:r w:rsidR="00B110CA" w:rsidRPr="000B2AB8">
        <w:rPr>
          <w:rFonts w:cs="Calibri"/>
        </w:rPr>
        <w:t>its proposed growth plan.</w:t>
      </w:r>
      <w:r w:rsidR="007A3195" w:rsidRPr="000B2AB8">
        <w:rPr>
          <w:rStyle w:val="FootnoteReference"/>
          <w:rFonts w:cs="Calibri"/>
        </w:rPr>
        <w:t xml:space="preserve"> </w:t>
      </w:r>
      <w:r w:rsidR="00EE02C8" w:rsidRPr="000B2AB8">
        <w:rPr>
          <w:rFonts w:cs="Calibri"/>
        </w:rPr>
        <w:t xml:space="preserve">PVCICS admits new students in kindergarten, grade 6, and </w:t>
      </w:r>
      <w:r w:rsidR="002F1961" w:rsidRPr="000B2AB8">
        <w:rPr>
          <w:rFonts w:cs="Calibri"/>
        </w:rPr>
        <w:t xml:space="preserve">grade </w:t>
      </w:r>
      <w:r w:rsidR="00EE02C8" w:rsidRPr="000B2AB8">
        <w:rPr>
          <w:rFonts w:cs="Calibri"/>
        </w:rPr>
        <w:t xml:space="preserve">9 and fills vacancies during the school year in kindergarten through grade 6 and </w:t>
      </w:r>
      <w:r w:rsidR="00196C81" w:rsidRPr="000B2AB8">
        <w:rPr>
          <w:rFonts w:cs="Calibri"/>
        </w:rPr>
        <w:t xml:space="preserve">in </w:t>
      </w:r>
      <w:r w:rsidR="00EE02C8" w:rsidRPr="000B2AB8">
        <w:rPr>
          <w:rFonts w:cs="Calibri"/>
        </w:rPr>
        <w:t xml:space="preserve">grade 9, exceeding statutory requirements. </w:t>
      </w:r>
      <w:r w:rsidR="007A3195" w:rsidRPr="000B2AB8">
        <w:rPr>
          <w:rFonts w:cs="Calibri"/>
        </w:rPr>
        <w:t xml:space="preserve">The </w:t>
      </w:r>
      <w:r w:rsidR="00B65CCC" w:rsidRPr="000B2AB8">
        <w:rPr>
          <w:rFonts w:cs="Calibri"/>
        </w:rPr>
        <w:t xml:space="preserve">school reported </w:t>
      </w:r>
      <w:r w:rsidR="00F87FFE" w:rsidRPr="000B2AB8">
        <w:rPr>
          <w:rFonts w:cs="Calibri"/>
        </w:rPr>
        <w:t xml:space="preserve">190 </w:t>
      </w:r>
      <w:r w:rsidR="007A3195" w:rsidRPr="000B2AB8">
        <w:rPr>
          <w:rFonts w:cs="Calibri"/>
        </w:rPr>
        <w:t xml:space="preserve">students on </w:t>
      </w:r>
      <w:r w:rsidR="00F87FFE" w:rsidRPr="000B2AB8">
        <w:rPr>
          <w:rFonts w:cs="Calibri"/>
        </w:rPr>
        <w:t>its</w:t>
      </w:r>
      <w:r w:rsidR="007A3195" w:rsidRPr="000B2AB8">
        <w:rPr>
          <w:rFonts w:cs="Calibri"/>
        </w:rPr>
        <w:t xml:space="preserve"> waitlist in March 2024</w:t>
      </w:r>
      <w:r w:rsidR="00CD596D" w:rsidRPr="000B2AB8">
        <w:rPr>
          <w:rFonts w:cs="Calibri"/>
        </w:rPr>
        <w:t>, with 22 and 21 students for grade</w:t>
      </w:r>
      <w:r w:rsidR="0083722E" w:rsidRPr="000B2AB8">
        <w:rPr>
          <w:rFonts w:cs="Calibri"/>
        </w:rPr>
        <w:t>s</w:t>
      </w:r>
      <w:r w:rsidR="00CD596D" w:rsidRPr="000B2AB8">
        <w:rPr>
          <w:rFonts w:cs="Calibri"/>
        </w:rPr>
        <w:t xml:space="preserve"> 6 and 9</w:t>
      </w:r>
      <w:r w:rsidR="00D04E8D" w:rsidRPr="000B2AB8">
        <w:rPr>
          <w:rFonts w:cs="Calibri"/>
        </w:rPr>
        <w:t>, respectively</w:t>
      </w:r>
      <w:r w:rsidR="002F1961" w:rsidRPr="000B2AB8">
        <w:rPr>
          <w:rFonts w:cs="Calibri"/>
        </w:rPr>
        <w:t>. In March 2023,</w:t>
      </w:r>
      <w:r w:rsidR="007A3195" w:rsidRPr="000B2AB8">
        <w:rPr>
          <w:rFonts w:cs="Calibri"/>
        </w:rPr>
        <w:t xml:space="preserve"> </w:t>
      </w:r>
      <w:r w:rsidR="002F1961" w:rsidRPr="000B2AB8">
        <w:rPr>
          <w:rFonts w:cs="Calibri"/>
        </w:rPr>
        <w:t>the school reported</w:t>
      </w:r>
      <w:r w:rsidR="007A3195" w:rsidRPr="000B2AB8">
        <w:rPr>
          <w:rFonts w:cs="Calibri"/>
        </w:rPr>
        <w:t xml:space="preserve"> </w:t>
      </w:r>
      <w:r w:rsidR="00AA07C7" w:rsidRPr="000B2AB8">
        <w:rPr>
          <w:rFonts w:cs="Calibri"/>
        </w:rPr>
        <w:t>179</w:t>
      </w:r>
      <w:r w:rsidR="00452DED" w:rsidRPr="000B2AB8">
        <w:rPr>
          <w:rFonts w:cs="Calibri"/>
        </w:rPr>
        <w:t xml:space="preserve"> students </w:t>
      </w:r>
      <w:r w:rsidR="0083722E" w:rsidRPr="000B2AB8">
        <w:rPr>
          <w:rFonts w:cs="Calibri"/>
        </w:rPr>
        <w:t xml:space="preserve">on its </w:t>
      </w:r>
      <w:r w:rsidR="00452DED" w:rsidRPr="000B2AB8">
        <w:rPr>
          <w:rFonts w:cs="Calibri"/>
        </w:rPr>
        <w:t>waitlist</w:t>
      </w:r>
      <w:r w:rsidR="00D4315D" w:rsidRPr="000B2AB8">
        <w:rPr>
          <w:rFonts w:cs="Calibri"/>
        </w:rPr>
        <w:t xml:space="preserve">, </w:t>
      </w:r>
      <w:r w:rsidR="00CD596D" w:rsidRPr="000B2AB8">
        <w:rPr>
          <w:rFonts w:cs="Calibri"/>
        </w:rPr>
        <w:t xml:space="preserve">with </w:t>
      </w:r>
      <w:r w:rsidR="00D04E8D" w:rsidRPr="000B2AB8">
        <w:rPr>
          <w:rFonts w:cs="Calibri"/>
        </w:rPr>
        <w:t>29</w:t>
      </w:r>
      <w:r w:rsidR="00CD596D" w:rsidRPr="000B2AB8">
        <w:rPr>
          <w:rFonts w:cs="Calibri"/>
        </w:rPr>
        <w:t xml:space="preserve"> and 2</w:t>
      </w:r>
      <w:r w:rsidR="00D04E8D" w:rsidRPr="000B2AB8">
        <w:rPr>
          <w:rFonts w:cs="Calibri"/>
        </w:rPr>
        <w:t>6</w:t>
      </w:r>
      <w:r w:rsidR="00CD596D" w:rsidRPr="000B2AB8">
        <w:rPr>
          <w:rFonts w:cs="Calibri"/>
        </w:rPr>
        <w:t xml:space="preserve"> students for grade</w:t>
      </w:r>
      <w:r w:rsidR="0083722E" w:rsidRPr="000B2AB8">
        <w:rPr>
          <w:rFonts w:cs="Calibri"/>
        </w:rPr>
        <w:t>s</w:t>
      </w:r>
      <w:r w:rsidR="00CD596D" w:rsidRPr="000B2AB8">
        <w:rPr>
          <w:rFonts w:cs="Calibri"/>
        </w:rPr>
        <w:t xml:space="preserve"> 6 and 9,</w:t>
      </w:r>
      <w:r w:rsidR="00D04E8D" w:rsidRPr="000B2AB8">
        <w:rPr>
          <w:rFonts w:cs="Calibri"/>
        </w:rPr>
        <w:t xml:space="preserve"> </w:t>
      </w:r>
      <w:r w:rsidR="00452DED" w:rsidRPr="000B2AB8">
        <w:rPr>
          <w:rFonts w:cs="Calibri"/>
        </w:rPr>
        <w:t>respectively</w:t>
      </w:r>
      <w:r w:rsidR="007A3195" w:rsidRPr="000B2AB8">
        <w:rPr>
          <w:rFonts w:cs="Calibri"/>
        </w:rPr>
        <w:t xml:space="preserve">. </w:t>
      </w:r>
    </w:p>
    <w:p w14:paraId="7CAE0FD3" w14:textId="77777777" w:rsidR="009369CA" w:rsidRPr="000B2AB8" w:rsidRDefault="009369CA" w:rsidP="001D4DAA">
      <w:pPr>
        <w:rPr>
          <w:rFonts w:cs="Calibri"/>
        </w:rPr>
      </w:pPr>
    </w:p>
    <w:p w14:paraId="5A428544" w14:textId="2CBCA113" w:rsidR="00B46F0D" w:rsidRPr="000B2AB8" w:rsidRDefault="00337FE3" w:rsidP="00B46F0D">
      <w:pPr>
        <w:rPr>
          <w:bCs/>
        </w:rPr>
      </w:pPr>
      <w:r w:rsidRPr="000B2AB8">
        <w:rPr>
          <w:bCs/>
        </w:rPr>
        <w:t xml:space="preserve">PVCICS provides a unique educational option for families in western Massachusetts. </w:t>
      </w:r>
      <w:r w:rsidR="00B46F0D" w:rsidRPr="000B2AB8">
        <w:t>The school offers an immersion program in Mandarin Chinese language and culture</w:t>
      </w:r>
      <w:r w:rsidR="005454CE" w:rsidRPr="000B2AB8">
        <w:t xml:space="preserve"> with the goal of graduating </w:t>
      </w:r>
      <w:r w:rsidR="00B46F0D" w:rsidRPr="000B2AB8">
        <w:t xml:space="preserve">students </w:t>
      </w:r>
      <w:r w:rsidR="005454CE" w:rsidRPr="000B2AB8">
        <w:t>who ar</w:t>
      </w:r>
      <w:r w:rsidR="00E82B51" w:rsidRPr="000B2AB8">
        <w:t>e</w:t>
      </w:r>
      <w:r w:rsidR="00B46F0D" w:rsidRPr="000B2AB8">
        <w:t xml:space="preserve"> highly proficient in two languages</w:t>
      </w:r>
      <w:r w:rsidR="00970341" w:rsidRPr="000B2AB8">
        <w:t>,</w:t>
      </w:r>
      <w:r w:rsidR="00B46F0D" w:rsidRPr="000B2AB8">
        <w:t xml:space="preserve"> English and Mandarin Chinese. Students in </w:t>
      </w:r>
      <w:r w:rsidR="001613FB" w:rsidRPr="000B2AB8">
        <w:t>kindergarten and first grade</w:t>
      </w:r>
      <w:r w:rsidR="00B46F0D" w:rsidRPr="000B2AB8">
        <w:t xml:space="preserve"> spend 75 percent of the school day in Chinese immersion classes</w:t>
      </w:r>
      <w:r w:rsidR="00970341" w:rsidRPr="000B2AB8">
        <w:t>,</w:t>
      </w:r>
      <w:r w:rsidR="00B46F0D" w:rsidRPr="000B2AB8">
        <w:t xml:space="preserve"> where they learn mathematics</w:t>
      </w:r>
      <w:r w:rsidR="00970341" w:rsidRPr="000B2AB8">
        <w:t>,</w:t>
      </w:r>
      <w:r w:rsidR="00B46F0D" w:rsidRPr="000B2AB8">
        <w:t xml:space="preserve"> science</w:t>
      </w:r>
      <w:r w:rsidR="00970341" w:rsidRPr="000B2AB8">
        <w:t>, and</w:t>
      </w:r>
      <w:r w:rsidR="00B46F0D" w:rsidRPr="000B2AB8">
        <w:t xml:space="preserve"> Chinese language. Students in grades 2</w:t>
      </w:r>
      <w:r w:rsidR="00970341" w:rsidRPr="000B2AB8">
        <w:t xml:space="preserve"> through </w:t>
      </w:r>
      <w:r w:rsidR="00B46F0D" w:rsidRPr="000B2AB8">
        <w:t xml:space="preserve">5 </w:t>
      </w:r>
      <w:r w:rsidR="00C247D5" w:rsidRPr="000B2AB8">
        <w:t xml:space="preserve">receive </w:t>
      </w:r>
      <w:r w:rsidR="00B46F0D" w:rsidRPr="000B2AB8">
        <w:t>instruct</w:t>
      </w:r>
      <w:r w:rsidR="00C247D5" w:rsidRPr="000B2AB8">
        <w:t>ion</w:t>
      </w:r>
      <w:r w:rsidR="00B46F0D" w:rsidRPr="000B2AB8">
        <w:t xml:space="preserve"> in Chinese for 50 percent of their day, and students in grades 6 through 12 spend two hours daily in Chinese language classes.</w:t>
      </w:r>
      <w:r w:rsidR="00FF6064" w:rsidRPr="000B2AB8">
        <w:t xml:space="preserve"> </w:t>
      </w:r>
      <w:r w:rsidR="00060E51" w:rsidRPr="000B2AB8">
        <w:t>A</w:t>
      </w:r>
      <w:r w:rsidR="00FF6064" w:rsidRPr="000B2AB8">
        <w:t xml:space="preserve">ll PVCICS students take International Baccalaureate (IB) Diploma Programme (DP) courses in </w:t>
      </w:r>
      <w:r w:rsidR="005C543F" w:rsidRPr="000B2AB8">
        <w:t xml:space="preserve">grades </w:t>
      </w:r>
      <w:r w:rsidR="00FF6064" w:rsidRPr="000B2AB8">
        <w:t xml:space="preserve">11 and 12. </w:t>
      </w:r>
    </w:p>
    <w:p w14:paraId="1ADDE8AC" w14:textId="77777777" w:rsidR="00337FE3" w:rsidRPr="000B2AB8" w:rsidRDefault="00337FE3" w:rsidP="001D4DAA">
      <w:pPr>
        <w:rPr>
          <w:rFonts w:cs="Calibri"/>
        </w:rPr>
      </w:pPr>
    </w:p>
    <w:p w14:paraId="3179C5F6" w14:textId="0D7C490A" w:rsidR="009369CA" w:rsidRPr="000B2AB8" w:rsidRDefault="00025645" w:rsidP="001D4DAA">
      <w:pPr>
        <w:rPr>
          <w:rFonts w:cs="Calibri"/>
        </w:rPr>
      </w:pPr>
      <w:r w:rsidRPr="000B2AB8">
        <w:rPr>
          <w:rFonts w:cs="Calibri"/>
        </w:rPr>
        <w:t>PVCICS seeks to</w:t>
      </w:r>
      <w:r w:rsidR="00B110CA" w:rsidRPr="000B2AB8">
        <w:rPr>
          <w:rFonts w:cs="Calibri"/>
        </w:rPr>
        <w:t xml:space="preserve"> </w:t>
      </w:r>
      <w:r w:rsidR="00876EF8" w:rsidRPr="000B2AB8">
        <w:rPr>
          <w:rFonts w:cs="Calibri"/>
        </w:rPr>
        <w:t xml:space="preserve">provide a more robust </w:t>
      </w:r>
      <w:r w:rsidR="001E57D2" w:rsidRPr="000B2AB8">
        <w:rPr>
          <w:rFonts w:cs="Calibri"/>
        </w:rPr>
        <w:t xml:space="preserve">high school </w:t>
      </w:r>
      <w:r w:rsidR="00876EF8" w:rsidRPr="000B2AB8">
        <w:rPr>
          <w:rFonts w:cs="Calibri"/>
        </w:rPr>
        <w:t>experience for students</w:t>
      </w:r>
      <w:r w:rsidR="001C5ED2" w:rsidRPr="000B2AB8">
        <w:rPr>
          <w:rFonts w:cs="Calibri"/>
        </w:rPr>
        <w:t xml:space="preserve"> </w:t>
      </w:r>
      <w:r w:rsidR="00A942DF" w:rsidRPr="000B2AB8">
        <w:rPr>
          <w:rFonts w:cs="Calibri"/>
        </w:rPr>
        <w:t>with</w:t>
      </w:r>
      <w:r w:rsidR="001E57D2" w:rsidRPr="000B2AB8">
        <w:rPr>
          <w:rFonts w:cs="Calibri"/>
        </w:rPr>
        <w:t xml:space="preserve"> access to </w:t>
      </w:r>
      <w:r w:rsidR="00A942DF" w:rsidRPr="000B2AB8">
        <w:rPr>
          <w:rFonts w:cs="Calibri"/>
        </w:rPr>
        <w:t>additional</w:t>
      </w:r>
      <w:r w:rsidR="001E57D2" w:rsidRPr="000B2AB8">
        <w:rPr>
          <w:rFonts w:cs="Calibri"/>
        </w:rPr>
        <w:t xml:space="preserve"> courses, particularly in International B</w:t>
      </w:r>
      <w:r w:rsidR="00394907" w:rsidRPr="000B2AB8">
        <w:rPr>
          <w:rFonts w:cs="Calibri"/>
        </w:rPr>
        <w:t xml:space="preserve">accalaureate, </w:t>
      </w:r>
      <w:r w:rsidR="00770EE4" w:rsidRPr="000B2AB8">
        <w:rPr>
          <w:rFonts w:cs="Calibri"/>
        </w:rPr>
        <w:t>and</w:t>
      </w:r>
      <w:r w:rsidR="00394907" w:rsidRPr="000B2AB8">
        <w:rPr>
          <w:rFonts w:cs="Calibri"/>
        </w:rPr>
        <w:t xml:space="preserve"> </w:t>
      </w:r>
      <w:r w:rsidR="00D360C7" w:rsidRPr="000B2AB8">
        <w:rPr>
          <w:rFonts w:cs="Calibri"/>
        </w:rPr>
        <w:t>expand</w:t>
      </w:r>
      <w:r w:rsidR="00770EE4" w:rsidRPr="000B2AB8">
        <w:rPr>
          <w:rFonts w:cs="Calibri"/>
        </w:rPr>
        <w:t>ed</w:t>
      </w:r>
      <w:r w:rsidR="00D360C7" w:rsidRPr="000B2AB8">
        <w:rPr>
          <w:rFonts w:cs="Calibri"/>
        </w:rPr>
        <w:t xml:space="preserve"> </w:t>
      </w:r>
      <w:r w:rsidR="00394907" w:rsidRPr="000B2AB8">
        <w:rPr>
          <w:rFonts w:cs="Calibri"/>
        </w:rPr>
        <w:t>extracurricular activities</w:t>
      </w:r>
      <w:r w:rsidR="00691D36" w:rsidRPr="000B2AB8">
        <w:rPr>
          <w:rFonts w:cs="Calibri"/>
        </w:rPr>
        <w:t>.</w:t>
      </w:r>
      <w:r w:rsidR="00D179CF" w:rsidRPr="000B2AB8">
        <w:rPr>
          <w:rFonts w:cs="Calibri"/>
        </w:rPr>
        <w:t xml:space="preserve"> The school </w:t>
      </w:r>
      <w:r w:rsidR="00687DD3" w:rsidRPr="000B2AB8">
        <w:rPr>
          <w:rFonts w:cs="Calibri"/>
        </w:rPr>
        <w:t>will hire additional staff</w:t>
      </w:r>
      <w:r w:rsidR="00D179CF" w:rsidRPr="000B2AB8">
        <w:rPr>
          <w:rFonts w:cs="Calibri"/>
        </w:rPr>
        <w:t xml:space="preserve"> </w:t>
      </w:r>
      <w:r w:rsidR="00687DD3" w:rsidRPr="000B2AB8">
        <w:rPr>
          <w:rFonts w:cs="Calibri"/>
        </w:rPr>
        <w:t xml:space="preserve">to support </w:t>
      </w:r>
      <w:r w:rsidR="00D179CF" w:rsidRPr="000B2AB8">
        <w:rPr>
          <w:rFonts w:cs="Calibri"/>
        </w:rPr>
        <w:t>the increase in high school enrollment.</w:t>
      </w:r>
      <w:r w:rsidR="009461EC" w:rsidRPr="000B2AB8">
        <w:rPr>
          <w:rFonts w:cs="Calibri"/>
        </w:rPr>
        <w:t xml:space="preserve"> The school</w:t>
      </w:r>
      <w:r w:rsidR="00277D51" w:rsidRPr="000B2AB8">
        <w:rPr>
          <w:rFonts w:cs="Calibri"/>
        </w:rPr>
        <w:t xml:space="preserve"> </w:t>
      </w:r>
      <w:r w:rsidR="009461EC" w:rsidRPr="000B2AB8">
        <w:rPr>
          <w:rFonts w:cs="Calibri"/>
        </w:rPr>
        <w:t xml:space="preserve">acquired </w:t>
      </w:r>
      <w:r w:rsidR="00CE3E2F" w:rsidRPr="000B2AB8">
        <w:rPr>
          <w:rFonts w:cs="Calibri"/>
        </w:rPr>
        <w:t>a</w:t>
      </w:r>
      <w:r w:rsidR="009461EC" w:rsidRPr="000B2AB8">
        <w:rPr>
          <w:rFonts w:cs="Calibri"/>
        </w:rPr>
        <w:t xml:space="preserve"> nearby facility in June 2024 to address the size constraints of its current facility</w:t>
      </w:r>
      <w:r w:rsidR="00571E11">
        <w:rPr>
          <w:rFonts w:cs="Calibri"/>
        </w:rPr>
        <w:t xml:space="preserve"> for its current enrollment of 584 students</w:t>
      </w:r>
      <w:r w:rsidR="009461EC" w:rsidRPr="000B2AB8">
        <w:rPr>
          <w:rFonts w:cs="Calibri"/>
        </w:rPr>
        <w:t>.</w:t>
      </w:r>
      <w:r w:rsidR="00691D36" w:rsidRPr="000B2AB8">
        <w:rPr>
          <w:rFonts w:cs="Calibri"/>
        </w:rPr>
        <w:t xml:space="preserve"> </w:t>
      </w:r>
      <w:r w:rsidR="006B64A1" w:rsidRPr="000B2AB8">
        <w:rPr>
          <w:rFonts w:cs="Calibri"/>
        </w:rPr>
        <w:t xml:space="preserve">PVCICS indicated that it </w:t>
      </w:r>
      <w:r w:rsidR="00CE3E2F" w:rsidRPr="000B2AB8">
        <w:rPr>
          <w:rFonts w:cs="Calibri"/>
        </w:rPr>
        <w:t xml:space="preserve">also </w:t>
      </w:r>
      <w:r w:rsidR="006B64A1" w:rsidRPr="000B2AB8">
        <w:rPr>
          <w:rFonts w:cs="Calibri"/>
        </w:rPr>
        <w:t xml:space="preserve">plans to add </w:t>
      </w:r>
      <w:r w:rsidR="002047DF" w:rsidRPr="000B2AB8">
        <w:rPr>
          <w:rFonts w:cs="Calibri"/>
        </w:rPr>
        <w:t xml:space="preserve">an </w:t>
      </w:r>
      <w:r w:rsidR="006B64A1" w:rsidRPr="000B2AB8">
        <w:rPr>
          <w:rFonts w:cs="Calibri"/>
        </w:rPr>
        <w:t>additional transportation route</w:t>
      </w:r>
      <w:r w:rsidR="000C59D5" w:rsidRPr="000B2AB8">
        <w:rPr>
          <w:rFonts w:cs="Calibri"/>
        </w:rPr>
        <w:t>,</w:t>
      </w:r>
      <w:r w:rsidR="006B64A1" w:rsidRPr="000B2AB8">
        <w:rPr>
          <w:rFonts w:cs="Calibri"/>
        </w:rPr>
        <w:t xml:space="preserve"> as needed</w:t>
      </w:r>
      <w:r w:rsidR="007045B9" w:rsidRPr="000B2AB8">
        <w:rPr>
          <w:rFonts w:cs="Calibri"/>
        </w:rPr>
        <w:t>,</w:t>
      </w:r>
      <w:r w:rsidR="00BA36F0" w:rsidRPr="000B2AB8">
        <w:rPr>
          <w:rFonts w:cs="Calibri"/>
        </w:rPr>
        <w:t xml:space="preserve"> </w:t>
      </w:r>
      <w:r w:rsidR="006B64A1" w:rsidRPr="000B2AB8">
        <w:rPr>
          <w:rFonts w:cs="Calibri"/>
        </w:rPr>
        <w:t xml:space="preserve">to support </w:t>
      </w:r>
      <w:r w:rsidR="00BA36F0" w:rsidRPr="000B2AB8">
        <w:rPr>
          <w:rFonts w:cs="Calibri"/>
        </w:rPr>
        <w:t>student</w:t>
      </w:r>
      <w:r w:rsidR="00241424" w:rsidRPr="000B2AB8">
        <w:rPr>
          <w:rFonts w:cs="Calibri"/>
        </w:rPr>
        <w:t xml:space="preserve"> attendance</w:t>
      </w:r>
      <w:r w:rsidR="00B2050D" w:rsidRPr="000B2AB8">
        <w:rPr>
          <w:rFonts w:cs="Calibri"/>
        </w:rPr>
        <w:t xml:space="preserve">. </w:t>
      </w:r>
    </w:p>
    <w:p w14:paraId="2451B1D5" w14:textId="77777777" w:rsidR="009369CA" w:rsidRPr="000B2AB8" w:rsidRDefault="009369CA" w:rsidP="001D4DAA">
      <w:pPr>
        <w:rPr>
          <w:rFonts w:cs="Calibri"/>
        </w:rPr>
      </w:pPr>
    </w:p>
    <w:p w14:paraId="129F9780" w14:textId="5852A53D" w:rsidR="004F5C92" w:rsidRPr="000B2AB8" w:rsidRDefault="004F5C92" w:rsidP="00476EEB">
      <w:pPr>
        <w:keepNext/>
        <w:ind w:firstLine="720"/>
        <w:rPr>
          <w:rFonts w:cs="Calibri"/>
          <w:b/>
          <w:bCs/>
        </w:rPr>
      </w:pPr>
      <w:r w:rsidRPr="000B2AB8">
        <w:rPr>
          <w:rFonts w:cs="Calibri"/>
          <w:b/>
          <w:bCs/>
        </w:rPr>
        <w:t>Public Comment</w:t>
      </w:r>
    </w:p>
    <w:p w14:paraId="3A2A7AF7" w14:textId="77777777" w:rsidR="00D2462B" w:rsidRPr="000B2AB8" w:rsidRDefault="00D2462B" w:rsidP="00476EEB">
      <w:pPr>
        <w:keepNext/>
        <w:rPr>
          <w:rFonts w:cs="Calibri"/>
        </w:rPr>
      </w:pPr>
    </w:p>
    <w:p w14:paraId="0181CA5E" w14:textId="090925C9" w:rsidR="009369CA" w:rsidRPr="000B2AB8" w:rsidRDefault="00442A08" w:rsidP="009134CB">
      <w:pPr>
        <w:rPr>
          <w:rFonts w:ascii="Aptos" w:hAnsi="Aptos"/>
        </w:rPr>
      </w:pPr>
      <w:r w:rsidRPr="000B2AB8">
        <w:t>The Department received c</w:t>
      </w:r>
      <w:r w:rsidR="00F30C60" w:rsidRPr="000B2AB8">
        <w:t xml:space="preserve">omment in support </w:t>
      </w:r>
      <w:r w:rsidR="00F35BCE">
        <w:t xml:space="preserve">of </w:t>
      </w:r>
      <w:r w:rsidR="00F30C60" w:rsidRPr="000B2AB8">
        <w:t>and in opposition to the school’s request</w:t>
      </w:r>
      <w:r w:rsidR="00CA5A2A" w:rsidRPr="000B2AB8">
        <w:t xml:space="preserve">. </w:t>
      </w:r>
      <w:r w:rsidRPr="000B2AB8">
        <w:t xml:space="preserve">Comment in support was received from </w:t>
      </w:r>
      <w:r w:rsidR="007970D6" w:rsidRPr="000B2AB8">
        <w:t xml:space="preserve">123 families of </w:t>
      </w:r>
      <w:r w:rsidRPr="000B2AB8">
        <w:t>current</w:t>
      </w:r>
      <w:r w:rsidR="007970D6" w:rsidRPr="000B2AB8">
        <w:t xml:space="preserve"> and prospective students, </w:t>
      </w:r>
      <w:r w:rsidR="00C54906" w:rsidRPr="000B2AB8">
        <w:t xml:space="preserve">including four </w:t>
      </w:r>
      <w:r w:rsidR="007970D6" w:rsidRPr="000B2AB8">
        <w:t xml:space="preserve">graduates, </w:t>
      </w:r>
      <w:r w:rsidRPr="000B2AB8">
        <w:t xml:space="preserve">and </w:t>
      </w:r>
      <w:r w:rsidR="00C54906" w:rsidRPr="000B2AB8">
        <w:t xml:space="preserve">21 </w:t>
      </w:r>
      <w:r w:rsidRPr="000B2AB8">
        <w:t xml:space="preserve">school employees. </w:t>
      </w:r>
      <w:r w:rsidR="00BB7110" w:rsidRPr="000B2AB8">
        <w:t>State s</w:t>
      </w:r>
      <w:r w:rsidR="00F30C60" w:rsidRPr="000B2AB8">
        <w:t>enator Jo Comerford</w:t>
      </w:r>
      <w:r w:rsidR="00F274C9" w:rsidRPr="000B2AB8">
        <w:t>;</w:t>
      </w:r>
      <w:r w:rsidR="00F30C60" w:rsidRPr="000B2AB8">
        <w:t xml:space="preserve"> </w:t>
      </w:r>
      <w:r w:rsidR="00AF04B4" w:rsidRPr="000B2AB8">
        <w:t>s</w:t>
      </w:r>
      <w:r w:rsidR="0024760B" w:rsidRPr="000B2AB8">
        <w:t>tate r</w:t>
      </w:r>
      <w:r w:rsidR="00F30C60" w:rsidRPr="000B2AB8">
        <w:t>epresentative</w:t>
      </w:r>
      <w:r w:rsidR="00BF6559" w:rsidRPr="000B2AB8">
        <w:t>s</w:t>
      </w:r>
      <w:r w:rsidR="00F30C60" w:rsidRPr="000B2AB8">
        <w:t xml:space="preserve"> Natalie Blais, </w:t>
      </w:r>
      <w:r w:rsidR="00F67ECE" w:rsidRPr="000B2AB8">
        <w:rPr>
          <w:rFonts w:ascii="Aptos" w:hAnsi="Aptos"/>
        </w:rPr>
        <w:t>Mindy Domb, and Lindsay Sabadosa</w:t>
      </w:r>
      <w:r w:rsidR="00F67ECE" w:rsidRPr="000B2AB8">
        <w:t>;</w:t>
      </w:r>
      <w:r w:rsidR="00F30C60" w:rsidRPr="000B2AB8">
        <w:t xml:space="preserve"> </w:t>
      </w:r>
      <w:r w:rsidR="00F01925" w:rsidRPr="000B2AB8">
        <w:rPr>
          <w:rFonts w:ascii="Aptos" w:hAnsi="Aptos"/>
        </w:rPr>
        <w:t xml:space="preserve">the </w:t>
      </w:r>
      <w:r w:rsidR="009134CB" w:rsidRPr="000B2AB8">
        <w:rPr>
          <w:rFonts w:ascii="Aptos" w:hAnsi="Aptos"/>
        </w:rPr>
        <w:t>Amherst Town Council</w:t>
      </w:r>
      <w:r w:rsidR="00F274C9" w:rsidRPr="000B2AB8">
        <w:rPr>
          <w:rFonts w:ascii="Aptos" w:hAnsi="Aptos"/>
        </w:rPr>
        <w:t>;</w:t>
      </w:r>
      <w:r w:rsidR="009134CB" w:rsidRPr="000B2AB8">
        <w:rPr>
          <w:rFonts w:ascii="Aptos" w:hAnsi="Aptos"/>
        </w:rPr>
        <w:t xml:space="preserve"> </w:t>
      </w:r>
      <w:r w:rsidR="00F01925" w:rsidRPr="000B2AB8">
        <w:rPr>
          <w:rFonts w:ascii="Aptos" w:hAnsi="Aptos"/>
        </w:rPr>
        <w:t xml:space="preserve">Superintendent Dr. Xiomara Herman for the </w:t>
      </w:r>
      <w:r w:rsidR="009134CB" w:rsidRPr="000B2AB8">
        <w:rPr>
          <w:rFonts w:ascii="Aptos" w:hAnsi="Aptos"/>
        </w:rPr>
        <w:t>Amherst, Pelham, and Amherst-Pelham Regional Schools</w:t>
      </w:r>
      <w:r w:rsidR="00F274C9" w:rsidRPr="000B2AB8">
        <w:rPr>
          <w:rFonts w:ascii="Aptos" w:hAnsi="Aptos"/>
        </w:rPr>
        <w:t>;</w:t>
      </w:r>
      <w:r w:rsidR="009134CB" w:rsidRPr="000B2AB8">
        <w:rPr>
          <w:rFonts w:ascii="Aptos" w:hAnsi="Aptos"/>
        </w:rPr>
        <w:t xml:space="preserve"> </w:t>
      </w:r>
      <w:r w:rsidR="00367661" w:rsidRPr="000B2AB8">
        <w:rPr>
          <w:rFonts w:ascii="Aptos" w:hAnsi="Aptos"/>
        </w:rPr>
        <w:t xml:space="preserve">the </w:t>
      </w:r>
      <w:r w:rsidR="009134CB" w:rsidRPr="000B2AB8">
        <w:rPr>
          <w:rFonts w:ascii="Aptos" w:hAnsi="Aptos"/>
        </w:rPr>
        <w:t xml:space="preserve">Amherst and Amherst-Pelham Regional School Committees, </w:t>
      </w:r>
      <w:r w:rsidR="00824737" w:rsidRPr="000B2AB8">
        <w:rPr>
          <w:rFonts w:ascii="Aptos" w:hAnsi="Aptos"/>
        </w:rPr>
        <w:t xml:space="preserve">and </w:t>
      </w:r>
      <w:r w:rsidR="00367661" w:rsidRPr="000B2AB8">
        <w:rPr>
          <w:rFonts w:ascii="Aptos" w:hAnsi="Aptos"/>
        </w:rPr>
        <w:t xml:space="preserve">the </w:t>
      </w:r>
      <w:r w:rsidR="009134CB" w:rsidRPr="000B2AB8">
        <w:rPr>
          <w:rFonts w:ascii="Aptos" w:hAnsi="Aptos"/>
        </w:rPr>
        <w:t xml:space="preserve">Pelham School Committee; </w:t>
      </w:r>
      <w:r w:rsidR="004716AB" w:rsidRPr="000B2AB8">
        <w:rPr>
          <w:rFonts w:ascii="Aptos" w:hAnsi="Aptos"/>
        </w:rPr>
        <w:t xml:space="preserve">the </w:t>
      </w:r>
      <w:r w:rsidR="009134CB" w:rsidRPr="000B2AB8">
        <w:rPr>
          <w:rFonts w:ascii="Aptos" w:hAnsi="Aptos"/>
        </w:rPr>
        <w:t xml:space="preserve">Town of Chesterfield; </w:t>
      </w:r>
      <w:r w:rsidR="004716AB" w:rsidRPr="000B2AB8">
        <w:rPr>
          <w:rFonts w:ascii="Aptos" w:hAnsi="Aptos"/>
        </w:rPr>
        <w:t xml:space="preserve">the </w:t>
      </w:r>
      <w:r w:rsidR="009134CB" w:rsidRPr="000B2AB8">
        <w:rPr>
          <w:rFonts w:ascii="Aptos" w:hAnsi="Aptos"/>
        </w:rPr>
        <w:t>Frontier Regional School Committee</w:t>
      </w:r>
      <w:r w:rsidR="00F274C9" w:rsidRPr="000B2AB8">
        <w:rPr>
          <w:rFonts w:ascii="Aptos" w:hAnsi="Aptos"/>
        </w:rPr>
        <w:t>;</w:t>
      </w:r>
      <w:r w:rsidR="009134CB" w:rsidRPr="000B2AB8">
        <w:rPr>
          <w:rFonts w:ascii="Aptos" w:hAnsi="Aptos"/>
        </w:rPr>
        <w:t xml:space="preserve"> </w:t>
      </w:r>
      <w:r w:rsidR="004716AB" w:rsidRPr="000B2AB8">
        <w:rPr>
          <w:rFonts w:ascii="Aptos" w:hAnsi="Aptos"/>
        </w:rPr>
        <w:t xml:space="preserve">the </w:t>
      </w:r>
      <w:r w:rsidR="009134CB" w:rsidRPr="000B2AB8">
        <w:rPr>
          <w:rFonts w:ascii="Aptos" w:hAnsi="Aptos"/>
        </w:rPr>
        <w:t>Conway School Committee</w:t>
      </w:r>
      <w:r w:rsidR="00F274C9" w:rsidRPr="000B2AB8">
        <w:rPr>
          <w:rFonts w:ascii="Aptos" w:hAnsi="Aptos"/>
        </w:rPr>
        <w:t>;</w:t>
      </w:r>
      <w:r w:rsidR="009134CB" w:rsidRPr="000B2AB8">
        <w:rPr>
          <w:rFonts w:ascii="Aptos" w:hAnsi="Aptos"/>
        </w:rPr>
        <w:t xml:space="preserve"> </w:t>
      </w:r>
      <w:r w:rsidR="004716AB" w:rsidRPr="000B2AB8">
        <w:rPr>
          <w:rFonts w:ascii="Aptos" w:hAnsi="Aptos"/>
        </w:rPr>
        <w:t xml:space="preserve">the </w:t>
      </w:r>
      <w:r w:rsidR="009134CB" w:rsidRPr="000B2AB8">
        <w:rPr>
          <w:rFonts w:ascii="Aptos" w:hAnsi="Aptos"/>
        </w:rPr>
        <w:t>Deerfield School Committee</w:t>
      </w:r>
      <w:r w:rsidR="00F274C9" w:rsidRPr="000B2AB8">
        <w:rPr>
          <w:rFonts w:ascii="Aptos" w:hAnsi="Aptos"/>
        </w:rPr>
        <w:t>;</w:t>
      </w:r>
      <w:r w:rsidR="009134CB" w:rsidRPr="000B2AB8">
        <w:rPr>
          <w:rFonts w:ascii="Aptos" w:hAnsi="Aptos"/>
        </w:rPr>
        <w:t xml:space="preserve"> </w:t>
      </w:r>
      <w:r w:rsidR="004716AB" w:rsidRPr="000B2AB8">
        <w:rPr>
          <w:rFonts w:ascii="Aptos" w:hAnsi="Aptos"/>
        </w:rPr>
        <w:t xml:space="preserve">the </w:t>
      </w:r>
      <w:r w:rsidR="009134CB" w:rsidRPr="000B2AB8">
        <w:rPr>
          <w:rFonts w:ascii="Aptos" w:hAnsi="Aptos"/>
        </w:rPr>
        <w:t>Sunderland School Committee</w:t>
      </w:r>
      <w:r w:rsidR="00F274C9" w:rsidRPr="000B2AB8">
        <w:rPr>
          <w:rFonts w:ascii="Aptos" w:hAnsi="Aptos"/>
        </w:rPr>
        <w:t>;</w:t>
      </w:r>
      <w:r w:rsidR="009134CB" w:rsidRPr="000B2AB8">
        <w:rPr>
          <w:rFonts w:ascii="Aptos" w:hAnsi="Aptos"/>
        </w:rPr>
        <w:t xml:space="preserve"> and</w:t>
      </w:r>
      <w:r w:rsidR="00C37169" w:rsidRPr="000B2AB8">
        <w:rPr>
          <w:rFonts w:ascii="Aptos" w:hAnsi="Aptos"/>
        </w:rPr>
        <w:t xml:space="preserve"> </w:t>
      </w:r>
      <w:r w:rsidR="004716AB" w:rsidRPr="000B2AB8">
        <w:rPr>
          <w:rFonts w:ascii="Aptos" w:hAnsi="Aptos"/>
        </w:rPr>
        <w:t>the</w:t>
      </w:r>
      <w:r w:rsidR="009134CB" w:rsidRPr="000B2AB8">
        <w:rPr>
          <w:rFonts w:ascii="Aptos" w:hAnsi="Aptos"/>
        </w:rPr>
        <w:t xml:space="preserve"> Whatley School Committee (</w:t>
      </w:r>
      <w:r w:rsidR="00C37169" w:rsidRPr="000B2AB8">
        <w:rPr>
          <w:rFonts w:ascii="Aptos" w:hAnsi="Aptos"/>
        </w:rPr>
        <w:t xml:space="preserve">collectively the </w:t>
      </w:r>
      <w:r w:rsidR="009134CB" w:rsidRPr="000B2AB8">
        <w:rPr>
          <w:rFonts w:ascii="Aptos" w:hAnsi="Aptos"/>
        </w:rPr>
        <w:t xml:space="preserve">Frontier Regional </w:t>
      </w:r>
      <w:r w:rsidR="002B1951" w:rsidRPr="000B2AB8">
        <w:rPr>
          <w:rFonts w:ascii="Aptos" w:hAnsi="Aptos"/>
        </w:rPr>
        <w:t xml:space="preserve">School District </w:t>
      </w:r>
      <w:r w:rsidR="009134CB" w:rsidRPr="000B2AB8">
        <w:rPr>
          <w:rFonts w:ascii="Aptos" w:hAnsi="Aptos"/>
        </w:rPr>
        <w:t xml:space="preserve">and </w:t>
      </w:r>
      <w:r w:rsidR="002B1951" w:rsidRPr="000B2AB8">
        <w:rPr>
          <w:rFonts w:ascii="Aptos" w:hAnsi="Aptos"/>
        </w:rPr>
        <w:t xml:space="preserve">the </w:t>
      </w:r>
      <w:r w:rsidR="009134CB" w:rsidRPr="000B2AB8">
        <w:rPr>
          <w:rFonts w:ascii="Aptos" w:hAnsi="Aptos"/>
        </w:rPr>
        <w:t>Union #38</w:t>
      </w:r>
      <w:r w:rsidR="00DA69D0" w:rsidRPr="000B2AB8">
        <w:rPr>
          <w:rFonts w:ascii="Aptos" w:hAnsi="Aptos"/>
        </w:rPr>
        <w:t xml:space="preserve"> Public School District</w:t>
      </w:r>
      <w:r w:rsidR="009134CB" w:rsidRPr="000B2AB8">
        <w:rPr>
          <w:rFonts w:ascii="Aptos" w:hAnsi="Aptos"/>
        </w:rPr>
        <w:t>);</w:t>
      </w:r>
      <w:r w:rsidR="00A32950" w:rsidRPr="000B2AB8">
        <w:rPr>
          <w:rFonts w:ascii="Aptos" w:hAnsi="Aptos"/>
        </w:rPr>
        <w:t xml:space="preserve"> </w:t>
      </w:r>
      <w:r w:rsidR="00B225CB" w:rsidRPr="000B2AB8">
        <w:rPr>
          <w:rFonts w:ascii="Aptos" w:hAnsi="Aptos"/>
        </w:rPr>
        <w:t xml:space="preserve">the School Committee of Hampshire Regional High School; Superintendent Dr. Conor Driscoll for Hatfield Public Schools; </w:t>
      </w:r>
      <w:r w:rsidR="00A8026F" w:rsidRPr="000B2AB8">
        <w:rPr>
          <w:rFonts w:ascii="Aptos" w:hAnsi="Aptos"/>
        </w:rPr>
        <w:t xml:space="preserve">the </w:t>
      </w:r>
      <w:r w:rsidR="009134CB" w:rsidRPr="000B2AB8">
        <w:rPr>
          <w:rFonts w:ascii="Aptos" w:hAnsi="Aptos"/>
        </w:rPr>
        <w:t>Leverett Selectboard</w:t>
      </w:r>
      <w:r w:rsidR="00A32950" w:rsidRPr="000B2AB8">
        <w:rPr>
          <w:rFonts w:ascii="Aptos" w:hAnsi="Aptos"/>
        </w:rPr>
        <w:t>;</w:t>
      </w:r>
      <w:r w:rsidR="009134CB" w:rsidRPr="000B2AB8">
        <w:rPr>
          <w:rFonts w:ascii="Aptos" w:hAnsi="Aptos"/>
        </w:rPr>
        <w:t xml:space="preserve"> </w:t>
      </w:r>
      <w:r w:rsidR="00B225CB" w:rsidRPr="000B2AB8">
        <w:t xml:space="preserve">the </w:t>
      </w:r>
      <w:r w:rsidR="00B225CB" w:rsidRPr="000B2AB8">
        <w:rPr>
          <w:rFonts w:ascii="Aptos" w:hAnsi="Aptos"/>
        </w:rPr>
        <w:t>Northampton City Council; Northampton Mayor</w:t>
      </w:r>
      <w:r w:rsidR="00B225CB" w:rsidRPr="000B2AB8">
        <w:t xml:space="preserve"> </w:t>
      </w:r>
      <w:r w:rsidR="00B225CB" w:rsidRPr="000B2AB8">
        <w:rPr>
          <w:rFonts w:ascii="Aptos" w:hAnsi="Aptos"/>
        </w:rPr>
        <w:t xml:space="preserve">Gina-Louise Sciarra; the Northampton School Committee; the Northampton Association of School Employees; </w:t>
      </w:r>
      <w:r w:rsidR="00A8026F" w:rsidRPr="000B2AB8">
        <w:rPr>
          <w:rFonts w:ascii="Aptos" w:hAnsi="Aptos"/>
        </w:rPr>
        <w:t xml:space="preserve">the </w:t>
      </w:r>
      <w:r w:rsidR="009134CB" w:rsidRPr="000B2AB8">
        <w:rPr>
          <w:rFonts w:ascii="Aptos" w:hAnsi="Aptos"/>
        </w:rPr>
        <w:t>Westhampton Elementary School Committee</w:t>
      </w:r>
      <w:r w:rsidR="00A32950" w:rsidRPr="000B2AB8">
        <w:rPr>
          <w:rFonts w:ascii="Aptos" w:hAnsi="Aptos"/>
        </w:rPr>
        <w:t>;</w:t>
      </w:r>
      <w:r w:rsidR="009134CB" w:rsidRPr="000B2AB8">
        <w:rPr>
          <w:rFonts w:ascii="Aptos" w:hAnsi="Aptos"/>
        </w:rPr>
        <w:t xml:space="preserve"> </w:t>
      </w:r>
      <w:r w:rsidR="00E2414E" w:rsidRPr="000B2AB8">
        <w:rPr>
          <w:rFonts w:ascii="Aptos" w:hAnsi="Aptos"/>
        </w:rPr>
        <w:t>the</w:t>
      </w:r>
      <w:r w:rsidR="009134CB" w:rsidRPr="000B2AB8">
        <w:rPr>
          <w:rFonts w:ascii="Aptos" w:hAnsi="Aptos"/>
        </w:rPr>
        <w:t xml:space="preserve"> Williamsburg School Committee</w:t>
      </w:r>
      <w:r w:rsidR="004F19BD" w:rsidRPr="000B2AB8">
        <w:rPr>
          <w:rFonts w:ascii="Aptos" w:hAnsi="Aptos"/>
        </w:rPr>
        <w:t>;</w:t>
      </w:r>
      <w:r w:rsidR="009134CB" w:rsidRPr="000B2AB8">
        <w:rPr>
          <w:rFonts w:ascii="Aptos" w:hAnsi="Aptos"/>
        </w:rPr>
        <w:t xml:space="preserve"> </w:t>
      </w:r>
      <w:r w:rsidR="00F30C60" w:rsidRPr="000B2AB8">
        <w:t xml:space="preserve">and </w:t>
      </w:r>
      <w:r w:rsidR="005A0541" w:rsidRPr="000B2AB8">
        <w:t xml:space="preserve">ten </w:t>
      </w:r>
      <w:r w:rsidR="00476EEB" w:rsidRPr="000B2AB8">
        <w:t xml:space="preserve">community members, including </w:t>
      </w:r>
      <w:r w:rsidR="005A0541" w:rsidRPr="000B2AB8">
        <w:t>current and former</w:t>
      </w:r>
      <w:r w:rsidR="00F30C60" w:rsidRPr="000B2AB8">
        <w:t xml:space="preserve"> PVCICS parents submitted comment in opposition. </w:t>
      </w:r>
      <w:r w:rsidR="0089313F" w:rsidRPr="000B2AB8">
        <w:rPr>
          <w:rFonts w:cs="Calibri"/>
        </w:rPr>
        <w:t>Comment is attached.</w:t>
      </w:r>
    </w:p>
    <w:p w14:paraId="75CA9686" w14:textId="77777777" w:rsidR="00F30C60" w:rsidRPr="000B2AB8" w:rsidRDefault="00F30C60" w:rsidP="001D4DAA"/>
    <w:p w14:paraId="51BD0AAE" w14:textId="032D97C9" w:rsidR="00F30C60" w:rsidRPr="000B2AB8" w:rsidRDefault="00F30C60" w:rsidP="001D4DAA">
      <w:pPr>
        <w:rPr>
          <w:b/>
          <w:bCs/>
        </w:rPr>
      </w:pPr>
      <w:r w:rsidRPr="000B2AB8">
        <w:tab/>
      </w:r>
      <w:r w:rsidRPr="000B2AB8">
        <w:rPr>
          <w:b/>
          <w:bCs/>
        </w:rPr>
        <w:t>Recommendation</w:t>
      </w:r>
      <w:r w:rsidR="009F3E1E" w:rsidRPr="000B2AB8">
        <w:rPr>
          <w:b/>
          <w:bCs/>
        </w:rPr>
        <w:t xml:space="preserve"> for Approval with Conditions</w:t>
      </w:r>
    </w:p>
    <w:p w14:paraId="113DFFFC" w14:textId="77777777" w:rsidR="00F30C60" w:rsidRPr="000B2AB8" w:rsidRDefault="00F30C60" w:rsidP="001D4DAA"/>
    <w:p w14:paraId="60FDAB1A" w14:textId="3E145552" w:rsidR="00F87921" w:rsidRDefault="0084681B" w:rsidP="007867EF">
      <w:pPr>
        <w:rPr>
          <w:rFonts w:cs="Calibri"/>
        </w:rPr>
      </w:pPr>
      <w:r w:rsidRPr="000B2AB8">
        <w:rPr>
          <w:rFonts w:cs="Calibri"/>
        </w:rPr>
        <w:t xml:space="preserve">The school’s request is reasonable and consistent with the charter school statute and regulations. </w:t>
      </w:r>
      <w:r w:rsidR="00F30C60" w:rsidRPr="000B2AB8">
        <w:rPr>
          <w:rFonts w:cs="Calibri"/>
        </w:rPr>
        <w:t>Overall, the submitted amendment request, the renewal of the school’s charter in 2022, and the Department’s accountability records indicate that the school is a</w:t>
      </w:r>
      <w:r w:rsidR="004C6D16" w:rsidRPr="000B2AB8">
        <w:rPr>
          <w:rFonts w:cs="Calibri"/>
        </w:rPr>
        <w:t>n academic</w:t>
      </w:r>
      <w:r w:rsidR="00F30C60" w:rsidRPr="000B2AB8">
        <w:rPr>
          <w:rFonts w:cs="Calibri"/>
        </w:rPr>
        <w:t xml:space="preserve"> success</w:t>
      </w:r>
      <w:r w:rsidR="007867EF">
        <w:rPr>
          <w:rFonts w:cs="Calibri"/>
        </w:rPr>
        <w:t xml:space="preserve"> </w:t>
      </w:r>
      <w:r w:rsidR="00F30C60" w:rsidRPr="000B2AB8">
        <w:rPr>
          <w:rFonts w:cs="Calibri"/>
        </w:rPr>
        <w:t xml:space="preserve">and </w:t>
      </w:r>
      <w:r w:rsidR="004C6D16" w:rsidRPr="000B2AB8">
        <w:rPr>
          <w:rFonts w:cs="Calibri"/>
        </w:rPr>
        <w:t>is</w:t>
      </w:r>
      <w:r w:rsidR="00F30C60" w:rsidRPr="000B2AB8">
        <w:rPr>
          <w:rFonts w:cs="Calibri"/>
        </w:rPr>
        <w:t xml:space="preserve"> faithful to the terms of its charter. </w:t>
      </w:r>
      <w:r w:rsidR="007867EF" w:rsidRPr="000B2AB8">
        <w:rPr>
          <w:rFonts w:cs="Calibri"/>
        </w:rPr>
        <w:t>The Department has identified some concerns</w:t>
      </w:r>
      <w:r w:rsidR="007867EF">
        <w:rPr>
          <w:rFonts w:cs="Calibri"/>
        </w:rPr>
        <w:t xml:space="preserve"> within the area of organizational viability</w:t>
      </w:r>
      <w:r w:rsidR="007867EF" w:rsidRPr="000B2AB8">
        <w:rPr>
          <w:rFonts w:cs="Calibri"/>
        </w:rPr>
        <w:t xml:space="preserve"> regarding governance</w:t>
      </w:r>
      <w:r w:rsidR="007867EF">
        <w:rPr>
          <w:rFonts w:cs="Calibri"/>
        </w:rPr>
        <w:t xml:space="preserve"> and </w:t>
      </w:r>
      <w:r w:rsidR="006D3900">
        <w:rPr>
          <w:rFonts w:cs="Calibri"/>
        </w:rPr>
        <w:t xml:space="preserve">transportation </w:t>
      </w:r>
      <w:r w:rsidR="007867EF">
        <w:rPr>
          <w:rFonts w:cs="Calibri"/>
        </w:rPr>
        <w:t xml:space="preserve">planning for </w:t>
      </w:r>
      <w:r w:rsidR="006D3900">
        <w:rPr>
          <w:rFonts w:cs="Calibri"/>
        </w:rPr>
        <w:t>the enrollment increase</w:t>
      </w:r>
      <w:r w:rsidR="007867EF" w:rsidRPr="000B2AB8">
        <w:rPr>
          <w:rFonts w:cs="Calibri"/>
        </w:rPr>
        <w:t xml:space="preserve">. </w:t>
      </w:r>
    </w:p>
    <w:p w14:paraId="4494082E" w14:textId="49371996" w:rsidR="00021BB6" w:rsidRDefault="00021BB6" w:rsidP="007867EF">
      <w:pPr>
        <w:rPr>
          <w:rFonts w:cs="Calibri"/>
        </w:rPr>
      </w:pPr>
    </w:p>
    <w:p w14:paraId="26F3EB01" w14:textId="1B026F51" w:rsidR="007867EF" w:rsidRDefault="007867EF" w:rsidP="007867EF">
      <w:pPr>
        <w:rPr>
          <w:rFonts w:cs="Calibri"/>
        </w:rPr>
      </w:pPr>
      <w:r w:rsidRPr="000B2AB8">
        <w:rPr>
          <w:rFonts w:cs="Calibri"/>
        </w:rPr>
        <w:t xml:space="preserve">The PVCICS board of trustees received </w:t>
      </w:r>
      <w:r w:rsidR="00626891">
        <w:rPr>
          <w:rFonts w:cs="Calibri"/>
        </w:rPr>
        <w:t>an</w:t>
      </w:r>
      <w:r w:rsidR="00DE1757" w:rsidRPr="000B2AB8">
        <w:rPr>
          <w:rFonts w:cs="Calibri"/>
        </w:rPr>
        <w:t xml:space="preserve"> </w:t>
      </w:r>
      <w:r w:rsidRPr="000B2AB8">
        <w:rPr>
          <w:rFonts w:cs="Calibri"/>
        </w:rPr>
        <w:t xml:space="preserve">Open Meeting Law complaint related to </w:t>
      </w:r>
      <w:r w:rsidR="00DE1757">
        <w:rPr>
          <w:rFonts w:cs="Calibri"/>
        </w:rPr>
        <w:t xml:space="preserve">the </w:t>
      </w:r>
      <w:r w:rsidRPr="000B2AB8">
        <w:rPr>
          <w:rFonts w:cs="Calibri"/>
        </w:rPr>
        <w:t>board meeting held in September to approve the amendment request.</w:t>
      </w:r>
      <w:r>
        <w:rPr>
          <w:rStyle w:val="FootnoteReference"/>
          <w:rFonts w:cs="Calibri"/>
        </w:rPr>
        <w:footnoteReference w:id="23"/>
      </w:r>
      <w:r w:rsidRPr="000B2AB8">
        <w:rPr>
          <w:rFonts w:cs="Calibri"/>
        </w:rPr>
        <w:t xml:space="preserve"> The board repeated its error in a second meeting </w:t>
      </w:r>
      <w:r>
        <w:rPr>
          <w:rFonts w:cs="Calibri"/>
        </w:rPr>
        <w:t>held</w:t>
      </w:r>
      <w:r w:rsidR="00DE1757">
        <w:rPr>
          <w:rFonts w:cs="Calibri"/>
        </w:rPr>
        <w:t xml:space="preserve"> in November</w:t>
      </w:r>
      <w:r>
        <w:rPr>
          <w:rFonts w:cs="Calibri"/>
        </w:rPr>
        <w:t xml:space="preserve"> </w:t>
      </w:r>
      <w:r w:rsidRPr="000B2AB8">
        <w:rPr>
          <w:rFonts w:cs="Calibri"/>
        </w:rPr>
        <w:t xml:space="preserve">to address the </w:t>
      </w:r>
      <w:r>
        <w:rPr>
          <w:rFonts w:cs="Calibri"/>
        </w:rPr>
        <w:t xml:space="preserve">first Open Meeting Law </w:t>
      </w:r>
      <w:r w:rsidRPr="000B2AB8">
        <w:rPr>
          <w:rFonts w:cs="Calibri"/>
        </w:rPr>
        <w:t>complaint</w:t>
      </w:r>
      <w:r w:rsidR="004B2E1A">
        <w:rPr>
          <w:rFonts w:cs="Calibri"/>
        </w:rPr>
        <w:t>, resulting in a second</w:t>
      </w:r>
      <w:r w:rsidR="00D27B0C">
        <w:rPr>
          <w:rFonts w:cs="Calibri"/>
        </w:rPr>
        <w:t xml:space="preserve">, identical </w:t>
      </w:r>
      <w:r w:rsidR="004B2E1A">
        <w:rPr>
          <w:rFonts w:cs="Calibri"/>
        </w:rPr>
        <w:t>Open Meeting Law compla</w:t>
      </w:r>
      <w:r w:rsidR="00F35BCE">
        <w:rPr>
          <w:rFonts w:cs="Calibri"/>
        </w:rPr>
        <w:t>i</w:t>
      </w:r>
      <w:r w:rsidR="004B2E1A">
        <w:rPr>
          <w:rFonts w:cs="Calibri"/>
        </w:rPr>
        <w:t>nt</w:t>
      </w:r>
      <w:r w:rsidRPr="000B2AB8">
        <w:rPr>
          <w:rFonts w:cs="Calibri"/>
        </w:rPr>
        <w:t xml:space="preserve">. The board held a third meeting in December to correct its previous errors and to comply </w:t>
      </w:r>
      <w:r w:rsidR="00F35BCE">
        <w:rPr>
          <w:rFonts w:cs="Calibri"/>
        </w:rPr>
        <w:t xml:space="preserve">with the </w:t>
      </w:r>
      <w:r w:rsidRPr="000B2AB8">
        <w:rPr>
          <w:rFonts w:cs="Calibri"/>
        </w:rPr>
        <w:t xml:space="preserve"> Open Meeting Law. </w:t>
      </w:r>
    </w:p>
    <w:p w14:paraId="768B50AA" w14:textId="77777777" w:rsidR="007867EF" w:rsidRDefault="007867EF" w:rsidP="007867EF">
      <w:pPr>
        <w:rPr>
          <w:rFonts w:cs="Calibri"/>
        </w:rPr>
      </w:pPr>
    </w:p>
    <w:p w14:paraId="59A278A7" w14:textId="5B78420D" w:rsidR="007867EF" w:rsidRDefault="007867EF" w:rsidP="007867EF">
      <w:pPr>
        <w:rPr>
          <w:rFonts w:cs="Calibri"/>
        </w:rPr>
      </w:pPr>
      <w:r>
        <w:rPr>
          <w:rFonts w:cs="Calibri"/>
        </w:rPr>
        <w:t xml:space="preserve">In addition to concerns regarding the board’s knowledge of and compliance with Open Meeting Law requirements, the Department has </w:t>
      </w:r>
      <w:r w:rsidR="00130086">
        <w:rPr>
          <w:rFonts w:cs="Calibri"/>
        </w:rPr>
        <w:t xml:space="preserve">identified </w:t>
      </w:r>
      <w:r>
        <w:rPr>
          <w:rFonts w:cs="Calibri"/>
        </w:rPr>
        <w:t xml:space="preserve">concerns about the board’s ability to </w:t>
      </w:r>
      <w:r w:rsidRPr="006E19B8">
        <w:rPr>
          <w:rFonts w:cs="Calibri"/>
        </w:rPr>
        <w:t xml:space="preserve">provide oversight of the school and </w:t>
      </w:r>
      <w:r>
        <w:rPr>
          <w:rFonts w:cs="Calibri"/>
        </w:rPr>
        <w:t xml:space="preserve">to </w:t>
      </w:r>
      <w:r w:rsidRPr="006E19B8">
        <w:rPr>
          <w:rFonts w:cs="Calibri"/>
        </w:rPr>
        <w:t xml:space="preserve">hold </w:t>
      </w:r>
      <w:r>
        <w:rPr>
          <w:rFonts w:cs="Calibri"/>
        </w:rPr>
        <w:t xml:space="preserve">its </w:t>
      </w:r>
      <w:r w:rsidRPr="006E19B8">
        <w:rPr>
          <w:rFonts w:cs="Calibri"/>
        </w:rPr>
        <w:t>school leaders accountable.</w:t>
      </w:r>
      <w:r>
        <w:rPr>
          <w:rFonts w:cs="Calibri"/>
        </w:rPr>
        <w:t xml:space="preserve"> The Department held interviews with board and school leadership, and reviewed </w:t>
      </w:r>
      <w:r w:rsidR="00D070D8">
        <w:rPr>
          <w:rFonts w:cs="Calibri"/>
        </w:rPr>
        <w:t xml:space="preserve">board materials, including: </w:t>
      </w:r>
      <w:r>
        <w:rPr>
          <w:rFonts w:cs="Calibri"/>
        </w:rPr>
        <w:t xml:space="preserve">minutes of board meetings from April 2022 through September 2024, parent complaints submitted to the Department, and public comment provided by current and former PVCICS families. The Department </w:t>
      </w:r>
      <w:r w:rsidR="00BB3ACC">
        <w:rPr>
          <w:rFonts w:cs="Calibri"/>
        </w:rPr>
        <w:t xml:space="preserve">also </w:t>
      </w:r>
      <w:r>
        <w:rPr>
          <w:rFonts w:cs="Calibri"/>
        </w:rPr>
        <w:t xml:space="preserve">identified ongoing concerns regarding the board’s </w:t>
      </w:r>
      <w:r w:rsidRPr="00E52A68">
        <w:rPr>
          <w:rFonts w:cs="Calibri"/>
        </w:rPr>
        <w:t>knowledge about their role</w:t>
      </w:r>
      <w:r>
        <w:rPr>
          <w:rFonts w:cs="Calibri"/>
        </w:rPr>
        <w:t xml:space="preserve"> and</w:t>
      </w:r>
      <w:r w:rsidRPr="00E52A68">
        <w:rPr>
          <w:rFonts w:cs="Calibri"/>
        </w:rPr>
        <w:t xml:space="preserve"> responsibilities.</w:t>
      </w:r>
      <w:r>
        <w:rPr>
          <w:rFonts w:cs="Calibri"/>
        </w:rPr>
        <w:t xml:space="preserve"> To strengthen the quality of oversight provided by the board of trustees and their authority as the holder of the charter, the Department requires the board to self-assess its capacity, and engage in training in board responsibilities and Open Meeting Law requirements. </w:t>
      </w:r>
    </w:p>
    <w:p w14:paraId="48FB71EA" w14:textId="77777777" w:rsidR="007867EF" w:rsidRDefault="007867EF" w:rsidP="007867EF">
      <w:pPr>
        <w:rPr>
          <w:rFonts w:cs="Calibri"/>
        </w:rPr>
      </w:pPr>
    </w:p>
    <w:p w14:paraId="714DF047" w14:textId="20F70249" w:rsidR="007867EF" w:rsidRPr="000E1AF5" w:rsidRDefault="007867EF" w:rsidP="007867EF">
      <w:pPr>
        <w:rPr>
          <w:rFonts w:cs="Calibri"/>
        </w:rPr>
      </w:pPr>
      <w:r w:rsidRPr="000E1AF5">
        <w:rPr>
          <w:rFonts w:cs="Calibri"/>
        </w:rPr>
        <w:t>The Department recognizes the benefits of expanding access to regional charter schools through transportation services. Similar regional charter schools have expanded their transportation services during periods of enrollment increase. Regional charter schools with free regional transportation services, such as SSCPS, have demonstrated effectiveness in attracting and retaining a student population comparable to its sending districts. PVCICS has demonstrated</w:t>
      </w:r>
      <w:r w:rsidR="00A74FF3">
        <w:rPr>
          <w:rFonts w:cs="Calibri"/>
        </w:rPr>
        <w:t xml:space="preserve"> some</w:t>
      </w:r>
      <w:r w:rsidRPr="000E1AF5">
        <w:rPr>
          <w:rFonts w:cs="Calibri"/>
        </w:rPr>
        <w:t xml:space="preserve"> recent progress in increasing the enrollment of new students identified as low income, student with disabilities, and English learners. PVCICS has not </w:t>
      </w:r>
      <w:r w:rsidR="0046078F">
        <w:rPr>
          <w:rFonts w:cs="Calibri"/>
        </w:rPr>
        <w:t xml:space="preserve">exercised </w:t>
      </w:r>
      <w:r w:rsidR="005F5F64">
        <w:rPr>
          <w:rFonts w:cs="Calibri"/>
        </w:rPr>
        <w:t>additional</w:t>
      </w:r>
      <w:r w:rsidR="0046078F">
        <w:rPr>
          <w:rFonts w:cs="Calibri"/>
        </w:rPr>
        <w:t xml:space="preserve"> </w:t>
      </w:r>
      <w:r w:rsidR="008155BF">
        <w:rPr>
          <w:rFonts w:cs="Calibri"/>
        </w:rPr>
        <w:t xml:space="preserve">transportation </w:t>
      </w:r>
      <w:r w:rsidR="0046078F">
        <w:rPr>
          <w:rFonts w:cs="Calibri"/>
        </w:rPr>
        <w:t xml:space="preserve">options </w:t>
      </w:r>
      <w:r w:rsidRPr="000E1AF5">
        <w:rPr>
          <w:rFonts w:cs="Calibri"/>
        </w:rPr>
        <w:t xml:space="preserve">to strengthen equitable access for </w:t>
      </w:r>
      <w:r w:rsidR="005E5230">
        <w:rPr>
          <w:rFonts w:cs="Calibri"/>
        </w:rPr>
        <w:t xml:space="preserve">all </w:t>
      </w:r>
      <w:r w:rsidRPr="000E1AF5">
        <w:rPr>
          <w:rFonts w:cs="Calibri"/>
        </w:rPr>
        <w:t xml:space="preserve">families within its charter region. </w:t>
      </w:r>
    </w:p>
    <w:p w14:paraId="5607BE91" w14:textId="77777777" w:rsidR="007867EF" w:rsidRDefault="007867EF" w:rsidP="007867EF">
      <w:pPr>
        <w:rPr>
          <w:rFonts w:cs="Calibri"/>
        </w:rPr>
      </w:pPr>
    </w:p>
    <w:p w14:paraId="02269460" w14:textId="1ED621EB" w:rsidR="007867EF" w:rsidRPr="000B2AB8" w:rsidRDefault="007867EF" w:rsidP="007867EF">
      <w:pPr>
        <w:rPr>
          <w:rFonts w:cs="Calibri"/>
        </w:rPr>
      </w:pPr>
      <w:r w:rsidRPr="001F747B">
        <w:rPr>
          <w:rFonts w:cs="Calibri"/>
        </w:rPr>
        <w:t xml:space="preserve">In making my recommendation to grant additional seats to </w:t>
      </w:r>
      <w:r>
        <w:rPr>
          <w:rFonts w:cs="Calibri"/>
        </w:rPr>
        <w:t>PVCICS</w:t>
      </w:r>
      <w:r w:rsidRPr="001F747B">
        <w:rPr>
          <w:rFonts w:cs="Calibri"/>
        </w:rPr>
        <w:t xml:space="preserve">, I have considered the advantages of expansion, both for the school and for families and students in its region. I have evaluated the school’s request against the criteria for amendment requests, and I have taken into consideration the school’s performance. I have also considered how granting these seats conditionally will </w:t>
      </w:r>
      <w:r w:rsidR="00C21CE0">
        <w:rPr>
          <w:rFonts w:cs="Calibri"/>
        </w:rPr>
        <w:t xml:space="preserve">assist </w:t>
      </w:r>
      <w:r w:rsidRPr="001F747B">
        <w:rPr>
          <w:rFonts w:cs="Calibri"/>
        </w:rPr>
        <w:t xml:space="preserve">the </w:t>
      </w:r>
      <w:r>
        <w:rPr>
          <w:rFonts w:cs="Calibri"/>
        </w:rPr>
        <w:t xml:space="preserve">board of trustees to effectively oversee </w:t>
      </w:r>
      <w:r w:rsidR="00021BB6">
        <w:rPr>
          <w:rFonts w:cs="Calibri"/>
        </w:rPr>
        <w:t xml:space="preserve">the work of school leadership to </w:t>
      </w:r>
      <w:r>
        <w:rPr>
          <w:rFonts w:cs="Calibri"/>
        </w:rPr>
        <w:t>implement</w:t>
      </w:r>
      <w:r w:rsidR="00067917">
        <w:rPr>
          <w:rFonts w:cs="Calibri"/>
        </w:rPr>
        <w:t xml:space="preserve"> </w:t>
      </w:r>
      <w:r>
        <w:rPr>
          <w:rFonts w:cs="Calibri"/>
        </w:rPr>
        <w:t>the expansio</w:t>
      </w:r>
      <w:r w:rsidR="00067917">
        <w:rPr>
          <w:rFonts w:cs="Calibri"/>
        </w:rPr>
        <w:t>n</w:t>
      </w:r>
      <w:r w:rsidRPr="001F747B">
        <w:rPr>
          <w:rFonts w:cs="Calibri"/>
        </w:rPr>
        <w:t>. The board of trustees must address the issues that are the focus of these conditions irrespective of whether the amendment is granted</w:t>
      </w:r>
      <w:r w:rsidR="00E96D69">
        <w:rPr>
          <w:rFonts w:cs="Calibri"/>
        </w:rPr>
        <w:t>.</w:t>
      </w:r>
    </w:p>
    <w:p w14:paraId="0B41421A" w14:textId="77777777" w:rsidR="007867EF" w:rsidRDefault="007867EF" w:rsidP="00F30C60">
      <w:pPr>
        <w:rPr>
          <w:rFonts w:cs="Calibri"/>
        </w:rPr>
      </w:pPr>
    </w:p>
    <w:p w14:paraId="7DB28B48" w14:textId="36F4AC40" w:rsidR="00327061" w:rsidRDefault="00F30C60" w:rsidP="00F30C60">
      <w:pPr>
        <w:rPr>
          <w:rFonts w:cs="Calibri"/>
        </w:rPr>
      </w:pPr>
      <w:r w:rsidRPr="000B2AB8">
        <w:rPr>
          <w:rFonts w:cs="Calibri"/>
        </w:rPr>
        <w:t>I</w:t>
      </w:r>
      <w:r w:rsidR="00DD424A" w:rsidRPr="000B2AB8">
        <w:rPr>
          <w:rFonts w:cs="Calibri"/>
        </w:rPr>
        <w:t xml:space="preserve"> </w:t>
      </w:r>
      <w:r w:rsidRPr="000B2AB8">
        <w:rPr>
          <w:rFonts w:cs="Calibri"/>
        </w:rPr>
        <w:t>recommend that the Board approve the increase in enrollment to serve an additional 100 students</w:t>
      </w:r>
      <w:r w:rsidR="006865FD">
        <w:rPr>
          <w:rFonts w:cs="Calibri"/>
        </w:rPr>
        <w:t xml:space="preserve"> with the following conditions related to governance and </w:t>
      </w:r>
      <w:r w:rsidR="005B6867">
        <w:rPr>
          <w:rFonts w:cs="Calibri"/>
        </w:rPr>
        <w:t>transportation</w:t>
      </w:r>
      <w:r w:rsidR="00A244A6">
        <w:rPr>
          <w:rFonts w:cs="Calibri"/>
        </w:rPr>
        <w:t xml:space="preserve"> planning</w:t>
      </w:r>
      <w:r w:rsidRPr="000B2AB8">
        <w:rPr>
          <w:rFonts w:cs="Calibri"/>
        </w:rPr>
        <w:t>. If the Board votes to grant PVCI</w:t>
      </w:r>
      <w:r w:rsidR="51F36A8E" w:rsidRPr="000B2AB8">
        <w:rPr>
          <w:rFonts w:cs="Calibri"/>
        </w:rPr>
        <w:t>CS</w:t>
      </w:r>
      <w:r w:rsidRPr="000B2AB8">
        <w:rPr>
          <w:rFonts w:cs="Calibri"/>
        </w:rPr>
        <w:t xml:space="preserve">’s request, the school will serve students in grades K-12 with a maximum enrollment of </w:t>
      </w:r>
      <w:r w:rsidR="007856D2" w:rsidRPr="000B2AB8">
        <w:rPr>
          <w:rFonts w:cs="Calibri"/>
        </w:rPr>
        <w:t>684</w:t>
      </w:r>
      <w:r w:rsidRPr="000B2AB8">
        <w:rPr>
          <w:rFonts w:cs="Calibri"/>
        </w:rPr>
        <w:t xml:space="preserve"> students. </w:t>
      </w:r>
      <w:r w:rsidR="00A244A6" w:rsidRPr="00A244A6">
        <w:rPr>
          <w:rFonts w:cs="Calibri"/>
        </w:rPr>
        <w:t xml:space="preserve">I recommend that the following conditions be included as part of the </w:t>
      </w:r>
      <w:r w:rsidR="00A244A6">
        <w:rPr>
          <w:rFonts w:cs="Calibri"/>
        </w:rPr>
        <w:t xml:space="preserve">approval of the </w:t>
      </w:r>
      <w:r w:rsidR="00A244A6" w:rsidRPr="00A244A6">
        <w:rPr>
          <w:rFonts w:cs="Calibri"/>
        </w:rPr>
        <w:t>school’s charter</w:t>
      </w:r>
      <w:r w:rsidR="00A244A6">
        <w:rPr>
          <w:rFonts w:cs="Calibri"/>
        </w:rPr>
        <w:t xml:space="preserve"> amendment</w:t>
      </w:r>
      <w:r w:rsidR="00A244A6" w:rsidRPr="00A244A6">
        <w:rPr>
          <w:rFonts w:cs="Calibri"/>
        </w:rPr>
        <w:t>:</w:t>
      </w:r>
    </w:p>
    <w:p w14:paraId="5BC32C8F" w14:textId="77777777" w:rsidR="00327061" w:rsidRDefault="00327061" w:rsidP="00F30C60">
      <w:pPr>
        <w:rPr>
          <w:rFonts w:cs="Calibri"/>
        </w:rPr>
      </w:pPr>
    </w:p>
    <w:p w14:paraId="7D9F21CA" w14:textId="3F6F8B50" w:rsidR="00327061" w:rsidRPr="00626891" w:rsidRDefault="00327061" w:rsidP="00F9165C">
      <w:pPr>
        <w:pStyle w:val="ListParagraph"/>
        <w:numPr>
          <w:ilvl w:val="0"/>
          <w:numId w:val="20"/>
        </w:numPr>
      </w:pPr>
      <w:r w:rsidRPr="00E2762D">
        <w:t>By June 2, 2025, the board of trustees of Pioneer Valley Chinese Immersion Charter School will engage in a comprehensive self-evaluation of its capacity and expertise, taking into consideration current term limits for existing board members, possible recruitment of additional members with needed expertise, and staggering trustee terms to ensure board viability during transitions in membership. The board of trustees will submit</w:t>
      </w:r>
      <w:r w:rsidR="00876F4D" w:rsidRPr="00E2762D">
        <w:t xml:space="preserve"> any</w:t>
      </w:r>
      <w:r w:rsidRPr="00E2762D">
        <w:t xml:space="preserve"> proposed bylaw amendments, as necessary, </w:t>
      </w:r>
      <w:r w:rsidR="00F9165C" w:rsidRPr="00E2762D">
        <w:t xml:space="preserve">to the Department, </w:t>
      </w:r>
      <w:hyperlink r:id="rId28" w:history="1">
        <w:r w:rsidR="00F9165C" w:rsidRPr="00E2762D">
          <w:rPr>
            <w:rStyle w:val="Hyperlink"/>
          </w:rPr>
          <w:t>charterschools@mass.gov</w:t>
        </w:r>
      </w:hyperlink>
      <w:r w:rsidR="00F9165C" w:rsidRPr="00E2762D">
        <w:t xml:space="preserve">, </w:t>
      </w:r>
      <w:r w:rsidR="005B186F" w:rsidRPr="00E2762D">
        <w:t>by</w:t>
      </w:r>
      <w:r w:rsidR="005B186F">
        <w:t xml:space="preserve"> October 31</w:t>
      </w:r>
      <w:r w:rsidR="005B186F" w:rsidRPr="00626891">
        <w:t>, 2025</w:t>
      </w:r>
      <w:r w:rsidR="005B186F">
        <w:t xml:space="preserve"> </w:t>
      </w:r>
      <w:r w:rsidRPr="00E2762D">
        <w:t>for approval</w:t>
      </w:r>
      <w:r w:rsidRPr="00626891">
        <w:t>.</w:t>
      </w:r>
    </w:p>
    <w:p w14:paraId="5CE0304D" w14:textId="77777777" w:rsidR="00327061" w:rsidRPr="004F41FF" w:rsidRDefault="00327061" w:rsidP="00327061">
      <w:pPr>
        <w:ind w:left="720"/>
      </w:pPr>
    </w:p>
    <w:p w14:paraId="0DBFB0F3" w14:textId="10486C9B" w:rsidR="00327061" w:rsidRPr="004F41FF" w:rsidRDefault="00327061" w:rsidP="00090DBC">
      <w:pPr>
        <w:pStyle w:val="ListParagraph"/>
        <w:numPr>
          <w:ilvl w:val="0"/>
          <w:numId w:val="20"/>
        </w:numPr>
      </w:pPr>
      <w:r w:rsidRPr="004F41FF">
        <w:t>By August 29, 2025, the board of trustees of Pioneer Valley Chinese Immersion Charter School will engage in training, conducted by an external consultant on the roles and responsibilities of a board of trustees of a charter school. Such consultant and the substance of the training must be submitted to and approved in advance by the Department</w:t>
      </w:r>
      <w:r w:rsidR="002078FB">
        <w:t>.</w:t>
      </w:r>
      <w:r w:rsidR="00090DBC">
        <w:t xml:space="preserve"> In addition, al</w:t>
      </w:r>
      <w:r w:rsidRPr="004F41FF">
        <w:t xml:space="preserve">l members of the board of trustees must participate in training on the </w:t>
      </w:r>
      <w:hyperlink r:id="rId29" w:history="1">
        <w:r w:rsidRPr="004F41FF">
          <w:rPr>
            <w:rStyle w:val="Hyperlink"/>
          </w:rPr>
          <w:t>Open Meeting Law</w:t>
        </w:r>
      </w:hyperlink>
      <w:r w:rsidRPr="004F41FF">
        <w:t xml:space="preserve"> as offered by the Office of the Attorney General</w:t>
      </w:r>
      <w:r w:rsidR="00090DBC">
        <w:t xml:space="preserve">, </w:t>
      </w:r>
      <w:r w:rsidR="007B522F">
        <w:t xml:space="preserve">and provide confirmation of </w:t>
      </w:r>
      <w:r w:rsidR="002861E2">
        <w:t xml:space="preserve">participation, </w:t>
      </w:r>
      <w:r w:rsidR="00090DBC">
        <w:t>no later than March 31, 2025</w:t>
      </w:r>
      <w:r w:rsidRPr="004F41FF">
        <w:t xml:space="preserve">. </w:t>
      </w:r>
    </w:p>
    <w:p w14:paraId="0DF40F54" w14:textId="77777777" w:rsidR="00327061" w:rsidRPr="004F41FF" w:rsidRDefault="00327061" w:rsidP="00327061">
      <w:pPr>
        <w:ind w:left="720"/>
      </w:pPr>
    </w:p>
    <w:p w14:paraId="66FCD411" w14:textId="1CD8458F" w:rsidR="00327061" w:rsidRPr="004F41FF" w:rsidRDefault="00327061" w:rsidP="00F9165C">
      <w:pPr>
        <w:pStyle w:val="ListParagraph"/>
        <w:numPr>
          <w:ilvl w:val="0"/>
          <w:numId w:val="20"/>
        </w:numPr>
      </w:pPr>
      <w:r w:rsidRPr="004F41FF">
        <w:t xml:space="preserve">By </w:t>
      </w:r>
      <w:r w:rsidR="002078FB">
        <w:t>December 31</w:t>
      </w:r>
      <w:r w:rsidRPr="004F41FF">
        <w:t>, 202</w:t>
      </w:r>
      <w:r w:rsidR="002078FB">
        <w:t>5</w:t>
      </w:r>
      <w:r w:rsidRPr="004F41FF">
        <w:t xml:space="preserve">, the board of trustees of Pioneer Valley Chinese Immersion Charter School will submit a plan to implement a cost-effective regional transportation plan </w:t>
      </w:r>
      <w:r w:rsidRPr="0098611C">
        <w:t>that is eligible for state reimbursement</w:t>
      </w:r>
      <w:r w:rsidRPr="00944318">
        <w:t>.</w:t>
      </w:r>
      <w:r w:rsidRPr="004F41FF">
        <w:t xml:space="preserve"> In formulating this plan, the board of trustees must consider historical trends in enrollment, attendance, and attrition</w:t>
      </w:r>
      <w:r>
        <w:t xml:space="preserve">, in addition to any </w:t>
      </w:r>
      <w:r w:rsidR="00B9469C">
        <w:t xml:space="preserve">current </w:t>
      </w:r>
      <w:r w:rsidRPr="00694A27">
        <w:t>disparities in enrollment, retention, and/or attrition</w:t>
      </w:r>
      <w:r>
        <w:t xml:space="preserve">.  </w:t>
      </w:r>
    </w:p>
    <w:p w14:paraId="0EEBA161" w14:textId="77777777" w:rsidR="00327061" w:rsidRDefault="00327061" w:rsidP="00F30C60">
      <w:pPr>
        <w:rPr>
          <w:rFonts w:cs="Calibri"/>
        </w:rPr>
      </w:pPr>
    </w:p>
    <w:p w14:paraId="2AFF88C8" w14:textId="177D0A34" w:rsidR="00536529" w:rsidRDefault="00F30C60" w:rsidP="6F8A0F96">
      <w:r w:rsidRPr="000B2AB8">
        <w:rPr>
          <w:rFonts w:cs="Calibri"/>
        </w:rPr>
        <w:t>A motion for approval is attached for your consideration.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46"/>
        <w:gridCol w:w="2293"/>
        <w:gridCol w:w="1221"/>
        <w:gridCol w:w="3590"/>
      </w:tblGrid>
      <w:tr w:rsidR="00317667" w:rsidRPr="000B2AB8" w14:paraId="7EA71319" w14:textId="77777777" w:rsidTr="00D05B02">
        <w:trPr>
          <w:trHeight w:val="432"/>
        </w:trPr>
        <w:tc>
          <w:tcPr>
            <w:tcW w:w="5000" w:type="pct"/>
            <w:gridSpan w:val="4"/>
            <w:shd w:val="clear" w:color="auto" w:fill="A6A6A6" w:themeFill="background1" w:themeFillShade="A6"/>
            <w:vAlign w:val="center"/>
            <w:hideMark/>
          </w:tcPr>
          <w:p w14:paraId="328DA2B0" w14:textId="188E6D30" w:rsidR="00317667" w:rsidRPr="000B2AB8" w:rsidRDefault="00317667" w:rsidP="00D05B02">
            <w:pPr>
              <w:ind w:left="90"/>
              <w:textAlignment w:val="baseline"/>
              <w:rPr>
                <w:rFonts w:eastAsia="Times New Roman" w:cs="Calibri"/>
                <w:b/>
                <w:bCs/>
                <w:sz w:val="28"/>
                <w:szCs w:val="28"/>
              </w:rPr>
            </w:pPr>
            <w:r w:rsidRPr="000B2AB8">
              <w:rPr>
                <w:rFonts w:eastAsia="Times New Roman" w:cs="Calibri"/>
                <w:b/>
                <w:bCs/>
                <w:sz w:val="32"/>
                <w:szCs w:val="32"/>
              </w:rPr>
              <w:t>South Shore Charter Public School</w:t>
            </w:r>
          </w:p>
        </w:tc>
      </w:tr>
      <w:tr w:rsidR="005E53BB" w:rsidRPr="000B2AB8" w14:paraId="40855E48" w14:textId="77777777" w:rsidTr="00694EF2">
        <w:trPr>
          <w:trHeight w:val="315"/>
        </w:trPr>
        <w:tc>
          <w:tcPr>
            <w:tcW w:w="1201" w:type="pct"/>
            <w:shd w:val="clear" w:color="auto" w:fill="F2F2F2" w:themeFill="background1" w:themeFillShade="F2"/>
            <w:vAlign w:val="center"/>
            <w:hideMark/>
          </w:tcPr>
          <w:p w14:paraId="6A94AC20" w14:textId="77777777" w:rsidR="005E53BB" w:rsidRPr="000B2AB8" w:rsidRDefault="005E53BB" w:rsidP="00D05B02">
            <w:pPr>
              <w:ind w:left="75" w:firstLine="15"/>
              <w:textAlignment w:val="baseline"/>
              <w:rPr>
                <w:rFonts w:eastAsia="Times New Roman" w:cs="Times New Roman"/>
                <w:sz w:val="20"/>
                <w:szCs w:val="20"/>
              </w:rPr>
            </w:pPr>
            <w:r w:rsidRPr="000B2AB8">
              <w:rPr>
                <w:rFonts w:eastAsia="Times New Roman" w:cs="Calibri"/>
                <w:b/>
                <w:sz w:val="20"/>
                <w:szCs w:val="20"/>
              </w:rPr>
              <w:t>Type of Charter</w:t>
            </w:r>
          </w:p>
        </w:tc>
        <w:tc>
          <w:tcPr>
            <w:tcW w:w="1226" w:type="pct"/>
            <w:shd w:val="clear" w:color="auto" w:fill="auto"/>
            <w:vAlign w:val="center"/>
            <w:hideMark/>
          </w:tcPr>
          <w:p w14:paraId="649C462D" w14:textId="77777777" w:rsidR="005E53BB" w:rsidRPr="000B2AB8" w:rsidRDefault="005E53BB" w:rsidP="00D05B02">
            <w:pPr>
              <w:ind w:left="90" w:hanging="15"/>
              <w:textAlignment w:val="baseline"/>
              <w:rPr>
                <w:rFonts w:eastAsia="Times New Roman" w:cs="Times New Roman"/>
                <w:sz w:val="20"/>
                <w:szCs w:val="20"/>
              </w:rPr>
            </w:pPr>
            <w:r w:rsidRPr="000B2AB8">
              <w:rPr>
                <w:rFonts w:eastAsia="Times New Roman" w:cs="Calibri"/>
                <w:color w:val="000000"/>
                <w:sz w:val="20"/>
                <w:szCs w:val="20"/>
              </w:rPr>
              <w:t>Commonwealth</w:t>
            </w:r>
          </w:p>
        </w:tc>
        <w:tc>
          <w:tcPr>
            <w:tcW w:w="653" w:type="pct"/>
            <w:vMerge w:val="restart"/>
            <w:tcBorders>
              <w:right w:val="single" w:sz="4" w:space="0" w:color="auto"/>
            </w:tcBorders>
            <w:shd w:val="clear" w:color="auto" w:fill="F2F2F2" w:themeFill="background1" w:themeFillShade="F2"/>
            <w:vAlign w:val="center"/>
            <w:hideMark/>
          </w:tcPr>
          <w:p w14:paraId="5A3D2488" w14:textId="17486B9A" w:rsidR="005E53BB" w:rsidRPr="000B2AB8" w:rsidRDefault="005E53BB" w:rsidP="000A1BF4">
            <w:pPr>
              <w:ind w:left="90"/>
              <w:jc w:val="center"/>
              <w:textAlignment w:val="baseline"/>
              <w:rPr>
                <w:rFonts w:eastAsia="Times New Roman" w:cs="Times New Roman"/>
                <w:sz w:val="20"/>
                <w:szCs w:val="20"/>
              </w:rPr>
            </w:pPr>
            <w:r w:rsidRPr="000B2AB8">
              <w:rPr>
                <w:rFonts w:eastAsia="Times New Roman" w:cs="Calibri"/>
                <w:b/>
                <w:sz w:val="20"/>
                <w:szCs w:val="20"/>
              </w:rPr>
              <w:t>Charter Region</w:t>
            </w:r>
          </w:p>
        </w:tc>
        <w:tc>
          <w:tcPr>
            <w:tcW w:w="1920" w:type="pct"/>
            <w:vMerge w:val="restart"/>
            <w:tcBorders>
              <w:top w:val="single" w:sz="4" w:space="0" w:color="auto"/>
              <w:left w:val="single" w:sz="4" w:space="0" w:color="auto"/>
              <w:right w:val="single" w:sz="4" w:space="0" w:color="auto"/>
            </w:tcBorders>
            <w:vAlign w:val="center"/>
          </w:tcPr>
          <w:p w14:paraId="76AF5CBB" w14:textId="68A4E1D4" w:rsidR="005E53BB" w:rsidRPr="000B2AB8" w:rsidRDefault="005E53BB" w:rsidP="000A1BF4">
            <w:pPr>
              <w:ind w:left="130"/>
              <w:textAlignment w:val="baseline"/>
              <w:rPr>
                <w:rFonts w:eastAsia="Times New Roman" w:cs="Times New Roman"/>
                <w:sz w:val="20"/>
                <w:szCs w:val="20"/>
              </w:rPr>
            </w:pPr>
            <w:r w:rsidRPr="000B2AB8">
              <w:rPr>
                <w:rFonts w:ascii="Calibri" w:eastAsia="Calibri" w:hAnsi="Calibri" w:cs="Calibri"/>
                <w:color w:val="000000" w:themeColor="text1"/>
                <w:sz w:val="20"/>
              </w:rPr>
              <w:t>Abington, Braintree, Brockton, Cohasset, Duxbury, East Bridgewater, Halifax, Hanover, Hingham, Holbrook, Hull, Kingston, Marshfield, Norwell, Pembroke, Plymouth, Plympton, Quincy, Randolph, Rockland, Scituate, Weymouth, Whitman-Hanson</w:t>
            </w:r>
          </w:p>
        </w:tc>
      </w:tr>
      <w:tr w:rsidR="005E53BB" w:rsidRPr="000B2AB8" w14:paraId="2AE8BFF1" w14:textId="77777777" w:rsidTr="00694EF2">
        <w:trPr>
          <w:trHeight w:val="315"/>
        </w:trPr>
        <w:tc>
          <w:tcPr>
            <w:tcW w:w="1201" w:type="pct"/>
            <w:shd w:val="clear" w:color="auto" w:fill="F2F2F2" w:themeFill="background1" w:themeFillShade="F2"/>
            <w:vAlign w:val="center"/>
          </w:tcPr>
          <w:p w14:paraId="577EBCCF" w14:textId="77777777" w:rsidR="005E53BB" w:rsidRPr="000B2AB8" w:rsidRDefault="005E53BB" w:rsidP="00D05B02">
            <w:pPr>
              <w:ind w:left="75" w:firstLine="15"/>
              <w:textAlignment w:val="baseline"/>
              <w:rPr>
                <w:rFonts w:eastAsia="Times New Roman" w:cs="Calibri"/>
                <w:b/>
                <w:sz w:val="20"/>
                <w:szCs w:val="20"/>
              </w:rPr>
            </w:pPr>
            <w:r w:rsidRPr="000B2AB8">
              <w:rPr>
                <w:rFonts w:eastAsia="Times New Roman" w:cs="Calibri"/>
                <w:b/>
                <w:sz w:val="20"/>
                <w:szCs w:val="20"/>
              </w:rPr>
              <w:t>Location</w:t>
            </w:r>
          </w:p>
        </w:tc>
        <w:tc>
          <w:tcPr>
            <w:tcW w:w="1226" w:type="pct"/>
            <w:shd w:val="clear" w:color="auto" w:fill="auto"/>
            <w:vAlign w:val="center"/>
          </w:tcPr>
          <w:p w14:paraId="341E2412" w14:textId="40125D0B" w:rsidR="005E53BB" w:rsidRPr="000B2AB8" w:rsidRDefault="005E53BB" w:rsidP="00D05B02">
            <w:pPr>
              <w:ind w:left="90" w:hanging="15"/>
              <w:textAlignment w:val="baseline"/>
              <w:rPr>
                <w:rFonts w:eastAsia="Times New Roman" w:cs="Calibri"/>
                <w:color w:val="000000"/>
                <w:sz w:val="20"/>
                <w:szCs w:val="20"/>
              </w:rPr>
            </w:pPr>
            <w:r w:rsidRPr="000B2AB8">
              <w:rPr>
                <w:rFonts w:eastAsia="Times New Roman" w:cs="Calibri"/>
                <w:color w:val="000000"/>
                <w:sz w:val="20"/>
                <w:szCs w:val="20"/>
              </w:rPr>
              <w:t>Norwell</w:t>
            </w:r>
          </w:p>
        </w:tc>
        <w:tc>
          <w:tcPr>
            <w:tcW w:w="653" w:type="pct"/>
            <w:vMerge/>
            <w:tcBorders>
              <w:right w:val="single" w:sz="4" w:space="0" w:color="auto"/>
            </w:tcBorders>
            <w:shd w:val="clear" w:color="auto" w:fill="F2F2F2" w:themeFill="background1" w:themeFillShade="F2"/>
            <w:vAlign w:val="center"/>
          </w:tcPr>
          <w:p w14:paraId="035A9C56" w14:textId="5D86BF58" w:rsidR="005E53BB" w:rsidRPr="000B2AB8" w:rsidRDefault="005E53BB" w:rsidP="00FA2D31">
            <w:pPr>
              <w:ind w:left="90"/>
              <w:textAlignment w:val="baseline"/>
              <w:rPr>
                <w:rFonts w:eastAsia="Times New Roman" w:cs="Calibri"/>
                <w:b/>
                <w:bCs/>
                <w:sz w:val="20"/>
                <w:szCs w:val="20"/>
              </w:rPr>
            </w:pPr>
          </w:p>
        </w:tc>
        <w:tc>
          <w:tcPr>
            <w:tcW w:w="1920" w:type="pct"/>
            <w:vMerge/>
            <w:tcBorders>
              <w:left w:val="single" w:sz="4" w:space="0" w:color="auto"/>
              <w:right w:val="single" w:sz="4" w:space="0" w:color="auto"/>
            </w:tcBorders>
          </w:tcPr>
          <w:p w14:paraId="462C41E5" w14:textId="539F1440" w:rsidR="005E53BB" w:rsidRPr="000B2AB8" w:rsidRDefault="005E53BB" w:rsidP="00FA2D31">
            <w:pPr>
              <w:ind w:left="135"/>
              <w:textAlignment w:val="baseline"/>
              <w:rPr>
                <w:rFonts w:eastAsia="Times New Roman" w:cs="Times New Roman"/>
                <w:sz w:val="20"/>
                <w:szCs w:val="20"/>
              </w:rPr>
            </w:pPr>
          </w:p>
        </w:tc>
      </w:tr>
      <w:tr w:rsidR="005E53BB" w:rsidRPr="000B2AB8" w14:paraId="7C0ECA83" w14:textId="77777777" w:rsidTr="00694EF2">
        <w:trPr>
          <w:trHeight w:val="315"/>
        </w:trPr>
        <w:tc>
          <w:tcPr>
            <w:tcW w:w="1201" w:type="pct"/>
            <w:shd w:val="clear" w:color="auto" w:fill="F2F2F2" w:themeFill="background1" w:themeFillShade="F2"/>
            <w:vAlign w:val="center"/>
          </w:tcPr>
          <w:p w14:paraId="3E183A8C" w14:textId="77777777" w:rsidR="005E53BB" w:rsidRPr="000B2AB8" w:rsidRDefault="005E53BB" w:rsidP="00D05B02">
            <w:pPr>
              <w:ind w:left="75" w:firstLine="15"/>
              <w:textAlignment w:val="baseline"/>
              <w:rPr>
                <w:rFonts w:eastAsia="Times New Roman" w:cs="Calibri"/>
                <w:b/>
                <w:sz w:val="20"/>
                <w:szCs w:val="20"/>
              </w:rPr>
            </w:pPr>
            <w:r w:rsidRPr="000B2AB8">
              <w:rPr>
                <w:rFonts w:eastAsia="Times New Roman" w:cs="Calibri"/>
                <w:b/>
                <w:sz w:val="20"/>
                <w:szCs w:val="20"/>
              </w:rPr>
              <w:t>Year Opened</w:t>
            </w:r>
          </w:p>
        </w:tc>
        <w:tc>
          <w:tcPr>
            <w:tcW w:w="1226" w:type="pct"/>
            <w:shd w:val="clear" w:color="auto" w:fill="auto"/>
            <w:vAlign w:val="center"/>
          </w:tcPr>
          <w:p w14:paraId="428AD6F7" w14:textId="65B7852D" w:rsidR="005E53BB" w:rsidRPr="000B2AB8" w:rsidRDefault="005E53BB" w:rsidP="00D05B02">
            <w:pPr>
              <w:ind w:left="90" w:hanging="15"/>
              <w:textAlignment w:val="baseline"/>
              <w:rPr>
                <w:rFonts w:eastAsia="Times New Roman" w:cs="Calibri"/>
                <w:color w:val="000000"/>
                <w:sz w:val="20"/>
                <w:szCs w:val="20"/>
              </w:rPr>
            </w:pPr>
            <w:r w:rsidRPr="000B2AB8">
              <w:rPr>
                <w:rFonts w:eastAsia="Times New Roman" w:cs="Times New Roman"/>
                <w:sz w:val="20"/>
                <w:szCs w:val="20"/>
              </w:rPr>
              <w:t>1995</w:t>
            </w:r>
          </w:p>
        </w:tc>
        <w:tc>
          <w:tcPr>
            <w:tcW w:w="653" w:type="pct"/>
            <w:vMerge/>
            <w:tcBorders>
              <w:right w:val="single" w:sz="4" w:space="0" w:color="auto"/>
            </w:tcBorders>
            <w:shd w:val="clear" w:color="auto" w:fill="F2F2F2" w:themeFill="background1" w:themeFillShade="F2"/>
            <w:vAlign w:val="center"/>
          </w:tcPr>
          <w:p w14:paraId="63658DDB" w14:textId="730A39CF" w:rsidR="005E53BB" w:rsidRPr="000B2AB8" w:rsidRDefault="005E53BB" w:rsidP="00FA2D31">
            <w:pPr>
              <w:ind w:left="90"/>
              <w:textAlignment w:val="baseline"/>
              <w:rPr>
                <w:rFonts w:eastAsia="Times New Roman" w:cs="Calibri"/>
                <w:b/>
                <w:bCs/>
                <w:sz w:val="20"/>
                <w:szCs w:val="20"/>
              </w:rPr>
            </w:pPr>
          </w:p>
        </w:tc>
        <w:tc>
          <w:tcPr>
            <w:tcW w:w="1920" w:type="pct"/>
            <w:vMerge/>
            <w:tcBorders>
              <w:left w:val="single" w:sz="4" w:space="0" w:color="auto"/>
              <w:right w:val="single" w:sz="4" w:space="0" w:color="auto"/>
            </w:tcBorders>
          </w:tcPr>
          <w:p w14:paraId="49FFF961" w14:textId="39705499" w:rsidR="005E53BB" w:rsidRPr="000B2AB8" w:rsidRDefault="005E53BB" w:rsidP="00FA2D31">
            <w:pPr>
              <w:ind w:left="135"/>
              <w:textAlignment w:val="baseline"/>
              <w:rPr>
                <w:rFonts w:eastAsia="Times New Roman" w:cs="Times New Roman"/>
                <w:sz w:val="20"/>
                <w:szCs w:val="20"/>
              </w:rPr>
            </w:pPr>
          </w:p>
        </w:tc>
      </w:tr>
      <w:tr w:rsidR="005E53BB" w:rsidRPr="000B2AB8" w14:paraId="625FB1A8" w14:textId="77777777" w:rsidTr="00694EF2">
        <w:trPr>
          <w:trHeight w:val="315"/>
        </w:trPr>
        <w:tc>
          <w:tcPr>
            <w:tcW w:w="1201" w:type="pct"/>
            <w:shd w:val="clear" w:color="auto" w:fill="F2F2F2" w:themeFill="background1" w:themeFillShade="F2"/>
            <w:vAlign w:val="center"/>
          </w:tcPr>
          <w:p w14:paraId="5E7C0058" w14:textId="77777777" w:rsidR="005E53BB" w:rsidRPr="000B2AB8" w:rsidRDefault="005E53BB" w:rsidP="00D05B02">
            <w:pPr>
              <w:ind w:left="75" w:firstLine="15"/>
              <w:textAlignment w:val="baseline"/>
              <w:rPr>
                <w:rFonts w:eastAsia="Times New Roman" w:cs="Times New Roman"/>
                <w:sz w:val="20"/>
                <w:szCs w:val="20"/>
              </w:rPr>
            </w:pPr>
            <w:r w:rsidRPr="000B2AB8">
              <w:rPr>
                <w:rFonts w:eastAsia="Times New Roman" w:cs="Calibri"/>
                <w:b/>
                <w:sz w:val="20"/>
                <w:szCs w:val="20"/>
              </w:rPr>
              <w:t>Year(s) Renewed</w:t>
            </w:r>
          </w:p>
        </w:tc>
        <w:tc>
          <w:tcPr>
            <w:tcW w:w="1226" w:type="pct"/>
            <w:shd w:val="clear" w:color="auto" w:fill="auto"/>
            <w:vAlign w:val="center"/>
          </w:tcPr>
          <w:p w14:paraId="56261A71" w14:textId="6C4A936D" w:rsidR="005E53BB" w:rsidRPr="000B2AB8" w:rsidRDefault="005E53BB" w:rsidP="00D05B02">
            <w:pPr>
              <w:ind w:left="90" w:hanging="15"/>
              <w:textAlignment w:val="baseline"/>
              <w:rPr>
                <w:rFonts w:eastAsia="Times New Roman" w:cs="Times New Roman"/>
                <w:sz w:val="20"/>
                <w:szCs w:val="20"/>
              </w:rPr>
            </w:pPr>
            <w:r w:rsidRPr="000B2AB8">
              <w:rPr>
                <w:rFonts w:eastAsia="Times New Roman" w:cs="Calibri"/>
                <w:sz w:val="20"/>
                <w:szCs w:val="20"/>
              </w:rPr>
              <w:t>2000, 2005, 2010, 2015, 2020</w:t>
            </w:r>
          </w:p>
        </w:tc>
        <w:tc>
          <w:tcPr>
            <w:tcW w:w="653" w:type="pct"/>
            <w:vMerge/>
            <w:tcBorders>
              <w:right w:val="single" w:sz="4" w:space="0" w:color="auto"/>
            </w:tcBorders>
            <w:shd w:val="clear" w:color="auto" w:fill="F2F2F2" w:themeFill="background1" w:themeFillShade="F2"/>
            <w:vAlign w:val="center"/>
            <w:hideMark/>
          </w:tcPr>
          <w:p w14:paraId="0ED13F2A" w14:textId="45080754" w:rsidR="005E53BB" w:rsidRPr="000B2AB8" w:rsidRDefault="005E53BB" w:rsidP="00FA2D31">
            <w:pPr>
              <w:ind w:left="90"/>
              <w:textAlignment w:val="baseline"/>
              <w:rPr>
                <w:rFonts w:eastAsia="Times New Roman" w:cs="Times New Roman"/>
                <w:sz w:val="20"/>
                <w:szCs w:val="20"/>
              </w:rPr>
            </w:pPr>
          </w:p>
        </w:tc>
        <w:tc>
          <w:tcPr>
            <w:tcW w:w="1920" w:type="pct"/>
            <w:vMerge/>
            <w:tcBorders>
              <w:left w:val="single" w:sz="4" w:space="0" w:color="auto"/>
              <w:right w:val="single" w:sz="4" w:space="0" w:color="auto"/>
            </w:tcBorders>
          </w:tcPr>
          <w:p w14:paraId="0C70E722" w14:textId="289DF122" w:rsidR="005E53BB" w:rsidRPr="000B2AB8" w:rsidRDefault="005E53BB" w:rsidP="00FA2D31">
            <w:pPr>
              <w:ind w:left="135"/>
              <w:textAlignment w:val="baseline"/>
              <w:rPr>
                <w:rFonts w:eastAsia="Times New Roman" w:cs="Times New Roman"/>
                <w:sz w:val="20"/>
                <w:szCs w:val="20"/>
              </w:rPr>
            </w:pPr>
          </w:p>
        </w:tc>
      </w:tr>
      <w:tr w:rsidR="005E53BB" w:rsidRPr="000B2AB8" w14:paraId="4EC3DEBA" w14:textId="77777777" w:rsidTr="00694EF2">
        <w:trPr>
          <w:trHeight w:val="317"/>
        </w:trPr>
        <w:tc>
          <w:tcPr>
            <w:tcW w:w="1201" w:type="pct"/>
            <w:shd w:val="clear" w:color="auto" w:fill="F2F2F2" w:themeFill="background1" w:themeFillShade="F2"/>
            <w:vAlign w:val="center"/>
          </w:tcPr>
          <w:p w14:paraId="0C2F5D9D" w14:textId="77777777" w:rsidR="005E53BB" w:rsidRPr="000B2AB8" w:rsidRDefault="005E53BB" w:rsidP="00D05B02">
            <w:pPr>
              <w:ind w:left="75"/>
              <w:textAlignment w:val="baseline"/>
              <w:rPr>
                <w:rFonts w:eastAsia="Times New Roman" w:cs="Calibri"/>
                <w:b/>
                <w:sz w:val="20"/>
                <w:szCs w:val="20"/>
              </w:rPr>
            </w:pPr>
            <w:r w:rsidRPr="000B2AB8">
              <w:rPr>
                <w:rFonts w:eastAsia="Times New Roman" w:cs="Calibri"/>
                <w:b/>
                <w:sz w:val="20"/>
                <w:szCs w:val="20"/>
              </w:rPr>
              <w:t>Chartered Grade Span</w:t>
            </w:r>
            <w:r w:rsidRPr="000B2AB8">
              <w:rPr>
                <w:rFonts w:ascii="Arial" w:eastAsia="Times New Roman" w:hAnsi="Arial" w:cs="Arial"/>
                <w:sz w:val="20"/>
                <w:szCs w:val="20"/>
              </w:rPr>
              <w:t> </w:t>
            </w:r>
            <w:r w:rsidRPr="000B2AB8">
              <w:rPr>
                <w:rFonts w:eastAsia="Times New Roman" w:cs="Aptos"/>
                <w:sz w:val="20"/>
                <w:szCs w:val="20"/>
              </w:rPr>
              <w:t> </w:t>
            </w:r>
          </w:p>
        </w:tc>
        <w:tc>
          <w:tcPr>
            <w:tcW w:w="1226" w:type="pct"/>
            <w:shd w:val="clear" w:color="auto" w:fill="auto"/>
            <w:vAlign w:val="center"/>
          </w:tcPr>
          <w:p w14:paraId="102712E0" w14:textId="1180167B" w:rsidR="005E53BB" w:rsidRPr="000B2AB8" w:rsidRDefault="005E53BB" w:rsidP="00D05B02">
            <w:pPr>
              <w:ind w:left="90"/>
              <w:textAlignment w:val="baseline"/>
              <w:rPr>
                <w:rFonts w:eastAsia="Times New Roman" w:cs="Calibri"/>
                <w:color w:val="000000"/>
                <w:sz w:val="20"/>
                <w:szCs w:val="20"/>
              </w:rPr>
            </w:pPr>
            <w:r w:rsidRPr="000B2AB8">
              <w:rPr>
                <w:rFonts w:eastAsia="Times New Roman" w:cs="Times New Roman"/>
                <w:sz w:val="20"/>
                <w:szCs w:val="20"/>
              </w:rPr>
              <w:t>K-12</w:t>
            </w:r>
          </w:p>
        </w:tc>
        <w:tc>
          <w:tcPr>
            <w:tcW w:w="653" w:type="pct"/>
            <w:vMerge/>
            <w:tcBorders>
              <w:right w:val="single" w:sz="4" w:space="0" w:color="auto"/>
            </w:tcBorders>
            <w:shd w:val="clear" w:color="auto" w:fill="F2F2F2" w:themeFill="background1" w:themeFillShade="F2"/>
            <w:vAlign w:val="center"/>
          </w:tcPr>
          <w:p w14:paraId="460BCFC0" w14:textId="06F08559" w:rsidR="005E53BB" w:rsidRPr="000B2AB8" w:rsidRDefault="005E53BB" w:rsidP="00FA2D31">
            <w:pPr>
              <w:ind w:left="90"/>
              <w:textAlignment w:val="baseline"/>
              <w:rPr>
                <w:rFonts w:eastAsia="Times New Roman" w:cs="Calibri"/>
                <w:b/>
                <w:bCs/>
                <w:sz w:val="20"/>
                <w:szCs w:val="20"/>
              </w:rPr>
            </w:pPr>
          </w:p>
        </w:tc>
        <w:tc>
          <w:tcPr>
            <w:tcW w:w="1920" w:type="pct"/>
            <w:vMerge/>
            <w:tcBorders>
              <w:left w:val="single" w:sz="4" w:space="0" w:color="auto"/>
              <w:right w:val="single" w:sz="4" w:space="0" w:color="auto"/>
            </w:tcBorders>
          </w:tcPr>
          <w:p w14:paraId="4E2DD151" w14:textId="08D7CFDD" w:rsidR="005E53BB" w:rsidRPr="000B2AB8" w:rsidRDefault="005E53BB" w:rsidP="00FA2D31">
            <w:pPr>
              <w:ind w:left="135"/>
              <w:textAlignment w:val="baseline"/>
              <w:rPr>
                <w:rFonts w:eastAsia="Times New Roman" w:cs="Calibri"/>
                <w:color w:val="000000"/>
                <w:sz w:val="20"/>
                <w:szCs w:val="20"/>
              </w:rPr>
            </w:pPr>
          </w:p>
        </w:tc>
      </w:tr>
      <w:tr w:rsidR="005E53BB" w:rsidRPr="000B2AB8" w14:paraId="0B39AC57" w14:textId="77777777" w:rsidTr="00694EF2">
        <w:trPr>
          <w:trHeight w:val="317"/>
        </w:trPr>
        <w:tc>
          <w:tcPr>
            <w:tcW w:w="1201" w:type="pct"/>
            <w:shd w:val="clear" w:color="auto" w:fill="F2F2F2" w:themeFill="background1" w:themeFillShade="F2"/>
            <w:vAlign w:val="center"/>
          </w:tcPr>
          <w:p w14:paraId="3B886367" w14:textId="15EF546C" w:rsidR="005E53BB" w:rsidRPr="000B2AB8" w:rsidRDefault="005E53BB" w:rsidP="005E53BB">
            <w:pPr>
              <w:ind w:left="75"/>
              <w:textAlignment w:val="baseline"/>
              <w:rPr>
                <w:rFonts w:eastAsia="Times New Roman" w:cs="Calibri"/>
                <w:b/>
                <w:sz w:val="20"/>
                <w:szCs w:val="20"/>
              </w:rPr>
            </w:pPr>
            <w:r w:rsidRPr="000B2AB8">
              <w:rPr>
                <w:rFonts w:eastAsia="Times New Roman" w:cs="Calibri"/>
                <w:b/>
                <w:sz w:val="20"/>
                <w:szCs w:val="20"/>
              </w:rPr>
              <w:t>Current Grade Span</w:t>
            </w:r>
          </w:p>
        </w:tc>
        <w:tc>
          <w:tcPr>
            <w:tcW w:w="1226" w:type="pct"/>
            <w:shd w:val="clear" w:color="auto" w:fill="auto"/>
            <w:vAlign w:val="center"/>
          </w:tcPr>
          <w:p w14:paraId="7A5A30D2" w14:textId="19866E95" w:rsidR="005E53BB" w:rsidRPr="000B2AB8" w:rsidRDefault="005E53BB" w:rsidP="005E53BB">
            <w:pPr>
              <w:ind w:left="90"/>
              <w:textAlignment w:val="baseline"/>
              <w:rPr>
                <w:rFonts w:eastAsia="Times New Roman" w:cs="Times New Roman"/>
                <w:sz w:val="20"/>
                <w:szCs w:val="20"/>
              </w:rPr>
            </w:pPr>
            <w:r w:rsidRPr="000B2AB8">
              <w:rPr>
                <w:rFonts w:eastAsia="Times New Roman" w:cs="Times New Roman"/>
                <w:sz w:val="20"/>
                <w:szCs w:val="20"/>
              </w:rPr>
              <w:t>K-12</w:t>
            </w:r>
          </w:p>
        </w:tc>
        <w:tc>
          <w:tcPr>
            <w:tcW w:w="653" w:type="pct"/>
            <w:vMerge/>
            <w:tcBorders>
              <w:right w:val="single" w:sz="4" w:space="0" w:color="auto"/>
            </w:tcBorders>
            <w:shd w:val="clear" w:color="auto" w:fill="F2F2F2" w:themeFill="background1" w:themeFillShade="F2"/>
            <w:vAlign w:val="center"/>
          </w:tcPr>
          <w:p w14:paraId="710FDBC0" w14:textId="77777777" w:rsidR="005E53BB" w:rsidRPr="000B2AB8" w:rsidRDefault="005E53BB" w:rsidP="005E53BB">
            <w:pPr>
              <w:ind w:left="90"/>
              <w:textAlignment w:val="baseline"/>
              <w:rPr>
                <w:rFonts w:eastAsia="Times New Roman" w:cs="Calibri"/>
                <w:b/>
                <w:sz w:val="20"/>
                <w:szCs w:val="20"/>
              </w:rPr>
            </w:pPr>
          </w:p>
        </w:tc>
        <w:tc>
          <w:tcPr>
            <w:tcW w:w="1920" w:type="pct"/>
            <w:vMerge/>
            <w:tcBorders>
              <w:left w:val="single" w:sz="4" w:space="0" w:color="auto"/>
              <w:bottom w:val="single" w:sz="4" w:space="0" w:color="auto"/>
              <w:right w:val="single" w:sz="4" w:space="0" w:color="auto"/>
            </w:tcBorders>
            <w:vAlign w:val="center"/>
          </w:tcPr>
          <w:p w14:paraId="086E5182" w14:textId="77777777" w:rsidR="005E53BB" w:rsidRPr="000B2AB8" w:rsidRDefault="005E53BB" w:rsidP="005E53BB">
            <w:pPr>
              <w:ind w:left="135"/>
              <w:textAlignment w:val="baseline"/>
              <w:rPr>
                <w:rFonts w:eastAsia="Times New Roman" w:cs="Calibri"/>
                <w:color w:val="000000"/>
                <w:sz w:val="20"/>
                <w:szCs w:val="20"/>
              </w:rPr>
            </w:pPr>
          </w:p>
        </w:tc>
      </w:tr>
      <w:tr w:rsidR="005E53BB" w:rsidRPr="000B2AB8" w14:paraId="50BF4F71" w14:textId="77777777" w:rsidTr="00694EF2">
        <w:trPr>
          <w:trHeight w:val="286"/>
        </w:trPr>
        <w:tc>
          <w:tcPr>
            <w:tcW w:w="1201" w:type="pct"/>
            <w:shd w:val="clear" w:color="auto" w:fill="F2F2F2" w:themeFill="background1" w:themeFillShade="F2"/>
            <w:vAlign w:val="center"/>
          </w:tcPr>
          <w:p w14:paraId="4B891052" w14:textId="66CCEBB2" w:rsidR="005E53BB" w:rsidRPr="000B2AB8" w:rsidRDefault="005E53BB" w:rsidP="005E53BB">
            <w:pPr>
              <w:ind w:left="75"/>
              <w:textAlignment w:val="baseline"/>
              <w:rPr>
                <w:rFonts w:eastAsia="Times New Roman" w:cs="Calibri"/>
                <w:b/>
                <w:sz w:val="20"/>
                <w:szCs w:val="20"/>
              </w:rPr>
            </w:pPr>
            <w:r w:rsidRPr="000B2AB8">
              <w:rPr>
                <w:rFonts w:eastAsia="Times New Roman" w:cs="Calibri"/>
                <w:b/>
                <w:sz w:val="20"/>
                <w:szCs w:val="20"/>
              </w:rPr>
              <w:t>Maximum Enrollment</w:t>
            </w:r>
            <w:r w:rsidRPr="000B2AB8">
              <w:rPr>
                <w:rFonts w:ascii="Arial" w:eastAsia="Times New Roman" w:hAnsi="Arial" w:cs="Arial"/>
                <w:sz w:val="20"/>
                <w:szCs w:val="20"/>
              </w:rPr>
              <w:t> </w:t>
            </w:r>
          </w:p>
        </w:tc>
        <w:tc>
          <w:tcPr>
            <w:tcW w:w="1226" w:type="pct"/>
            <w:shd w:val="clear" w:color="auto" w:fill="auto"/>
            <w:vAlign w:val="center"/>
          </w:tcPr>
          <w:p w14:paraId="6443EB62" w14:textId="317A75B6" w:rsidR="005E53BB" w:rsidRPr="000B2AB8" w:rsidRDefault="005E53BB" w:rsidP="005E53BB">
            <w:pPr>
              <w:ind w:left="90"/>
              <w:textAlignment w:val="baseline"/>
              <w:rPr>
                <w:rFonts w:eastAsia="Times New Roman" w:cs="Calibri"/>
                <w:color w:val="000000"/>
                <w:sz w:val="20"/>
                <w:szCs w:val="20"/>
              </w:rPr>
            </w:pPr>
            <w:r w:rsidRPr="000B2AB8">
              <w:rPr>
                <w:rFonts w:eastAsia="Times New Roman" w:cs="Times New Roman"/>
                <w:sz w:val="20"/>
                <w:szCs w:val="20"/>
              </w:rPr>
              <w:t>1,075</w:t>
            </w:r>
          </w:p>
        </w:tc>
        <w:tc>
          <w:tcPr>
            <w:tcW w:w="653" w:type="pct"/>
            <w:tcBorders>
              <w:right w:val="single" w:sz="4" w:space="0" w:color="auto"/>
            </w:tcBorders>
            <w:shd w:val="clear" w:color="auto" w:fill="F2F2F2" w:themeFill="background1" w:themeFillShade="F2"/>
            <w:vAlign w:val="center"/>
          </w:tcPr>
          <w:p w14:paraId="1CAA0763" w14:textId="75EEF653" w:rsidR="005E53BB" w:rsidRPr="000B2AB8" w:rsidRDefault="005E53BB" w:rsidP="005E53BB">
            <w:pPr>
              <w:ind w:left="90"/>
              <w:textAlignment w:val="baseline"/>
              <w:rPr>
                <w:rFonts w:eastAsia="Times New Roman" w:cs="Calibri"/>
                <w:b/>
                <w:bCs/>
                <w:sz w:val="20"/>
                <w:szCs w:val="20"/>
              </w:rPr>
            </w:pPr>
            <w:r w:rsidRPr="000B2AB8">
              <w:rPr>
                <w:rFonts w:eastAsia="Times New Roman" w:cs="Calibri"/>
                <w:b/>
                <w:sz w:val="20"/>
                <w:szCs w:val="20"/>
              </w:rPr>
              <w:t>Current Enrollment</w:t>
            </w:r>
          </w:p>
        </w:tc>
        <w:tc>
          <w:tcPr>
            <w:tcW w:w="1920" w:type="pct"/>
            <w:tcBorders>
              <w:top w:val="single" w:sz="4" w:space="0" w:color="auto"/>
              <w:left w:val="single" w:sz="4" w:space="0" w:color="auto"/>
              <w:bottom w:val="single" w:sz="4" w:space="0" w:color="auto"/>
              <w:right w:val="single" w:sz="4" w:space="0" w:color="auto"/>
            </w:tcBorders>
            <w:vAlign w:val="center"/>
          </w:tcPr>
          <w:p w14:paraId="41EA3350" w14:textId="47AE30CF" w:rsidR="005E53BB" w:rsidRPr="000B2AB8" w:rsidRDefault="005E53BB" w:rsidP="005E53BB">
            <w:pPr>
              <w:ind w:left="135"/>
              <w:textAlignment w:val="baseline"/>
              <w:rPr>
                <w:rFonts w:eastAsia="Times New Roman" w:cs="Calibri"/>
                <w:sz w:val="20"/>
                <w:szCs w:val="20"/>
              </w:rPr>
            </w:pPr>
            <w:r w:rsidRPr="000B2AB8">
              <w:rPr>
                <w:rFonts w:eastAsia="Times New Roman" w:cs="Calibri"/>
                <w:color w:val="000000"/>
                <w:sz w:val="20"/>
                <w:szCs w:val="20"/>
              </w:rPr>
              <w:t>1,057</w:t>
            </w:r>
          </w:p>
        </w:tc>
      </w:tr>
      <w:tr w:rsidR="005E53BB" w:rsidRPr="000B2AB8" w14:paraId="0C67F6CB" w14:textId="77777777" w:rsidTr="00694EF2">
        <w:trPr>
          <w:trHeight w:val="286"/>
        </w:trPr>
        <w:tc>
          <w:tcPr>
            <w:tcW w:w="1201" w:type="pct"/>
            <w:shd w:val="clear" w:color="auto" w:fill="F2F2F2" w:themeFill="background1" w:themeFillShade="F2"/>
            <w:vAlign w:val="center"/>
          </w:tcPr>
          <w:p w14:paraId="5657718C" w14:textId="22438034" w:rsidR="005E53BB" w:rsidRPr="000B2AB8" w:rsidRDefault="005E53BB" w:rsidP="005E53BB">
            <w:pPr>
              <w:ind w:left="75"/>
              <w:textAlignment w:val="baseline"/>
              <w:rPr>
                <w:rFonts w:eastAsia="Times New Roman" w:cs="Calibri"/>
                <w:b/>
                <w:sz w:val="20"/>
                <w:szCs w:val="20"/>
              </w:rPr>
            </w:pPr>
            <w:r w:rsidRPr="000B2AB8">
              <w:rPr>
                <w:rFonts w:eastAsia="Times New Roman" w:cs="Calibri"/>
                <w:b/>
                <w:sz w:val="20"/>
                <w:szCs w:val="20"/>
              </w:rPr>
              <w:t>Students on Waitlist</w:t>
            </w:r>
            <w:r w:rsidRPr="000B2AB8">
              <w:rPr>
                <w:rFonts w:ascii="Arial" w:eastAsia="Times New Roman" w:hAnsi="Arial" w:cs="Arial"/>
                <w:sz w:val="20"/>
                <w:szCs w:val="20"/>
              </w:rPr>
              <w:t> </w:t>
            </w:r>
            <w:r w:rsidRPr="000B2AB8">
              <w:rPr>
                <w:rFonts w:eastAsia="Times New Roman" w:cs="Aptos"/>
                <w:sz w:val="20"/>
                <w:szCs w:val="20"/>
              </w:rPr>
              <w:t> </w:t>
            </w:r>
          </w:p>
        </w:tc>
        <w:tc>
          <w:tcPr>
            <w:tcW w:w="1226" w:type="pct"/>
            <w:shd w:val="clear" w:color="auto" w:fill="auto"/>
            <w:vAlign w:val="center"/>
          </w:tcPr>
          <w:p w14:paraId="73ABFD58" w14:textId="47A72427" w:rsidR="005E53BB" w:rsidRPr="000B2AB8" w:rsidRDefault="005E53BB" w:rsidP="005E53BB">
            <w:pPr>
              <w:ind w:left="90"/>
              <w:textAlignment w:val="baseline"/>
              <w:rPr>
                <w:rFonts w:eastAsia="Times New Roman" w:cs="Calibri"/>
                <w:color w:val="000000"/>
                <w:sz w:val="20"/>
                <w:szCs w:val="20"/>
              </w:rPr>
            </w:pPr>
            <w:r w:rsidRPr="000B2AB8">
              <w:rPr>
                <w:rFonts w:eastAsia="Times New Roman" w:cs="Calibri"/>
                <w:color w:val="000000"/>
                <w:sz w:val="20"/>
                <w:szCs w:val="20"/>
              </w:rPr>
              <w:t xml:space="preserve">FY25 Initial: 658   </w:t>
            </w:r>
            <w:r w:rsidRPr="000B2AB8">
              <w:rPr>
                <w:rFonts w:eastAsia="Times New Roman" w:cs="Calibri"/>
                <w:color w:val="000000"/>
                <w:sz w:val="20"/>
                <w:szCs w:val="20"/>
              </w:rPr>
              <w:br/>
            </w:r>
            <w:r w:rsidRPr="006C4071">
              <w:rPr>
                <w:rFonts w:eastAsia="Times New Roman" w:cs="Calibri"/>
                <w:color w:val="000000"/>
                <w:sz w:val="20"/>
                <w:szCs w:val="20"/>
              </w:rPr>
              <w:t xml:space="preserve">FY25 Update: </w:t>
            </w:r>
            <w:r w:rsidR="0093224D" w:rsidRPr="006C4071">
              <w:rPr>
                <w:rFonts w:eastAsia="Times New Roman" w:cs="Calibri"/>
                <w:color w:val="000000"/>
                <w:sz w:val="20"/>
                <w:szCs w:val="20"/>
              </w:rPr>
              <w:t>426</w:t>
            </w:r>
          </w:p>
        </w:tc>
        <w:tc>
          <w:tcPr>
            <w:tcW w:w="653" w:type="pct"/>
            <w:tcBorders>
              <w:right w:val="single" w:sz="4" w:space="0" w:color="auto"/>
            </w:tcBorders>
            <w:shd w:val="clear" w:color="auto" w:fill="F2F2F2" w:themeFill="background1" w:themeFillShade="F2"/>
            <w:vAlign w:val="center"/>
          </w:tcPr>
          <w:p w14:paraId="282311FB" w14:textId="29689DCD" w:rsidR="005E53BB" w:rsidRPr="000B2AB8" w:rsidRDefault="005E53BB" w:rsidP="005E53BB">
            <w:pPr>
              <w:ind w:left="90"/>
              <w:textAlignment w:val="baseline"/>
              <w:rPr>
                <w:rFonts w:eastAsia="Times New Roman" w:cs="Calibri"/>
                <w:b/>
                <w:bCs/>
                <w:sz w:val="20"/>
                <w:szCs w:val="20"/>
              </w:rPr>
            </w:pPr>
            <w:r w:rsidRPr="000B2AB8">
              <w:rPr>
                <w:rFonts w:eastAsia="Times New Roman" w:cs="Calibri"/>
                <w:b/>
                <w:sz w:val="20"/>
                <w:szCs w:val="20"/>
              </w:rPr>
              <w:t>Current Age of School</w:t>
            </w:r>
          </w:p>
        </w:tc>
        <w:tc>
          <w:tcPr>
            <w:tcW w:w="1920" w:type="pct"/>
            <w:tcBorders>
              <w:top w:val="single" w:sz="4" w:space="0" w:color="auto"/>
              <w:left w:val="single" w:sz="4" w:space="0" w:color="auto"/>
              <w:bottom w:val="single" w:sz="4" w:space="0" w:color="auto"/>
              <w:right w:val="single" w:sz="4" w:space="0" w:color="auto"/>
            </w:tcBorders>
            <w:vAlign w:val="center"/>
          </w:tcPr>
          <w:p w14:paraId="64758B25" w14:textId="2D7A941F" w:rsidR="005E53BB" w:rsidRPr="000B2AB8" w:rsidRDefault="005E53BB" w:rsidP="005E53BB">
            <w:pPr>
              <w:ind w:left="135"/>
              <w:textAlignment w:val="baseline"/>
              <w:rPr>
                <w:rFonts w:eastAsia="Times New Roman" w:cs="Calibri"/>
                <w:sz w:val="20"/>
                <w:szCs w:val="20"/>
              </w:rPr>
            </w:pPr>
            <w:r w:rsidRPr="000B2AB8">
              <w:rPr>
                <w:rFonts w:eastAsia="Times New Roman" w:cs="Calibri"/>
                <w:color w:val="000000"/>
                <w:sz w:val="20"/>
                <w:szCs w:val="20"/>
              </w:rPr>
              <w:t>30 years</w:t>
            </w:r>
          </w:p>
        </w:tc>
      </w:tr>
      <w:tr w:rsidR="005E53BB" w:rsidRPr="000B2AB8" w14:paraId="66981C66" w14:textId="77777777" w:rsidTr="00584859">
        <w:trPr>
          <w:trHeight w:val="317"/>
        </w:trPr>
        <w:tc>
          <w:tcPr>
            <w:tcW w:w="5000" w:type="pct"/>
            <w:gridSpan w:val="4"/>
            <w:shd w:val="clear" w:color="auto" w:fill="F2F2F2" w:themeFill="background1" w:themeFillShade="F2"/>
            <w:vAlign w:val="center"/>
          </w:tcPr>
          <w:p w14:paraId="0B736FE3" w14:textId="5CAB1434" w:rsidR="005E53BB" w:rsidRPr="000B2AB8" w:rsidRDefault="005E53BB" w:rsidP="005E53BB">
            <w:pPr>
              <w:ind w:left="75"/>
              <w:textAlignment w:val="baseline"/>
              <w:rPr>
                <w:rFonts w:eastAsia="Times New Roman" w:cs="Calibri"/>
                <w:b/>
                <w:sz w:val="20"/>
                <w:szCs w:val="20"/>
              </w:rPr>
            </w:pPr>
            <w:r w:rsidRPr="000B2AB8">
              <w:rPr>
                <w:rFonts w:eastAsia="Times New Roman" w:cs="Calibri"/>
                <w:b/>
                <w:sz w:val="20"/>
                <w:szCs w:val="20"/>
              </w:rPr>
              <w:t>Mission Statement:</w:t>
            </w:r>
            <w:r w:rsidRPr="000B2AB8">
              <w:rPr>
                <w:rFonts w:eastAsia="Times New Roman" w:cs="Calibri"/>
                <w:sz w:val="20"/>
                <w:szCs w:val="20"/>
              </w:rPr>
              <w:t> </w:t>
            </w:r>
            <w:r w:rsidR="00584859" w:rsidRPr="000B2AB8">
              <w:rPr>
                <w:rFonts w:eastAsia="Times New Roman" w:cs="Calibri"/>
                <w:sz w:val="20"/>
                <w:szCs w:val="20"/>
              </w:rPr>
              <w:t xml:space="preserve">Inspiring every student to excel in academics, service, and life.  </w:t>
            </w:r>
          </w:p>
        </w:tc>
      </w:tr>
    </w:tbl>
    <w:p w14:paraId="232C25A0" w14:textId="77777777" w:rsidR="00317667" w:rsidRPr="000B2AB8" w:rsidRDefault="00317667" w:rsidP="001D4DAA">
      <w:pPr>
        <w:rPr>
          <w:rFonts w:cs="Calibri"/>
        </w:rPr>
      </w:pPr>
    </w:p>
    <w:p w14:paraId="41A33225" w14:textId="133376CD" w:rsidR="00584859" w:rsidRPr="000B2AB8" w:rsidRDefault="005861BA" w:rsidP="003A2D74">
      <w:pPr>
        <w:keepNext/>
        <w:ind w:left="720"/>
        <w:rPr>
          <w:rFonts w:cs="Calibri"/>
          <w:b/>
          <w:bCs/>
        </w:rPr>
      </w:pPr>
      <w:r w:rsidRPr="000B2AB8">
        <w:rPr>
          <w:rFonts w:cs="Calibri"/>
          <w:b/>
          <w:bCs/>
        </w:rPr>
        <w:t>Request and Plan for Implementation</w:t>
      </w:r>
    </w:p>
    <w:p w14:paraId="6D4950A7" w14:textId="77777777" w:rsidR="005861BA" w:rsidRPr="000B2AB8" w:rsidRDefault="005861BA" w:rsidP="003A2D74">
      <w:pPr>
        <w:keepNext/>
      </w:pPr>
    </w:p>
    <w:p w14:paraId="402BD30E" w14:textId="0B8B737F" w:rsidR="004E09C8" w:rsidRPr="000B2AB8" w:rsidRDefault="0091670C" w:rsidP="003A2D74">
      <w:pPr>
        <w:keepNext/>
        <w:rPr>
          <w:rFonts w:cs="Calibri"/>
        </w:rPr>
      </w:pPr>
      <w:r w:rsidRPr="000B2AB8">
        <w:rPr>
          <w:rFonts w:cs="Calibri"/>
        </w:rPr>
        <w:t xml:space="preserve">The board of trustees of SSCPS </w:t>
      </w:r>
      <w:r w:rsidR="00210003" w:rsidRPr="000B2AB8">
        <w:rPr>
          <w:rFonts w:cs="Calibri"/>
        </w:rPr>
        <w:t>submi</w:t>
      </w:r>
      <w:r w:rsidR="009C5787" w:rsidRPr="000B2AB8">
        <w:rPr>
          <w:rFonts w:cs="Calibri"/>
        </w:rPr>
        <w:t xml:space="preserve">tted a </w:t>
      </w:r>
      <w:r w:rsidR="009346B8" w:rsidRPr="000B2AB8">
        <w:rPr>
          <w:rFonts w:cs="Calibri"/>
        </w:rPr>
        <w:t>request</w:t>
      </w:r>
      <w:r w:rsidRPr="000B2AB8">
        <w:rPr>
          <w:rFonts w:cs="Calibri"/>
        </w:rPr>
        <w:t xml:space="preserve"> to increase </w:t>
      </w:r>
      <w:r w:rsidR="009346B8" w:rsidRPr="000B2AB8">
        <w:rPr>
          <w:rFonts w:cs="Calibri"/>
        </w:rPr>
        <w:t xml:space="preserve">its maximum </w:t>
      </w:r>
      <w:r w:rsidRPr="000B2AB8">
        <w:rPr>
          <w:rFonts w:cs="Calibri"/>
        </w:rPr>
        <w:t xml:space="preserve">enrollment </w:t>
      </w:r>
      <w:r w:rsidR="009C5787" w:rsidRPr="000B2AB8">
        <w:rPr>
          <w:rFonts w:cs="Calibri"/>
        </w:rPr>
        <w:t>to</w:t>
      </w:r>
      <w:r w:rsidR="009346B8" w:rsidRPr="000B2AB8">
        <w:rPr>
          <w:rFonts w:cs="Calibri"/>
        </w:rPr>
        <w:t xml:space="preserve"> 1,300 students</w:t>
      </w:r>
      <w:r w:rsidR="009D7AA2" w:rsidRPr="000B2AB8">
        <w:rPr>
          <w:rFonts w:cs="Calibri"/>
        </w:rPr>
        <w:t xml:space="preserve"> in grades K-12</w:t>
      </w:r>
      <w:r w:rsidR="009C5787" w:rsidRPr="000B2AB8">
        <w:rPr>
          <w:rFonts w:cs="Calibri"/>
        </w:rPr>
        <w:t>, an increase of 225 students</w:t>
      </w:r>
      <w:r w:rsidRPr="000B2AB8">
        <w:rPr>
          <w:rFonts w:cs="Calibri"/>
        </w:rPr>
        <w:t xml:space="preserve">. </w:t>
      </w:r>
      <w:r w:rsidR="00914D8B" w:rsidRPr="000B2AB8">
        <w:rPr>
          <w:rFonts w:cs="Calibri"/>
        </w:rPr>
        <w:t xml:space="preserve">The school reports that </w:t>
      </w:r>
      <w:r w:rsidR="00940AFC" w:rsidRPr="000B2AB8">
        <w:rPr>
          <w:rFonts w:cs="Calibri"/>
        </w:rPr>
        <w:t xml:space="preserve">this increase </w:t>
      </w:r>
      <w:r w:rsidR="002254D7" w:rsidRPr="000B2AB8">
        <w:rPr>
          <w:rFonts w:cs="Calibri"/>
        </w:rPr>
        <w:t xml:space="preserve">is necessary </w:t>
      </w:r>
      <w:r w:rsidR="00914D8B" w:rsidRPr="000B2AB8">
        <w:rPr>
          <w:rFonts w:cs="Calibri"/>
        </w:rPr>
        <w:t xml:space="preserve">to meet enrollment demand within its region </w:t>
      </w:r>
      <w:r w:rsidR="00185E96" w:rsidRPr="000B2AB8">
        <w:rPr>
          <w:rFonts w:cs="Calibri"/>
        </w:rPr>
        <w:t xml:space="preserve">and </w:t>
      </w:r>
      <w:r w:rsidR="002A461C">
        <w:rPr>
          <w:rFonts w:cs="Calibri"/>
        </w:rPr>
        <w:t xml:space="preserve">to </w:t>
      </w:r>
      <w:r w:rsidR="00914D8B" w:rsidRPr="000B2AB8">
        <w:rPr>
          <w:rFonts w:cs="Calibri"/>
        </w:rPr>
        <w:t>expand access.</w:t>
      </w:r>
      <w:r w:rsidR="00AF3AFE" w:rsidRPr="000B2AB8">
        <w:rPr>
          <w:rFonts w:cs="Calibri"/>
        </w:rPr>
        <w:t xml:space="preserve"> A copy of the school’s request is attached.</w:t>
      </w:r>
      <w:r w:rsidR="00914D8B" w:rsidRPr="000B2AB8">
        <w:rPr>
          <w:rFonts w:cs="Calibri"/>
        </w:rPr>
        <w:t xml:space="preserve"> </w:t>
      </w:r>
      <w:r w:rsidR="00A71C57" w:rsidRPr="000B2AB8">
        <w:rPr>
          <w:rFonts w:cs="Calibri"/>
        </w:rPr>
        <w:t>SSCPS</w:t>
      </w:r>
      <w:r w:rsidR="005E6273" w:rsidRPr="000B2AB8">
        <w:rPr>
          <w:rFonts w:cs="Calibri"/>
        </w:rPr>
        <w:t xml:space="preserve"> successfully implemented two previous increases in enrollment approved by the </w:t>
      </w:r>
      <w:r w:rsidR="00AB000E" w:rsidRPr="000B2AB8">
        <w:rPr>
          <w:rFonts w:cs="Calibri"/>
        </w:rPr>
        <w:t>Board</w:t>
      </w:r>
      <w:r w:rsidR="00A65EEE" w:rsidRPr="000B2AB8">
        <w:rPr>
          <w:rFonts w:cs="Calibri"/>
        </w:rPr>
        <w:t xml:space="preserve"> in the past </w:t>
      </w:r>
      <w:r w:rsidR="004B49A8" w:rsidRPr="000B2AB8">
        <w:rPr>
          <w:rFonts w:cs="Calibri"/>
        </w:rPr>
        <w:t>13 years</w:t>
      </w:r>
      <w:r w:rsidR="003E5317" w:rsidRPr="000B2AB8">
        <w:rPr>
          <w:rFonts w:cs="Calibri"/>
        </w:rPr>
        <w:t>.</w:t>
      </w:r>
      <w:r w:rsidR="00AB000E" w:rsidRPr="000B2AB8">
        <w:rPr>
          <w:rFonts w:cs="Calibri"/>
        </w:rPr>
        <w:t xml:space="preserve"> </w:t>
      </w:r>
      <w:r w:rsidR="004B49A8" w:rsidRPr="000B2AB8">
        <w:rPr>
          <w:rFonts w:cs="Calibri"/>
        </w:rPr>
        <w:t>I</w:t>
      </w:r>
      <w:r w:rsidR="0048368A" w:rsidRPr="000B2AB8">
        <w:rPr>
          <w:rFonts w:cs="Calibri"/>
        </w:rPr>
        <w:t xml:space="preserve">n </w:t>
      </w:r>
      <w:r w:rsidR="004B49A8" w:rsidRPr="000B2AB8">
        <w:rPr>
          <w:rFonts w:cs="Calibri"/>
        </w:rPr>
        <w:t xml:space="preserve">October </w:t>
      </w:r>
      <w:r w:rsidR="0048368A" w:rsidRPr="000B2AB8">
        <w:rPr>
          <w:rFonts w:cs="Calibri"/>
        </w:rPr>
        <w:t>2012</w:t>
      </w:r>
      <w:r w:rsidR="004B49A8" w:rsidRPr="000B2AB8">
        <w:rPr>
          <w:rFonts w:cs="Calibri"/>
        </w:rPr>
        <w:t>,</w:t>
      </w:r>
      <w:r w:rsidR="0048368A" w:rsidRPr="000B2AB8">
        <w:rPr>
          <w:rFonts w:cs="Calibri"/>
        </w:rPr>
        <w:t xml:space="preserve"> </w:t>
      </w:r>
      <w:r w:rsidR="00C62465" w:rsidRPr="000B2AB8">
        <w:rPr>
          <w:rFonts w:cs="Calibri"/>
        </w:rPr>
        <w:t>the Board approved an amendment to increase the school’s maximum enrollment</w:t>
      </w:r>
      <w:r w:rsidR="0048368A" w:rsidRPr="000B2AB8">
        <w:rPr>
          <w:rFonts w:cs="Calibri"/>
        </w:rPr>
        <w:t xml:space="preserve"> </w:t>
      </w:r>
      <w:r w:rsidR="00AB000E" w:rsidRPr="000B2AB8">
        <w:rPr>
          <w:rFonts w:cs="Calibri"/>
        </w:rPr>
        <w:t>from 540 to 610 students</w:t>
      </w:r>
      <w:r w:rsidR="00F05D2D">
        <w:rPr>
          <w:rFonts w:cs="Calibri"/>
        </w:rPr>
        <w:t xml:space="preserve"> </w:t>
      </w:r>
      <w:r w:rsidR="004E4404">
        <w:rPr>
          <w:rFonts w:cs="Calibri"/>
        </w:rPr>
        <w:t xml:space="preserve">and, </w:t>
      </w:r>
      <w:r w:rsidR="00646430" w:rsidRPr="000B2AB8">
        <w:rPr>
          <w:rFonts w:cs="Calibri"/>
        </w:rPr>
        <w:t>in January 2016</w:t>
      </w:r>
      <w:r w:rsidR="00646430">
        <w:rPr>
          <w:rFonts w:cs="Calibri"/>
        </w:rPr>
        <w:t>, the Board</w:t>
      </w:r>
      <w:r w:rsidR="00831144" w:rsidRPr="000B2AB8">
        <w:rPr>
          <w:rFonts w:cs="Calibri"/>
        </w:rPr>
        <w:t xml:space="preserve"> </w:t>
      </w:r>
      <w:r w:rsidR="006A1A8E" w:rsidRPr="000B2AB8">
        <w:rPr>
          <w:rFonts w:cs="Calibri"/>
        </w:rPr>
        <w:t xml:space="preserve">approved </w:t>
      </w:r>
      <w:r w:rsidR="007B5E8E" w:rsidRPr="000B2AB8">
        <w:rPr>
          <w:rFonts w:cs="Calibri"/>
        </w:rPr>
        <w:t>an amendment</w:t>
      </w:r>
      <w:r w:rsidR="006A1A8E" w:rsidRPr="000B2AB8">
        <w:rPr>
          <w:rFonts w:cs="Calibri"/>
        </w:rPr>
        <w:t xml:space="preserve"> </w:t>
      </w:r>
      <w:r w:rsidR="00DC5085" w:rsidRPr="000B2AB8">
        <w:rPr>
          <w:rFonts w:cs="Calibri"/>
        </w:rPr>
        <w:t xml:space="preserve">to increase </w:t>
      </w:r>
      <w:r w:rsidR="008059ED" w:rsidRPr="000B2AB8">
        <w:rPr>
          <w:rFonts w:cs="Calibri"/>
        </w:rPr>
        <w:t xml:space="preserve">enrollment </w:t>
      </w:r>
      <w:r w:rsidR="00AB000E" w:rsidRPr="000B2AB8">
        <w:rPr>
          <w:rFonts w:cs="Calibri"/>
        </w:rPr>
        <w:t>from 610 to 1,075 students.</w:t>
      </w:r>
    </w:p>
    <w:p w14:paraId="37472192" w14:textId="77777777" w:rsidR="006C1625" w:rsidRPr="000B2AB8" w:rsidRDefault="006C1625" w:rsidP="00AB000E">
      <w:pPr>
        <w:rPr>
          <w:rFonts w:cs="Calibri"/>
        </w:rPr>
      </w:pPr>
    </w:p>
    <w:p w14:paraId="6B7D0DF5" w14:textId="1CAB95B1" w:rsidR="000143BE" w:rsidRPr="000B2AB8" w:rsidRDefault="000143BE" w:rsidP="000143BE">
      <w:pPr>
        <w:rPr>
          <w:rFonts w:cs="Calibri"/>
        </w:rPr>
      </w:pPr>
      <w:r w:rsidRPr="000B2AB8">
        <w:rPr>
          <w:rFonts w:cs="Calibri"/>
        </w:rPr>
        <w:t xml:space="preserve">The school's waitlist demonstrates demand at all grade levels and supports the proposed increase. </w:t>
      </w:r>
      <w:r w:rsidR="000A2D7C" w:rsidRPr="000B2AB8">
        <w:rPr>
          <w:rFonts w:cs="Calibri"/>
        </w:rPr>
        <w:t xml:space="preserve">The </w:t>
      </w:r>
      <w:r w:rsidR="007B5E8E" w:rsidRPr="000B2AB8">
        <w:rPr>
          <w:rFonts w:cs="Calibri"/>
        </w:rPr>
        <w:t xml:space="preserve">school </w:t>
      </w:r>
      <w:r w:rsidR="000A2D7C" w:rsidRPr="000B2AB8">
        <w:rPr>
          <w:rFonts w:cs="Calibri"/>
        </w:rPr>
        <w:t xml:space="preserve">reported </w:t>
      </w:r>
      <w:r w:rsidR="00BE62D6" w:rsidRPr="000B2AB8">
        <w:rPr>
          <w:rFonts w:cs="Calibri"/>
        </w:rPr>
        <w:t>658</w:t>
      </w:r>
      <w:r w:rsidR="000A2D7C" w:rsidRPr="000B2AB8">
        <w:rPr>
          <w:rFonts w:cs="Calibri"/>
        </w:rPr>
        <w:t xml:space="preserve"> students </w:t>
      </w:r>
      <w:r w:rsidR="007B5E8E" w:rsidRPr="000B2AB8">
        <w:rPr>
          <w:rFonts w:cs="Calibri"/>
        </w:rPr>
        <w:t xml:space="preserve">on its waitlist </w:t>
      </w:r>
      <w:r w:rsidR="000A2D7C" w:rsidRPr="000B2AB8">
        <w:rPr>
          <w:rFonts w:cs="Calibri"/>
        </w:rPr>
        <w:t xml:space="preserve">in March 2024 and </w:t>
      </w:r>
      <w:r w:rsidR="00BE62D6" w:rsidRPr="000B2AB8">
        <w:rPr>
          <w:rFonts w:cs="Calibri"/>
        </w:rPr>
        <w:t>649</w:t>
      </w:r>
      <w:r w:rsidR="000A2D7C" w:rsidRPr="000B2AB8">
        <w:rPr>
          <w:rFonts w:cs="Calibri"/>
        </w:rPr>
        <w:t xml:space="preserve"> students</w:t>
      </w:r>
      <w:r w:rsidR="007E44DA" w:rsidRPr="000B2AB8">
        <w:rPr>
          <w:rFonts w:cs="Calibri"/>
        </w:rPr>
        <w:t xml:space="preserve"> on its waitlist</w:t>
      </w:r>
      <w:r w:rsidR="000A2D7C" w:rsidRPr="000B2AB8">
        <w:rPr>
          <w:rFonts w:cs="Calibri"/>
        </w:rPr>
        <w:t xml:space="preserve"> in March 2023.</w:t>
      </w:r>
      <w:r w:rsidRPr="000B2AB8">
        <w:rPr>
          <w:rFonts w:cs="Calibri"/>
        </w:rPr>
        <w:t xml:space="preserve"> SSCPS currently admits new students in all grades and fills vacancies during the school year in all grades, exceeding statutory requirements. The school </w:t>
      </w:r>
      <w:r w:rsidR="00F00077" w:rsidRPr="000B2AB8">
        <w:rPr>
          <w:rFonts w:cs="Calibri"/>
        </w:rPr>
        <w:t>will</w:t>
      </w:r>
      <w:r w:rsidRPr="000B2AB8">
        <w:rPr>
          <w:rFonts w:cs="Calibri"/>
        </w:rPr>
        <w:t xml:space="preserve"> increas</w:t>
      </w:r>
      <w:r w:rsidR="00F00077" w:rsidRPr="000B2AB8">
        <w:rPr>
          <w:rFonts w:cs="Calibri"/>
        </w:rPr>
        <w:t>e</w:t>
      </w:r>
      <w:r w:rsidRPr="000B2AB8">
        <w:rPr>
          <w:rFonts w:cs="Calibri"/>
        </w:rPr>
        <w:t xml:space="preserve"> cohort size</w:t>
      </w:r>
      <w:r w:rsidR="00F00077" w:rsidRPr="000B2AB8">
        <w:rPr>
          <w:rFonts w:cs="Calibri"/>
        </w:rPr>
        <w:t>s</w:t>
      </w:r>
      <w:r w:rsidRPr="000B2AB8">
        <w:rPr>
          <w:rFonts w:cs="Calibri"/>
        </w:rPr>
        <w:t xml:space="preserve"> from </w:t>
      </w:r>
      <w:r w:rsidR="00076D76" w:rsidRPr="000B2AB8">
        <w:rPr>
          <w:rFonts w:cs="Calibri"/>
        </w:rPr>
        <w:t>80</w:t>
      </w:r>
      <w:r w:rsidRPr="000B2AB8">
        <w:rPr>
          <w:rFonts w:cs="Calibri"/>
        </w:rPr>
        <w:t xml:space="preserve"> to </w:t>
      </w:r>
      <w:r w:rsidR="00076D76" w:rsidRPr="000B2AB8">
        <w:rPr>
          <w:rFonts w:cs="Calibri"/>
        </w:rPr>
        <w:t>100</w:t>
      </w:r>
      <w:r w:rsidRPr="000B2AB8">
        <w:rPr>
          <w:rFonts w:cs="Calibri"/>
        </w:rPr>
        <w:t xml:space="preserve"> students per grade</w:t>
      </w:r>
      <w:r w:rsidR="008059ED" w:rsidRPr="000B2AB8">
        <w:rPr>
          <w:rFonts w:cs="Calibri"/>
        </w:rPr>
        <w:t xml:space="preserve"> across the entire grade span</w:t>
      </w:r>
      <w:r w:rsidRPr="000B2AB8">
        <w:rPr>
          <w:rFonts w:cs="Calibri"/>
        </w:rPr>
        <w:t>, with primary entry points in kindergarten and grade</w:t>
      </w:r>
      <w:r w:rsidR="008059ED" w:rsidRPr="000B2AB8">
        <w:rPr>
          <w:rFonts w:cs="Calibri"/>
        </w:rPr>
        <w:t xml:space="preserve"> </w:t>
      </w:r>
      <w:r w:rsidR="00AA44C6" w:rsidRPr="000B2AB8">
        <w:rPr>
          <w:rFonts w:cs="Calibri"/>
        </w:rPr>
        <w:t>7</w:t>
      </w:r>
      <w:r w:rsidRPr="000B2AB8">
        <w:rPr>
          <w:rFonts w:cs="Calibri"/>
        </w:rPr>
        <w:t xml:space="preserve"> during </w:t>
      </w:r>
      <w:r w:rsidR="006C7711" w:rsidRPr="000B2AB8">
        <w:rPr>
          <w:rFonts w:cs="Calibri"/>
        </w:rPr>
        <w:t xml:space="preserve">the </w:t>
      </w:r>
      <w:r w:rsidRPr="000B2AB8">
        <w:rPr>
          <w:rFonts w:cs="Calibri"/>
        </w:rPr>
        <w:t xml:space="preserve">expansion. </w:t>
      </w:r>
      <w:r w:rsidR="00AA44C6" w:rsidRPr="000B2AB8">
        <w:rPr>
          <w:rFonts w:cs="Calibri"/>
        </w:rPr>
        <w:t>SSCPS</w:t>
      </w:r>
      <w:r w:rsidRPr="000B2AB8">
        <w:rPr>
          <w:rFonts w:cs="Calibri"/>
        </w:rPr>
        <w:t xml:space="preserve"> proposes to increase enrollment over a </w:t>
      </w:r>
      <w:r w:rsidR="005014F0" w:rsidRPr="000B2AB8">
        <w:rPr>
          <w:rFonts w:cs="Calibri"/>
        </w:rPr>
        <w:t>five-year</w:t>
      </w:r>
      <w:r w:rsidRPr="000B2AB8">
        <w:rPr>
          <w:rFonts w:cs="Calibri"/>
        </w:rPr>
        <w:t xml:space="preserve"> period beginning in </w:t>
      </w:r>
      <w:r w:rsidR="0070582F">
        <w:rPr>
          <w:rFonts w:cs="Calibri"/>
        </w:rPr>
        <w:t xml:space="preserve">the </w:t>
      </w:r>
      <w:r w:rsidRPr="000B2AB8">
        <w:rPr>
          <w:rFonts w:cs="Calibri"/>
        </w:rPr>
        <w:t>2025-</w:t>
      </w:r>
      <w:r w:rsidR="00F00077" w:rsidRPr="000B2AB8">
        <w:rPr>
          <w:rFonts w:cs="Calibri"/>
        </w:rPr>
        <w:t>20</w:t>
      </w:r>
      <w:r w:rsidRPr="000B2AB8">
        <w:rPr>
          <w:rFonts w:cs="Calibri"/>
        </w:rPr>
        <w:t>26 school year.</w:t>
      </w:r>
    </w:p>
    <w:p w14:paraId="1DC8EFE5" w14:textId="77777777" w:rsidR="0093224D" w:rsidRPr="000B2AB8" w:rsidRDefault="0093224D" w:rsidP="00AB000E">
      <w:pPr>
        <w:rPr>
          <w:rFonts w:cs="Calibri"/>
        </w:rPr>
      </w:pPr>
    </w:p>
    <w:p w14:paraId="3FCDC677" w14:textId="1690C66A" w:rsidR="003244B0" w:rsidRPr="000B2AB8" w:rsidRDefault="00D83CE3" w:rsidP="003244B0">
      <w:r w:rsidRPr="000B2AB8">
        <w:t xml:space="preserve">To support the implementation of </w:t>
      </w:r>
      <w:r w:rsidR="00754481" w:rsidRPr="000B2AB8">
        <w:t xml:space="preserve">an </w:t>
      </w:r>
      <w:r w:rsidRPr="000B2AB8">
        <w:t xml:space="preserve">enrollment increase, SSCPS proposes </w:t>
      </w:r>
      <w:r w:rsidR="00DB1CF3" w:rsidRPr="000B2AB8">
        <w:t>expand</w:t>
      </w:r>
      <w:r w:rsidR="00754481" w:rsidRPr="000B2AB8">
        <w:t>ing</w:t>
      </w:r>
      <w:r w:rsidR="00DB1CF3" w:rsidRPr="000B2AB8">
        <w:t xml:space="preserve"> </w:t>
      </w:r>
      <w:r w:rsidR="007B18D7" w:rsidRPr="000B2AB8">
        <w:t>its staffing</w:t>
      </w:r>
      <w:r w:rsidR="003244B0" w:rsidRPr="000B2AB8">
        <w:t>, facility, and transportation</w:t>
      </w:r>
      <w:r w:rsidR="007B18D7" w:rsidRPr="000B2AB8">
        <w:t xml:space="preserve">. </w:t>
      </w:r>
      <w:r w:rsidR="003244B0" w:rsidRPr="000B2AB8">
        <w:t>The school plans to hire an additional administrator</w:t>
      </w:r>
      <w:r w:rsidR="008900C0" w:rsidRPr="000B2AB8">
        <w:t>;</w:t>
      </w:r>
      <w:r w:rsidR="003244B0" w:rsidRPr="000B2AB8">
        <w:t xml:space="preserve"> teachers</w:t>
      </w:r>
      <w:r w:rsidR="008900C0" w:rsidRPr="000B2AB8">
        <w:t>;</w:t>
      </w:r>
      <w:r w:rsidR="003244B0" w:rsidRPr="000B2AB8">
        <w:t xml:space="preserve"> special education teachers</w:t>
      </w:r>
      <w:r w:rsidR="008900C0" w:rsidRPr="000B2AB8">
        <w:t>;</w:t>
      </w:r>
      <w:r w:rsidR="003244B0" w:rsidRPr="000B2AB8">
        <w:t xml:space="preserve"> English language development teachers</w:t>
      </w:r>
      <w:r w:rsidR="008900C0" w:rsidRPr="000B2AB8">
        <w:t>;</w:t>
      </w:r>
      <w:r w:rsidR="003244B0" w:rsidRPr="000B2AB8">
        <w:t xml:space="preserve"> </w:t>
      </w:r>
      <w:r w:rsidR="004353A4" w:rsidRPr="000B2AB8">
        <w:t>paraprofessionals</w:t>
      </w:r>
      <w:r w:rsidR="008900C0" w:rsidRPr="000B2AB8">
        <w:t>;</w:t>
      </w:r>
      <w:r w:rsidR="004353A4" w:rsidRPr="000B2AB8">
        <w:t xml:space="preserve"> administrative support</w:t>
      </w:r>
      <w:r w:rsidR="008900C0" w:rsidRPr="000B2AB8">
        <w:t>;</w:t>
      </w:r>
      <w:r w:rsidR="004353A4" w:rsidRPr="000B2AB8">
        <w:t xml:space="preserve"> building operations</w:t>
      </w:r>
      <w:r w:rsidR="008900C0" w:rsidRPr="000B2AB8">
        <w:t>;</w:t>
      </w:r>
      <w:r w:rsidR="004353A4" w:rsidRPr="000B2AB8">
        <w:t xml:space="preserve"> </w:t>
      </w:r>
      <w:r w:rsidR="008900C0" w:rsidRPr="000B2AB8">
        <w:t xml:space="preserve">and </w:t>
      </w:r>
      <w:r w:rsidR="003244B0" w:rsidRPr="000B2AB8">
        <w:t>health, nutrition, and transportation services.</w:t>
      </w:r>
    </w:p>
    <w:p w14:paraId="63405EB2" w14:textId="77777777" w:rsidR="00493CB5" w:rsidRPr="000B2AB8" w:rsidRDefault="00493CB5" w:rsidP="003244B0"/>
    <w:p w14:paraId="5443A918" w14:textId="7ADBF2D8" w:rsidR="003244B0" w:rsidRPr="000B2AB8" w:rsidRDefault="003244B0" w:rsidP="003244B0">
      <w:r w:rsidRPr="000B2AB8">
        <w:t>SSCPS occupies three buildings in an office park in Norwell</w:t>
      </w:r>
      <w:r w:rsidR="00865937" w:rsidRPr="000B2AB8">
        <w:t xml:space="preserve"> and</w:t>
      </w:r>
      <w:r w:rsidRPr="000B2AB8">
        <w:t xml:space="preserve"> plans to access additional facility space </w:t>
      </w:r>
      <w:r w:rsidR="0094631A" w:rsidRPr="000B2AB8">
        <w:t xml:space="preserve">in </w:t>
      </w:r>
      <w:r w:rsidRPr="000B2AB8">
        <w:t xml:space="preserve">its current location. The school </w:t>
      </w:r>
      <w:r w:rsidR="0094631A" w:rsidRPr="000B2AB8">
        <w:t xml:space="preserve">intends to </w:t>
      </w:r>
      <w:r w:rsidRPr="000B2AB8">
        <w:t>secure the unoccupied second floor in its current high school building</w:t>
      </w:r>
      <w:r w:rsidR="0054748A" w:rsidRPr="000B2AB8">
        <w:t>, which will permit it</w:t>
      </w:r>
      <w:r w:rsidR="00064704" w:rsidRPr="000B2AB8">
        <w:t xml:space="preserve"> to</w:t>
      </w:r>
      <w:r w:rsidRPr="000B2AB8">
        <w:t xml:space="preserve"> occupy the entire building. The school plans to relocate grades 7 and 8 to the high school building</w:t>
      </w:r>
      <w:r w:rsidR="0054748A" w:rsidRPr="000B2AB8">
        <w:t>,</w:t>
      </w:r>
      <w:r w:rsidRPr="000B2AB8">
        <w:t xml:space="preserve"> provid</w:t>
      </w:r>
      <w:r w:rsidR="0054748A" w:rsidRPr="000B2AB8">
        <w:t>ing</w:t>
      </w:r>
      <w:r w:rsidRPr="000B2AB8">
        <w:t xml:space="preserve"> additional program space and alleviat</w:t>
      </w:r>
      <w:r w:rsidR="0054748A" w:rsidRPr="000B2AB8">
        <w:t>ing</w:t>
      </w:r>
      <w:r w:rsidRPr="000B2AB8">
        <w:t xml:space="preserve"> overcrowding in its </w:t>
      </w:r>
      <w:r w:rsidR="00930970" w:rsidRPr="000B2AB8">
        <w:t xml:space="preserve">current </w:t>
      </w:r>
      <w:r w:rsidRPr="000B2AB8">
        <w:t>K-8 location.</w:t>
      </w:r>
    </w:p>
    <w:p w14:paraId="43F83005" w14:textId="77777777" w:rsidR="00865937" w:rsidRPr="000B2AB8" w:rsidRDefault="00865937" w:rsidP="003244B0"/>
    <w:p w14:paraId="42BAD17D" w14:textId="3D7BA96C" w:rsidR="003244B0" w:rsidRPr="000B2AB8" w:rsidRDefault="005E2C65" w:rsidP="003244B0">
      <w:r w:rsidRPr="000B2AB8">
        <w:t>T</w:t>
      </w:r>
      <w:r w:rsidR="003244B0" w:rsidRPr="000B2AB8">
        <w:t xml:space="preserve">he school </w:t>
      </w:r>
      <w:r w:rsidRPr="000B2AB8">
        <w:t>has</w:t>
      </w:r>
      <w:r w:rsidR="003244B0" w:rsidRPr="000B2AB8">
        <w:t xml:space="preserve"> offer</w:t>
      </w:r>
      <w:r w:rsidRPr="000B2AB8">
        <w:t xml:space="preserve">ed </w:t>
      </w:r>
      <w:r w:rsidR="003244B0" w:rsidRPr="000B2AB8">
        <w:t xml:space="preserve">transportation services across the school’s region </w:t>
      </w:r>
      <w:r w:rsidRPr="000B2AB8">
        <w:t>for the past three years</w:t>
      </w:r>
      <w:r w:rsidR="00FF699D" w:rsidRPr="000B2AB8">
        <w:t xml:space="preserve">, </w:t>
      </w:r>
      <w:r w:rsidR="00B37398" w:rsidRPr="000B2AB8">
        <w:t>provid</w:t>
      </w:r>
      <w:r w:rsidR="00FF699D" w:rsidRPr="000B2AB8">
        <w:t>es</w:t>
      </w:r>
      <w:r w:rsidR="00B37398" w:rsidRPr="000B2AB8">
        <w:t xml:space="preserve"> 15 bus routes</w:t>
      </w:r>
      <w:r w:rsidR="00FF699D" w:rsidRPr="000B2AB8">
        <w:t>,</w:t>
      </w:r>
      <w:r w:rsidR="00D05ADB" w:rsidRPr="000B2AB8">
        <w:t xml:space="preserve"> </w:t>
      </w:r>
      <w:r w:rsidR="003244B0" w:rsidRPr="000B2AB8">
        <w:t>and receive</w:t>
      </w:r>
      <w:r w:rsidRPr="000B2AB8">
        <w:t>s</w:t>
      </w:r>
      <w:r w:rsidR="003244B0" w:rsidRPr="000B2AB8">
        <w:t xml:space="preserve"> reimbursement for regional transportation</w:t>
      </w:r>
      <w:r w:rsidR="00B37398" w:rsidRPr="000B2AB8">
        <w:t xml:space="preserve">. </w:t>
      </w:r>
      <w:r w:rsidR="002B53C9" w:rsidRPr="000B2AB8">
        <w:t xml:space="preserve">The school anticipates adding five additional buses over the next five years. </w:t>
      </w:r>
      <w:r w:rsidR="003244B0" w:rsidRPr="000B2AB8">
        <w:t xml:space="preserve">The school will reassess the transportation needs during </w:t>
      </w:r>
      <w:r w:rsidR="0039769B" w:rsidRPr="000B2AB8">
        <w:t>its expansion</w:t>
      </w:r>
      <w:r w:rsidR="003244B0" w:rsidRPr="000B2AB8">
        <w:t xml:space="preserve"> and </w:t>
      </w:r>
      <w:r w:rsidR="0039769B" w:rsidRPr="000B2AB8">
        <w:t xml:space="preserve">will </w:t>
      </w:r>
      <w:r w:rsidR="003244B0" w:rsidRPr="000B2AB8">
        <w:t xml:space="preserve">adjust its services and routes </w:t>
      </w:r>
      <w:r w:rsidR="00C256DC" w:rsidRPr="000B2AB8">
        <w:t>as needed</w:t>
      </w:r>
      <w:r w:rsidR="003244B0" w:rsidRPr="000B2AB8">
        <w:t xml:space="preserve">. </w:t>
      </w:r>
    </w:p>
    <w:p w14:paraId="78289256" w14:textId="77777777" w:rsidR="00BD0B83" w:rsidRPr="000B2AB8" w:rsidRDefault="00BD0B83" w:rsidP="00AB000E"/>
    <w:p w14:paraId="7D0275CD" w14:textId="1A144C57" w:rsidR="0012147C" w:rsidRPr="000B2AB8" w:rsidRDefault="007B4B22" w:rsidP="00AB000E">
      <w:r w:rsidRPr="000B2AB8">
        <w:t xml:space="preserve">SSCPS has a history of operating in accordance with its mission. </w:t>
      </w:r>
      <w:r w:rsidR="0012147C" w:rsidRPr="000B2AB8">
        <w:t xml:space="preserve">The school offers rigorous academic courses. The school supports the social-emotional needs of students through a response to intervention process, health and advisory programs, </w:t>
      </w:r>
      <w:r w:rsidR="00FF3721" w:rsidRPr="000B2AB8">
        <w:t>and</w:t>
      </w:r>
      <w:r w:rsidR="0012147C" w:rsidRPr="000B2AB8">
        <w:t xml:space="preserve"> clubs and extra-curricular activities. The school integrates community service in</w:t>
      </w:r>
      <w:r w:rsidR="009A625A" w:rsidRPr="000B2AB8">
        <w:t>to</w:t>
      </w:r>
      <w:r w:rsidR="0012147C" w:rsidRPr="000B2AB8">
        <w:t xml:space="preserve"> </w:t>
      </w:r>
      <w:r w:rsidR="00FF3721" w:rsidRPr="000B2AB8">
        <w:t>its</w:t>
      </w:r>
      <w:r w:rsidR="0012147C" w:rsidRPr="000B2AB8">
        <w:t xml:space="preserve"> curriculum</w:t>
      </w:r>
      <w:r w:rsidR="00FF3721" w:rsidRPr="000B2AB8">
        <w:t>,</w:t>
      </w:r>
      <w:r w:rsidR="0012147C" w:rsidRPr="000B2AB8">
        <w:t xml:space="preserve"> and students engage in project-based learning. The school offers Advanced Placement (AP) classes and promotes career readiness through internship programs. The school’s program includes activities and events that allow students to interact with each other across various grade levels, and school staff regularly review academic data and the curriculum to ensure the academic and social-emotional needs of students are met.</w:t>
      </w:r>
    </w:p>
    <w:p w14:paraId="0C9ED611" w14:textId="77777777" w:rsidR="00777E78" w:rsidRPr="000B2AB8" w:rsidRDefault="00777E78" w:rsidP="00933A19">
      <w:pPr>
        <w:ind w:firstLine="720"/>
      </w:pPr>
    </w:p>
    <w:p w14:paraId="68908EAF" w14:textId="60468666" w:rsidR="00933A19" w:rsidRPr="000B2AB8" w:rsidRDefault="00933A19" w:rsidP="00933A19">
      <w:pPr>
        <w:ind w:firstLine="720"/>
        <w:rPr>
          <w:b/>
          <w:bCs/>
        </w:rPr>
      </w:pPr>
      <w:r w:rsidRPr="000B2AB8">
        <w:rPr>
          <w:b/>
          <w:bCs/>
        </w:rPr>
        <w:t>Public Comment</w:t>
      </w:r>
    </w:p>
    <w:p w14:paraId="0CBEC1D8" w14:textId="77777777" w:rsidR="00933A19" w:rsidRPr="000B2AB8" w:rsidRDefault="00933A19" w:rsidP="00933A19"/>
    <w:p w14:paraId="0D1F2F06" w14:textId="1FEAC8CE" w:rsidR="00933A19" w:rsidRPr="000B2AB8" w:rsidRDefault="00333296" w:rsidP="00933A19">
      <w:r w:rsidRPr="000B2AB8">
        <w:t>No comment was received</w:t>
      </w:r>
      <w:r w:rsidR="00933A19" w:rsidRPr="000B2AB8">
        <w:rPr>
          <w:rFonts w:cs="Calibri"/>
        </w:rPr>
        <w:t>.</w:t>
      </w:r>
    </w:p>
    <w:p w14:paraId="005BAB76" w14:textId="77777777" w:rsidR="00933A19" w:rsidRPr="000B2AB8" w:rsidRDefault="00933A19" w:rsidP="00933A19"/>
    <w:p w14:paraId="57CD7CC5" w14:textId="77777777" w:rsidR="00933A19" w:rsidRPr="000B2AB8" w:rsidRDefault="00933A19" w:rsidP="007528C2">
      <w:pPr>
        <w:keepNext/>
        <w:rPr>
          <w:b/>
          <w:bCs/>
        </w:rPr>
      </w:pPr>
      <w:r w:rsidRPr="000B2AB8">
        <w:tab/>
      </w:r>
      <w:r w:rsidRPr="000B2AB8">
        <w:rPr>
          <w:b/>
          <w:bCs/>
        </w:rPr>
        <w:t>Recommendation</w:t>
      </w:r>
    </w:p>
    <w:p w14:paraId="01388689" w14:textId="77777777" w:rsidR="00933A19" w:rsidRPr="000B2AB8" w:rsidRDefault="00933A19" w:rsidP="007528C2">
      <w:pPr>
        <w:keepNext/>
      </w:pPr>
    </w:p>
    <w:p w14:paraId="708DE605" w14:textId="04AADF48" w:rsidR="00933A19" w:rsidRPr="000B2AB8" w:rsidRDefault="0084681B" w:rsidP="007528C2">
      <w:pPr>
        <w:keepNext/>
        <w:rPr>
          <w:rFonts w:cs="Calibri"/>
        </w:rPr>
      </w:pPr>
      <w:r w:rsidRPr="000B2AB8">
        <w:rPr>
          <w:rFonts w:cs="Calibri"/>
        </w:rPr>
        <w:t xml:space="preserve">The school’s request is reasonable and consistent with the charter school statute and regulations. </w:t>
      </w:r>
      <w:r w:rsidR="00807CFA" w:rsidRPr="000B2AB8">
        <w:rPr>
          <w:rFonts w:cs="Calibri"/>
        </w:rPr>
        <w:t xml:space="preserve">Overall, the submitted amendment request; my intended action to renew the school’s charter, as </w:t>
      </w:r>
      <w:r w:rsidR="00626891" w:rsidRPr="000B2AB8">
        <w:rPr>
          <w:rFonts w:cs="Calibri"/>
        </w:rPr>
        <w:t>I have</w:t>
      </w:r>
      <w:r w:rsidR="00807CFA" w:rsidRPr="000B2AB8">
        <w:rPr>
          <w:rFonts w:cs="Calibri"/>
        </w:rPr>
        <w:t xml:space="preserve"> notified you under separate cover in a memorandum dated </w:t>
      </w:r>
      <w:r w:rsidR="00807CFA" w:rsidRPr="006C4071">
        <w:rPr>
          <w:rFonts w:cs="Calibri"/>
        </w:rPr>
        <w:t xml:space="preserve">February </w:t>
      </w:r>
      <w:r w:rsidR="00860917" w:rsidRPr="006C4071">
        <w:rPr>
          <w:rFonts w:cs="Calibri"/>
        </w:rPr>
        <w:t>13</w:t>
      </w:r>
      <w:r w:rsidR="00807CFA" w:rsidRPr="006C4071">
        <w:rPr>
          <w:rFonts w:cs="Calibri"/>
        </w:rPr>
        <w:t>, 2025</w:t>
      </w:r>
      <w:r w:rsidR="00807CFA" w:rsidRPr="000B2AB8">
        <w:rPr>
          <w:rFonts w:cs="Calibri"/>
        </w:rPr>
        <w:t xml:space="preserve">; and the Department’s accountability records indicate that the school </w:t>
      </w:r>
      <w:r w:rsidR="00ED0540" w:rsidRPr="000B2AB8">
        <w:rPr>
          <w:rFonts w:cs="Calibri"/>
        </w:rPr>
        <w:t xml:space="preserve">is an </w:t>
      </w:r>
      <w:r w:rsidR="00807CFA" w:rsidRPr="000B2AB8">
        <w:rPr>
          <w:rFonts w:cs="Calibri"/>
        </w:rPr>
        <w:t xml:space="preserve">academic success, a viable organization, and </w:t>
      </w:r>
      <w:r w:rsidR="00853ECC" w:rsidRPr="000B2AB8">
        <w:rPr>
          <w:rFonts w:cs="Calibri"/>
        </w:rPr>
        <w:t xml:space="preserve">is </w:t>
      </w:r>
      <w:r w:rsidR="00807CFA" w:rsidRPr="000B2AB8">
        <w:rPr>
          <w:rFonts w:cs="Calibri"/>
        </w:rPr>
        <w:t xml:space="preserve">faithful to the terms of its charter. </w:t>
      </w:r>
      <w:r w:rsidR="00933A19" w:rsidRPr="000B2AB8">
        <w:rPr>
          <w:rFonts w:cs="Calibri"/>
        </w:rPr>
        <w:t xml:space="preserve">I recommend that the Board approve </w:t>
      </w:r>
      <w:r w:rsidR="00650417" w:rsidRPr="000B2AB8">
        <w:rPr>
          <w:rFonts w:cs="Calibri"/>
        </w:rPr>
        <w:t>t</w:t>
      </w:r>
      <w:r w:rsidR="002C2306" w:rsidRPr="000B2AB8">
        <w:rPr>
          <w:rFonts w:cs="Calibri"/>
        </w:rPr>
        <w:t>he</w:t>
      </w:r>
      <w:r w:rsidR="00650417" w:rsidRPr="000B2AB8">
        <w:rPr>
          <w:rFonts w:cs="Calibri"/>
        </w:rPr>
        <w:t xml:space="preserve"> </w:t>
      </w:r>
      <w:r w:rsidR="00933A19" w:rsidRPr="000B2AB8">
        <w:rPr>
          <w:rFonts w:cs="Calibri"/>
        </w:rPr>
        <w:t xml:space="preserve">increase </w:t>
      </w:r>
      <w:r w:rsidR="002C2306" w:rsidRPr="000B2AB8">
        <w:rPr>
          <w:rFonts w:cs="Calibri"/>
        </w:rPr>
        <w:t>in</w:t>
      </w:r>
      <w:r w:rsidR="00650417" w:rsidRPr="000B2AB8">
        <w:rPr>
          <w:rFonts w:cs="Calibri"/>
        </w:rPr>
        <w:t xml:space="preserve"> </w:t>
      </w:r>
      <w:r w:rsidR="00933A19" w:rsidRPr="000B2AB8">
        <w:rPr>
          <w:rFonts w:cs="Calibri"/>
        </w:rPr>
        <w:t xml:space="preserve">enrollment </w:t>
      </w:r>
      <w:r w:rsidR="002C2306" w:rsidRPr="000B2AB8">
        <w:rPr>
          <w:rFonts w:cs="Calibri"/>
        </w:rPr>
        <w:t xml:space="preserve">to serve an additional </w:t>
      </w:r>
      <w:r w:rsidR="00807CFA" w:rsidRPr="000B2AB8">
        <w:rPr>
          <w:rFonts w:cs="Calibri"/>
        </w:rPr>
        <w:t>225</w:t>
      </w:r>
      <w:r w:rsidR="00933A19" w:rsidRPr="000B2AB8">
        <w:rPr>
          <w:rFonts w:cs="Calibri"/>
        </w:rPr>
        <w:t xml:space="preserve"> students</w:t>
      </w:r>
      <w:r w:rsidR="00650417" w:rsidRPr="000B2AB8">
        <w:rPr>
          <w:rFonts w:cs="Calibri"/>
        </w:rPr>
        <w:t>,</w:t>
      </w:r>
      <w:r w:rsidR="00933A19" w:rsidRPr="000B2AB8">
        <w:rPr>
          <w:rFonts w:cs="Calibri"/>
        </w:rPr>
        <w:t xml:space="preserve"> as requested by the school. If the Board grant</w:t>
      </w:r>
      <w:r w:rsidR="00650417" w:rsidRPr="000B2AB8">
        <w:rPr>
          <w:rFonts w:cs="Calibri"/>
        </w:rPr>
        <w:t>s</w:t>
      </w:r>
      <w:r w:rsidR="00933A19" w:rsidRPr="000B2AB8">
        <w:rPr>
          <w:rFonts w:cs="Calibri"/>
        </w:rPr>
        <w:t xml:space="preserve"> </w:t>
      </w:r>
      <w:r w:rsidR="00650417" w:rsidRPr="000B2AB8">
        <w:rPr>
          <w:rFonts w:cs="Calibri"/>
        </w:rPr>
        <w:t xml:space="preserve">this </w:t>
      </w:r>
      <w:r w:rsidR="00933A19" w:rsidRPr="000B2AB8">
        <w:rPr>
          <w:rFonts w:cs="Calibri"/>
        </w:rPr>
        <w:t xml:space="preserve">request, the school will serve students in grades </w:t>
      </w:r>
      <w:r w:rsidR="00807CFA" w:rsidRPr="000B2AB8">
        <w:rPr>
          <w:rFonts w:cs="Calibri"/>
        </w:rPr>
        <w:t>K</w:t>
      </w:r>
      <w:r w:rsidR="00933A19" w:rsidRPr="000B2AB8">
        <w:rPr>
          <w:rFonts w:cs="Calibri"/>
        </w:rPr>
        <w:t xml:space="preserve">-12 with a maximum enrollment of </w:t>
      </w:r>
      <w:r w:rsidR="00807CFA" w:rsidRPr="000B2AB8">
        <w:rPr>
          <w:rFonts w:cs="Calibri"/>
        </w:rPr>
        <w:t>1,30</w:t>
      </w:r>
      <w:r w:rsidR="00933A19" w:rsidRPr="000B2AB8">
        <w:rPr>
          <w:rFonts w:cs="Calibri"/>
        </w:rPr>
        <w:t>0 students. A motion for approval is attached for your consideration.</w:t>
      </w:r>
    </w:p>
    <w:p w14:paraId="73465139" w14:textId="77777777" w:rsidR="00933A19" w:rsidRPr="000B2AB8" w:rsidRDefault="00933A19" w:rsidP="001D4DAA">
      <w:pPr>
        <w:rPr>
          <w:rFonts w:cs="Calibri"/>
          <w:b/>
          <w:bCs/>
        </w:rPr>
      </w:pPr>
    </w:p>
    <w:p w14:paraId="200642C8" w14:textId="60DACC6A" w:rsidR="009B1DE7" w:rsidRPr="000B2AB8" w:rsidRDefault="009B1DE7" w:rsidP="009033BE">
      <w:pPr>
        <w:keepNext/>
        <w:rPr>
          <w:rFonts w:cs="Calibri"/>
          <w:b/>
          <w:bCs/>
        </w:rPr>
      </w:pPr>
      <w:r w:rsidRPr="000B2AB8">
        <w:rPr>
          <w:rFonts w:cs="Calibri"/>
          <w:b/>
          <w:bCs/>
        </w:rPr>
        <w:t>Amendment to Charter Region</w:t>
      </w:r>
    </w:p>
    <w:p w14:paraId="1D0EE605" w14:textId="77777777" w:rsidR="009B1DE7" w:rsidRPr="000B2AB8" w:rsidRDefault="009B1DE7" w:rsidP="009033BE">
      <w:pPr>
        <w:keepNext/>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246"/>
        <w:gridCol w:w="2293"/>
        <w:gridCol w:w="1221"/>
        <w:gridCol w:w="3590"/>
      </w:tblGrid>
      <w:tr w:rsidR="002742C9" w:rsidRPr="000B2AB8" w14:paraId="6558F595" w14:textId="3B87033A" w:rsidTr="009D6EBA">
        <w:trPr>
          <w:trHeight w:val="432"/>
        </w:trPr>
        <w:tc>
          <w:tcPr>
            <w:tcW w:w="5000" w:type="pct"/>
            <w:gridSpan w:val="4"/>
            <w:shd w:val="clear" w:color="auto" w:fill="A6A6A6" w:themeFill="background1" w:themeFillShade="A6"/>
            <w:vAlign w:val="center"/>
            <w:hideMark/>
          </w:tcPr>
          <w:p w14:paraId="45938D87" w14:textId="39FB029C" w:rsidR="002742C9" w:rsidRPr="000B2AB8" w:rsidRDefault="002742C9" w:rsidP="009033BE">
            <w:pPr>
              <w:keepNext/>
              <w:ind w:left="90"/>
              <w:textAlignment w:val="baseline"/>
              <w:rPr>
                <w:rFonts w:eastAsia="Times New Roman" w:cs="Calibri"/>
                <w:b/>
                <w:bCs/>
                <w:sz w:val="28"/>
                <w:szCs w:val="28"/>
              </w:rPr>
            </w:pPr>
            <w:r w:rsidRPr="000B2AB8">
              <w:rPr>
                <w:rFonts w:eastAsia="Times New Roman" w:cs="Calibri"/>
                <w:b/>
                <w:bCs/>
                <w:sz w:val="28"/>
                <w:szCs w:val="28"/>
              </w:rPr>
              <w:t>Pioneer Valley Performing Arts Charter Public School</w:t>
            </w:r>
          </w:p>
        </w:tc>
      </w:tr>
      <w:tr w:rsidR="002742C9" w:rsidRPr="000B2AB8" w14:paraId="0484A97C" w14:textId="77777777" w:rsidTr="009D6EBA">
        <w:trPr>
          <w:trHeight w:val="315"/>
        </w:trPr>
        <w:tc>
          <w:tcPr>
            <w:tcW w:w="1201" w:type="pct"/>
            <w:shd w:val="clear" w:color="auto" w:fill="F2F2F2" w:themeFill="background1" w:themeFillShade="F2"/>
            <w:vAlign w:val="center"/>
            <w:hideMark/>
          </w:tcPr>
          <w:p w14:paraId="20D24A3E" w14:textId="77777777" w:rsidR="002742C9" w:rsidRPr="000B2AB8" w:rsidRDefault="002742C9" w:rsidP="009033BE">
            <w:pPr>
              <w:keepNext/>
              <w:ind w:left="75" w:firstLine="15"/>
              <w:textAlignment w:val="baseline"/>
              <w:rPr>
                <w:rFonts w:eastAsia="Times New Roman" w:cs="Times New Roman"/>
                <w:sz w:val="20"/>
                <w:szCs w:val="20"/>
              </w:rPr>
            </w:pPr>
            <w:r w:rsidRPr="000B2AB8">
              <w:rPr>
                <w:rFonts w:eastAsia="Times New Roman" w:cs="Calibri"/>
                <w:b/>
                <w:sz w:val="20"/>
                <w:szCs w:val="20"/>
              </w:rPr>
              <w:t>Type of Charter</w:t>
            </w:r>
          </w:p>
        </w:tc>
        <w:tc>
          <w:tcPr>
            <w:tcW w:w="1226" w:type="pct"/>
            <w:shd w:val="clear" w:color="auto" w:fill="auto"/>
            <w:vAlign w:val="center"/>
            <w:hideMark/>
          </w:tcPr>
          <w:p w14:paraId="3E7702B1" w14:textId="77777777" w:rsidR="002742C9" w:rsidRPr="000B2AB8" w:rsidRDefault="002742C9" w:rsidP="009033BE">
            <w:pPr>
              <w:keepNext/>
              <w:ind w:left="90" w:hanging="15"/>
              <w:textAlignment w:val="baseline"/>
              <w:rPr>
                <w:rFonts w:eastAsia="Times New Roman" w:cs="Times New Roman"/>
                <w:sz w:val="20"/>
                <w:szCs w:val="20"/>
              </w:rPr>
            </w:pPr>
            <w:r w:rsidRPr="000B2AB8">
              <w:rPr>
                <w:rFonts w:eastAsia="Times New Roman" w:cs="Calibri"/>
                <w:color w:val="000000"/>
                <w:sz w:val="20"/>
                <w:szCs w:val="20"/>
              </w:rPr>
              <w:t>Commonwealth</w:t>
            </w:r>
          </w:p>
        </w:tc>
        <w:tc>
          <w:tcPr>
            <w:tcW w:w="653" w:type="pct"/>
            <w:vMerge w:val="restart"/>
            <w:shd w:val="clear" w:color="auto" w:fill="F2F2F2" w:themeFill="background1" w:themeFillShade="F2"/>
            <w:vAlign w:val="center"/>
            <w:hideMark/>
          </w:tcPr>
          <w:p w14:paraId="76AF15CA" w14:textId="77777777" w:rsidR="002742C9" w:rsidRPr="000B2AB8" w:rsidRDefault="002742C9" w:rsidP="009033BE">
            <w:pPr>
              <w:keepNext/>
              <w:ind w:left="90"/>
              <w:jc w:val="center"/>
              <w:textAlignment w:val="baseline"/>
              <w:rPr>
                <w:rFonts w:eastAsia="Times New Roman" w:cs="Times New Roman"/>
                <w:sz w:val="20"/>
                <w:szCs w:val="20"/>
              </w:rPr>
            </w:pPr>
            <w:r w:rsidRPr="000B2AB8">
              <w:rPr>
                <w:rFonts w:eastAsia="Times New Roman" w:cs="Calibri"/>
                <w:b/>
                <w:sz w:val="20"/>
                <w:szCs w:val="20"/>
              </w:rPr>
              <w:t>Charter Region</w:t>
            </w:r>
          </w:p>
        </w:tc>
        <w:tc>
          <w:tcPr>
            <w:tcW w:w="1921" w:type="pct"/>
            <w:vMerge w:val="restart"/>
            <w:vAlign w:val="center"/>
          </w:tcPr>
          <w:p w14:paraId="52BB688E" w14:textId="30A7EB1C" w:rsidR="002742C9" w:rsidRPr="000B2AB8" w:rsidRDefault="002742C9" w:rsidP="009033BE">
            <w:pPr>
              <w:keepNext/>
              <w:textAlignment w:val="baseline"/>
              <w:rPr>
                <w:rFonts w:eastAsia="Times New Roman" w:cs="Times New Roman"/>
                <w:sz w:val="20"/>
                <w:szCs w:val="20"/>
              </w:rPr>
            </w:pPr>
            <w:r w:rsidRPr="000B2AB8">
              <w:rPr>
                <w:rFonts w:eastAsia="Times New Roman" w:cs="Times New Roman"/>
                <w:sz w:val="20"/>
                <w:szCs w:val="20"/>
              </w:rPr>
              <w:t>Agawam, Amherst-Pelham, Belchertown, Chicopee, East Longmeadow, Easthampton, Erving, Frontier, Gateway, Gill-Montague, Granby, Greenfield, Hadley, Hampden-Wilbraham, Hampshire, Hatfield, Holyoke, Longmeadow, Ludlow, Mohawk Trail, Monroe, Monson, Northampton, Palmer, Pioneer Valley, Ralph C. Mahar, Rowe, South Hadley, Southwick-Tolland-Granville Regional, Springfield, Tantasqua, Ware, West Springfield, and Westfield.</w:t>
            </w:r>
          </w:p>
        </w:tc>
      </w:tr>
      <w:tr w:rsidR="002742C9" w:rsidRPr="000B2AB8" w14:paraId="6217AAB5" w14:textId="77777777" w:rsidTr="009D6EBA">
        <w:trPr>
          <w:trHeight w:val="315"/>
        </w:trPr>
        <w:tc>
          <w:tcPr>
            <w:tcW w:w="1201" w:type="pct"/>
            <w:shd w:val="clear" w:color="auto" w:fill="F2F2F2" w:themeFill="background1" w:themeFillShade="F2"/>
            <w:vAlign w:val="center"/>
          </w:tcPr>
          <w:p w14:paraId="7066B28A" w14:textId="07D1EF8C" w:rsidR="002742C9" w:rsidRPr="000B2AB8" w:rsidRDefault="002742C9" w:rsidP="009033BE">
            <w:pPr>
              <w:keepNext/>
              <w:ind w:left="75" w:firstLine="15"/>
              <w:textAlignment w:val="baseline"/>
              <w:rPr>
                <w:rFonts w:eastAsia="Times New Roman" w:cs="Calibri"/>
                <w:b/>
                <w:sz w:val="20"/>
                <w:szCs w:val="20"/>
              </w:rPr>
            </w:pPr>
            <w:r w:rsidRPr="000B2AB8">
              <w:rPr>
                <w:rFonts w:eastAsia="Times New Roman" w:cs="Calibri"/>
                <w:b/>
                <w:sz w:val="20"/>
                <w:szCs w:val="20"/>
              </w:rPr>
              <w:t>Location</w:t>
            </w:r>
          </w:p>
        </w:tc>
        <w:tc>
          <w:tcPr>
            <w:tcW w:w="1226" w:type="pct"/>
            <w:shd w:val="clear" w:color="auto" w:fill="auto"/>
            <w:vAlign w:val="center"/>
          </w:tcPr>
          <w:p w14:paraId="2EDC56B0" w14:textId="66BF8571" w:rsidR="002742C9" w:rsidRPr="000B2AB8" w:rsidRDefault="002742C9" w:rsidP="009033BE">
            <w:pPr>
              <w:keepNext/>
              <w:ind w:left="90" w:hanging="15"/>
              <w:textAlignment w:val="baseline"/>
              <w:rPr>
                <w:rFonts w:eastAsia="Times New Roman" w:cs="Calibri"/>
                <w:color w:val="000000"/>
                <w:sz w:val="20"/>
                <w:szCs w:val="20"/>
              </w:rPr>
            </w:pPr>
            <w:r w:rsidRPr="000B2AB8">
              <w:rPr>
                <w:rFonts w:eastAsia="Times New Roman" w:cs="Calibri"/>
                <w:color w:val="000000"/>
                <w:sz w:val="20"/>
                <w:szCs w:val="20"/>
              </w:rPr>
              <w:t>South Hadley</w:t>
            </w:r>
          </w:p>
        </w:tc>
        <w:tc>
          <w:tcPr>
            <w:tcW w:w="653" w:type="pct"/>
            <w:vMerge/>
            <w:vAlign w:val="center"/>
          </w:tcPr>
          <w:p w14:paraId="55F66FD5" w14:textId="77777777" w:rsidR="002742C9" w:rsidRPr="000B2AB8" w:rsidRDefault="002742C9" w:rsidP="009033BE">
            <w:pPr>
              <w:keepNext/>
              <w:ind w:left="90"/>
              <w:textAlignment w:val="baseline"/>
              <w:rPr>
                <w:rFonts w:eastAsia="Times New Roman" w:cs="Calibri"/>
                <w:b/>
                <w:bCs/>
                <w:sz w:val="20"/>
                <w:szCs w:val="20"/>
              </w:rPr>
            </w:pPr>
          </w:p>
        </w:tc>
        <w:tc>
          <w:tcPr>
            <w:tcW w:w="1921" w:type="pct"/>
            <w:vMerge/>
          </w:tcPr>
          <w:p w14:paraId="5ECFE6E5" w14:textId="77777777" w:rsidR="002742C9" w:rsidRPr="000B2AB8" w:rsidRDefault="002742C9" w:rsidP="009033BE">
            <w:pPr>
              <w:keepNext/>
              <w:ind w:left="135"/>
              <w:textAlignment w:val="baseline"/>
              <w:rPr>
                <w:rFonts w:eastAsia="Times New Roman" w:cs="Times New Roman"/>
                <w:sz w:val="20"/>
                <w:szCs w:val="20"/>
              </w:rPr>
            </w:pPr>
          </w:p>
        </w:tc>
      </w:tr>
      <w:tr w:rsidR="002742C9" w:rsidRPr="000B2AB8" w14:paraId="2420CFE2" w14:textId="77777777" w:rsidTr="009D6EBA">
        <w:trPr>
          <w:trHeight w:val="315"/>
        </w:trPr>
        <w:tc>
          <w:tcPr>
            <w:tcW w:w="1201" w:type="pct"/>
            <w:shd w:val="clear" w:color="auto" w:fill="F2F2F2" w:themeFill="background1" w:themeFillShade="F2"/>
            <w:vAlign w:val="center"/>
          </w:tcPr>
          <w:p w14:paraId="40FCD4FE" w14:textId="4BB77731" w:rsidR="002742C9" w:rsidRPr="000B2AB8" w:rsidRDefault="002742C9" w:rsidP="009033BE">
            <w:pPr>
              <w:keepNext/>
              <w:ind w:left="75" w:firstLine="15"/>
              <w:textAlignment w:val="baseline"/>
              <w:rPr>
                <w:rFonts w:eastAsia="Times New Roman" w:cs="Calibri"/>
                <w:b/>
                <w:sz w:val="20"/>
                <w:szCs w:val="20"/>
              </w:rPr>
            </w:pPr>
            <w:r w:rsidRPr="000B2AB8">
              <w:rPr>
                <w:rFonts w:eastAsia="Times New Roman" w:cs="Calibri"/>
                <w:b/>
                <w:sz w:val="20"/>
                <w:szCs w:val="20"/>
              </w:rPr>
              <w:t>Year Opened</w:t>
            </w:r>
          </w:p>
        </w:tc>
        <w:tc>
          <w:tcPr>
            <w:tcW w:w="1226" w:type="pct"/>
            <w:shd w:val="clear" w:color="auto" w:fill="auto"/>
            <w:vAlign w:val="center"/>
          </w:tcPr>
          <w:p w14:paraId="3E83FC0D" w14:textId="1E2D3253" w:rsidR="002742C9" w:rsidRPr="000B2AB8" w:rsidRDefault="002742C9" w:rsidP="009033BE">
            <w:pPr>
              <w:keepNext/>
              <w:ind w:left="90" w:hanging="15"/>
              <w:textAlignment w:val="baseline"/>
              <w:rPr>
                <w:rFonts w:eastAsia="Times New Roman" w:cs="Calibri"/>
                <w:color w:val="000000"/>
                <w:sz w:val="20"/>
                <w:szCs w:val="20"/>
              </w:rPr>
            </w:pPr>
            <w:r w:rsidRPr="000B2AB8">
              <w:rPr>
                <w:rFonts w:eastAsia="Times New Roman" w:cs="Times New Roman"/>
                <w:sz w:val="20"/>
                <w:szCs w:val="20"/>
              </w:rPr>
              <w:t>1996</w:t>
            </w:r>
          </w:p>
        </w:tc>
        <w:tc>
          <w:tcPr>
            <w:tcW w:w="653" w:type="pct"/>
            <w:vMerge/>
            <w:vAlign w:val="center"/>
          </w:tcPr>
          <w:p w14:paraId="68694826" w14:textId="77777777" w:rsidR="002742C9" w:rsidRPr="000B2AB8" w:rsidRDefault="002742C9" w:rsidP="009033BE">
            <w:pPr>
              <w:keepNext/>
              <w:ind w:left="90"/>
              <w:textAlignment w:val="baseline"/>
              <w:rPr>
                <w:rFonts w:eastAsia="Times New Roman" w:cs="Calibri"/>
                <w:b/>
                <w:bCs/>
                <w:sz w:val="20"/>
                <w:szCs w:val="20"/>
              </w:rPr>
            </w:pPr>
          </w:p>
        </w:tc>
        <w:tc>
          <w:tcPr>
            <w:tcW w:w="1921" w:type="pct"/>
            <w:vMerge/>
          </w:tcPr>
          <w:p w14:paraId="3ACD8628" w14:textId="77777777" w:rsidR="002742C9" w:rsidRPr="000B2AB8" w:rsidRDefault="002742C9" w:rsidP="009033BE">
            <w:pPr>
              <w:keepNext/>
              <w:ind w:left="135"/>
              <w:textAlignment w:val="baseline"/>
              <w:rPr>
                <w:rFonts w:eastAsia="Times New Roman" w:cs="Times New Roman"/>
                <w:sz w:val="20"/>
                <w:szCs w:val="20"/>
              </w:rPr>
            </w:pPr>
          </w:p>
        </w:tc>
      </w:tr>
      <w:tr w:rsidR="002742C9" w:rsidRPr="000B2AB8" w14:paraId="0E82D2EF" w14:textId="77777777" w:rsidTr="009D6EBA">
        <w:trPr>
          <w:trHeight w:val="315"/>
        </w:trPr>
        <w:tc>
          <w:tcPr>
            <w:tcW w:w="1201" w:type="pct"/>
            <w:shd w:val="clear" w:color="auto" w:fill="F2F2F2" w:themeFill="background1" w:themeFillShade="F2"/>
            <w:vAlign w:val="center"/>
          </w:tcPr>
          <w:p w14:paraId="19D3DA02" w14:textId="0D97EFE2" w:rsidR="002742C9" w:rsidRPr="000B2AB8" w:rsidRDefault="002742C9" w:rsidP="009033BE">
            <w:pPr>
              <w:keepNext/>
              <w:ind w:left="75" w:firstLine="15"/>
              <w:textAlignment w:val="baseline"/>
              <w:rPr>
                <w:rFonts w:eastAsia="Times New Roman" w:cs="Times New Roman"/>
                <w:sz w:val="20"/>
                <w:szCs w:val="20"/>
              </w:rPr>
            </w:pPr>
            <w:r w:rsidRPr="000B2AB8">
              <w:rPr>
                <w:rFonts w:eastAsia="Times New Roman" w:cs="Calibri"/>
                <w:b/>
                <w:sz w:val="20"/>
                <w:szCs w:val="20"/>
              </w:rPr>
              <w:t>Year(s) Renewed</w:t>
            </w:r>
          </w:p>
        </w:tc>
        <w:tc>
          <w:tcPr>
            <w:tcW w:w="1226" w:type="pct"/>
            <w:shd w:val="clear" w:color="auto" w:fill="auto"/>
            <w:vAlign w:val="center"/>
          </w:tcPr>
          <w:p w14:paraId="6F5F4E73" w14:textId="42C7027E" w:rsidR="002742C9" w:rsidRPr="000B2AB8" w:rsidRDefault="002742C9" w:rsidP="009033BE">
            <w:pPr>
              <w:keepNext/>
              <w:ind w:left="90" w:hanging="15"/>
              <w:textAlignment w:val="baseline"/>
              <w:rPr>
                <w:rFonts w:eastAsia="Times New Roman" w:cs="Times New Roman"/>
                <w:sz w:val="20"/>
                <w:szCs w:val="20"/>
              </w:rPr>
            </w:pPr>
            <w:r w:rsidRPr="000B2AB8">
              <w:rPr>
                <w:rFonts w:eastAsia="Times New Roman" w:cs="Calibri"/>
                <w:sz w:val="20"/>
                <w:szCs w:val="20"/>
              </w:rPr>
              <w:t>2001, 2006, 2011, 2016, 2021</w:t>
            </w:r>
          </w:p>
        </w:tc>
        <w:tc>
          <w:tcPr>
            <w:tcW w:w="653" w:type="pct"/>
            <w:vMerge/>
            <w:vAlign w:val="center"/>
            <w:hideMark/>
          </w:tcPr>
          <w:p w14:paraId="365175CF" w14:textId="77777777" w:rsidR="002742C9" w:rsidRPr="000B2AB8" w:rsidRDefault="002742C9" w:rsidP="009033BE">
            <w:pPr>
              <w:keepNext/>
              <w:ind w:left="90"/>
              <w:textAlignment w:val="baseline"/>
              <w:rPr>
                <w:rFonts w:eastAsia="Times New Roman" w:cs="Times New Roman"/>
                <w:sz w:val="20"/>
                <w:szCs w:val="20"/>
              </w:rPr>
            </w:pPr>
          </w:p>
        </w:tc>
        <w:tc>
          <w:tcPr>
            <w:tcW w:w="1921" w:type="pct"/>
            <w:vMerge/>
          </w:tcPr>
          <w:p w14:paraId="73C9A4C8" w14:textId="77777777" w:rsidR="002742C9" w:rsidRPr="000B2AB8" w:rsidRDefault="002742C9" w:rsidP="009033BE">
            <w:pPr>
              <w:keepNext/>
              <w:ind w:left="135"/>
              <w:textAlignment w:val="baseline"/>
              <w:rPr>
                <w:rFonts w:eastAsia="Times New Roman" w:cs="Times New Roman"/>
                <w:sz w:val="20"/>
                <w:szCs w:val="20"/>
              </w:rPr>
            </w:pPr>
          </w:p>
        </w:tc>
      </w:tr>
      <w:tr w:rsidR="002742C9" w:rsidRPr="000B2AB8" w14:paraId="747E0FCC" w14:textId="77777777" w:rsidTr="009D6EBA">
        <w:trPr>
          <w:trHeight w:val="315"/>
        </w:trPr>
        <w:tc>
          <w:tcPr>
            <w:tcW w:w="1201" w:type="pct"/>
            <w:shd w:val="clear" w:color="auto" w:fill="F2F2F2" w:themeFill="background1" w:themeFillShade="F2"/>
            <w:vAlign w:val="center"/>
          </w:tcPr>
          <w:p w14:paraId="4BE2CB4D" w14:textId="1067CFE0" w:rsidR="002742C9" w:rsidRPr="000B2AB8" w:rsidRDefault="002742C9" w:rsidP="009033BE">
            <w:pPr>
              <w:keepNext/>
              <w:ind w:left="75"/>
              <w:textAlignment w:val="baseline"/>
              <w:rPr>
                <w:rFonts w:eastAsia="Times New Roman" w:cs="Calibri"/>
                <w:b/>
                <w:sz w:val="20"/>
                <w:szCs w:val="20"/>
              </w:rPr>
            </w:pPr>
            <w:r w:rsidRPr="000B2AB8">
              <w:rPr>
                <w:rFonts w:eastAsia="Times New Roman" w:cs="Calibri"/>
                <w:b/>
                <w:sz w:val="20"/>
                <w:szCs w:val="20"/>
              </w:rPr>
              <w:t>Chartered Grade Span</w:t>
            </w:r>
            <w:r w:rsidRPr="000B2AB8">
              <w:rPr>
                <w:rFonts w:ascii="Arial" w:eastAsia="Times New Roman" w:hAnsi="Arial" w:cs="Arial"/>
                <w:sz w:val="20"/>
                <w:szCs w:val="20"/>
              </w:rPr>
              <w:t> </w:t>
            </w:r>
            <w:r w:rsidRPr="000B2AB8">
              <w:rPr>
                <w:rFonts w:eastAsia="Times New Roman" w:cs="Aptos"/>
                <w:sz w:val="20"/>
                <w:szCs w:val="20"/>
              </w:rPr>
              <w:t> </w:t>
            </w:r>
          </w:p>
        </w:tc>
        <w:tc>
          <w:tcPr>
            <w:tcW w:w="1226" w:type="pct"/>
            <w:shd w:val="clear" w:color="auto" w:fill="auto"/>
            <w:vAlign w:val="center"/>
          </w:tcPr>
          <w:p w14:paraId="569E36D1" w14:textId="799E8902" w:rsidR="002742C9" w:rsidRPr="000B2AB8" w:rsidRDefault="002742C9" w:rsidP="009033BE">
            <w:pPr>
              <w:keepNext/>
              <w:ind w:left="90"/>
              <w:textAlignment w:val="baseline"/>
              <w:rPr>
                <w:rFonts w:eastAsia="Times New Roman" w:cs="Calibri"/>
                <w:color w:val="000000"/>
                <w:sz w:val="20"/>
                <w:szCs w:val="20"/>
              </w:rPr>
            </w:pPr>
            <w:r w:rsidRPr="000B2AB8">
              <w:rPr>
                <w:rFonts w:eastAsia="Times New Roman" w:cs="Times New Roman"/>
                <w:sz w:val="20"/>
                <w:szCs w:val="20"/>
              </w:rPr>
              <w:t>7-12</w:t>
            </w:r>
          </w:p>
        </w:tc>
        <w:tc>
          <w:tcPr>
            <w:tcW w:w="653" w:type="pct"/>
            <w:vMerge/>
            <w:vAlign w:val="center"/>
          </w:tcPr>
          <w:p w14:paraId="0EA9D4B5" w14:textId="77777777" w:rsidR="002742C9" w:rsidRPr="000B2AB8" w:rsidRDefault="002742C9" w:rsidP="009033BE">
            <w:pPr>
              <w:keepNext/>
              <w:ind w:left="90"/>
              <w:textAlignment w:val="baseline"/>
              <w:rPr>
                <w:rFonts w:eastAsia="Times New Roman" w:cs="Calibri"/>
                <w:b/>
                <w:bCs/>
                <w:sz w:val="20"/>
                <w:szCs w:val="20"/>
              </w:rPr>
            </w:pPr>
          </w:p>
        </w:tc>
        <w:tc>
          <w:tcPr>
            <w:tcW w:w="1921" w:type="pct"/>
            <w:vMerge/>
          </w:tcPr>
          <w:p w14:paraId="5BD9A54E" w14:textId="77777777" w:rsidR="002742C9" w:rsidRPr="000B2AB8" w:rsidRDefault="002742C9" w:rsidP="009033BE">
            <w:pPr>
              <w:keepNext/>
              <w:ind w:left="135"/>
              <w:textAlignment w:val="baseline"/>
              <w:rPr>
                <w:rFonts w:eastAsia="Times New Roman" w:cs="Calibri"/>
                <w:color w:val="000000"/>
                <w:sz w:val="20"/>
                <w:szCs w:val="20"/>
              </w:rPr>
            </w:pPr>
          </w:p>
        </w:tc>
      </w:tr>
      <w:tr w:rsidR="00560EA3" w:rsidRPr="000B2AB8" w14:paraId="3DCBEF92" w14:textId="77777777" w:rsidTr="009D6EBA">
        <w:trPr>
          <w:trHeight w:val="315"/>
        </w:trPr>
        <w:tc>
          <w:tcPr>
            <w:tcW w:w="1201" w:type="pct"/>
            <w:shd w:val="clear" w:color="auto" w:fill="F2F2F2" w:themeFill="background1" w:themeFillShade="F2"/>
            <w:vAlign w:val="center"/>
          </w:tcPr>
          <w:p w14:paraId="1C55C63A" w14:textId="2E61DCC3" w:rsidR="00560EA3" w:rsidRPr="000B2AB8" w:rsidRDefault="00560EA3" w:rsidP="009033BE">
            <w:pPr>
              <w:keepNext/>
              <w:ind w:left="75"/>
              <w:textAlignment w:val="baseline"/>
              <w:rPr>
                <w:rFonts w:eastAsia="Times New Roman" w:cs="Calibri"/>
                <w:b/>
                <w:sz w:val="20"/>
                <w:szCs w:val="20"/>
              </w:rPr>
            </w:pPr>
            <w:r w:rsidRPr="000B2AB8">
              <w:rPr>
                <w:rFonts w:eastAsia="Times New Roman" w:cs="Calibri"/>
                <w:b/>
                <w:sz w:val="20"/>
                <w:szCs w:val="20"/>
              </w:rPr>
              <w:t>Current Grade Span</w:t>
            </w:r>
          </w:p>
        </w:tc>
        <w:tc>
          <w:tcPr>
            <w:tcW w:w="1226" w:type="pct"/>
            <w:shd w:val="clear" w:color="auto" w:fill="auto"/>
            <w:vAlign w:val="center"/>
          </w:tcPr>
          <w:p w14:paraId="21A2522D" w14:textId="36497464" w:rsidR="00560EA3" w:rsidRPr="000B2AB8" w:rsidRDefault="00560EA3" w:rsidP="009033BE">
            <w:pPr>
              <w:keepNext/>
              <w:ind w:left="90"/>
              <w:textAlignment w:val="baseline"/>
              <w:rPr>
                <w:rFonts w:eastAsia="Times New Roman" w:cs="Times New Roman"/>
                <w:sz w:val="20"/>
                <w:szCs w:val="20"/>
              </w:rPr>
            </w:pPr>
            <w:r w:rsidRPr="000B2AB8">
              <w:rPr>
                <w:rFonts w:eastAsia="Times New Roman" w:cs="Times New Roman"/>
                <w:sz w:val="20"/>
                <w:szCs w:val="20"/>
              </w:rPr>
              <w:t>7-12</w:t>
            </w:r>
          </w:p>
        </w:tc>
        <w:tc>
          <w:tcPr>
            <w:tcW w:w="653" w:type="pct"/>
            <w:vMerge/>
            <w:vAlign w:val="center"/>
          </w:tcPr>
          <w:p w14:paraId="6B3744D0" w14:textId="77777777" w:rsidR="00560EA3" w:rsidRPr="000B2AB8" w:rsidRDefault="00560EA3" w:rsidP="009033BE">
            <w:pPr>
              <w:keepNext/>
              <w:ind w:left="90"/>
              <w:textAlignment w:val="baseline"/>
              <w:rPr>
                <w:rFonts w:eastAsia="Times New Roman" w:cs="Calibri"/>
                <w:b/>
                <w:bCs/>
                <w:sz w:val="20"/>
                <w:szCs w:val="20"/>
              </w:rPr>
            </w:pPr>
          </w:p>
        </w:tc>
        <w:tc>
          <w:tcPr>
            <w:tcW w:w="1921" w:type="pct"/>
            <w:vMerge/>
          </w:tcPr>
          <w:p w14:paraId="4257CFCE" w14:textId="77777777" w:rsidR="00560EA3" w:rsidRPr="000B2AB8" w:rsidRDefault="00560EA3" w:rsidP="009033BE">
            <w:pPr>
              <w:keepNext/>
              <w:ind w:left="135"/>
              <w:textAlignment w:val="baseline"/>
              <w:rPr>
                <w:rFonts w:eastAsia="Times New Roman" w:cs="Calibri"/>
                <w:color w:val="000000"/>
                <w:sz w:val="20"/>
                <w:szCs w:val="20"/>
              </w:rPr>
            </w:pPr>
          </w:p>
        </w:tc>
      </w:tr>
      <w:tr w:rsidR="002742C9" w:rsidRPr="000B2AB8" w14:paraId="0EAA75AA" w14:textId="77777777" w:rsidTr="009D6EBA">
        <w:trPr>
          <w:trHeight w:val="357"/>
        </w:trPr>
        <w:tc>
          <w:tcPr>
            <w:tcW w:w="1201" w:type="pct"/>
            <w:shd w:val="clear" w:color="auto" w:fill="F2F2F2" w:themeFill="background1" w:themeFillShade="F2"/>
            <w:vAlign w:val="center"/>
          </w:tcPr>
          <w:p w14:paraId="23310A09" w14:textId="77DC8129" w:rsidR="002742C9" w:rsidRPr="000B2AB8" w:rsidRDefault="002742C9" w:rsidP="009033BE">
            <w:pPr>
              <w:keepNext/>
              <w:ind w:left="75"/>
              <w:textAlignment w:val="baseline"/>
              <w:rPr>
                <w:rFonts w:eastAsia="Times New Roman" w:cs="Calibri"/>
                <w:b/>
                <w:sz w:val="20"/>
                <w:szCs w:val="20"/>
              </w:rPr>
            </w:pPr>
            <w:r w:rsidRPr="000B2AB8">
              <w:rPr>
                <w:rFonts w:eastAsia="Times New Roman" w:cs="Calibri"/>
                <w:b/>
                <w:sz w:val="20"/>
                <w:szCs w:val="20"/>
              </w:rPr>
              <w:t>Maximum Enrollment</w:t>
            </w:r>
            <w:r w:rsidRPr="000B2AB8">
              <w:rPr>
                <w:rFonts w:ascii="Arial" w:eastAsia="Times New Roman" w:hAnsi="Arial" w:cs="Arial"/>
                <w:sz w:val="20"/>
                <w:szCs w:val="20"/>
              </w:rPr>
              <w:t> </w:t>
            </w:r>
          </w:p>
        </w:tc>
        <w:tc>
          <w:tcPr>
            <w:tcW w:w="1226" w:type="pct"/>
            <w:shd w:val="clear" w:color="auto" w:fill="auto"/>
            <w:vAlign w:val="center"/>
          </w:tcPr>
          <w:p w14:paraId="2B5AB7BD" w14:textId="7A18B495" w:rsidR="002742C9" w:rsidRPr="000B2AB8" w:rsidRDefault="002742C9" w:rsidP="009033BE">
            <w:pPr>
              <w:keepNext/>
              <w:ind w:left="90"/>
              <w:textAlignment w:val="baseline"/>
              <w:rPr>
                <w:rFonts w:eastAsia="Times New Roman" w:cs="Calibri"/>
                <w:color w:val="000000"/>
                <w:sz w:val="20"/>
                <w:szCs w:val="20"/>
              </w:rPr>
            </w:pPr>
            <w:r w:rsidRPr="000B2AB8">
              <w:rPr>
                <w:rFonts w:eastAsia="Times New Roman" w:cs="Times New Roman"/>
                <w:sz w:val="20"/>
                <w:szCs w:val="20"/>
              </w:rPr>
              <w:t>400</w:t>
            </w:r>
          </w:p>
        </w:tc>
        <w:tc>
          <w:tcPr>
            <w:tcW w:w="653" w:type="pct"/>
            <w:vMerge/>
            <w:vAlign w:val="center"/>
          </w:tcPr>
          <w:p w14:paraId="5247978A" w14:textId="77777777" w:rsidR="002742C9" w:rsidRPr="000B2AB8" w:rsidRDefault="002742C9" w:rsidP="009033BE">
            <w:pPr>
              <w:keepNext/>
              <w:ind w:left="90"/>
              <w:textAlignment w:val="baseline"/>
              <w:rPr>
                <w:rFonts w:eastAsia="Times New Roman" w:cs="Calibri"/>
                <w:b/>
                <w:bCs/>
                <w:sz w:val="20"/>
                <w:szCs w:val="20"/>
              </w:rPr>
            </w:pPr>
          </w:p>
        </w:tc>
        <w:tc>
          <w:tcPr>
            <w:tcW w:w="1921" w:type="pct"/>
            <w:vMerge/>
          </w:tcPr>
          <w:p w14:paraId="370E9210" w14:textId="77777777" w:rsidR="002742C9" w:rsidRPr="000B2AB8" w:rsidRDefault="002742C9" w:rsidP="009033BE">
            <w:pPr>
              <w:keepNext/>
              <w:ind w:left="135"/>
              <w:textAlignment w:val="baseline"/>
              <w:rPr>
                <w:rFonts w:eastAsia="Times New Roman" w:cs="Calibri"/>
                <w:sz w:val="20"/>
                <w:szCs w:val="20"/>
              </w:rPr>
            </w:pPr>
          </w:p>
        </w:tc>
      </w:tr>
      <w:tr w:rsidR="002742C9" w:rsidRPr="000B2AB8" w14:paraId="34E78F5E" w14:textId="77777777" w:rsidTr="009D6EBA">
        <w:trPr>
          <w:trHeight w:val="286"/>
        </w:trPr>
        <w:tc>
          <w:tcPr>
            <w:tcW w:w="1201" w:type="pct"/>
            <w:shd w:val="clear" w:color="auto" w:fill="F2F2F2" w:themeFill="background1" w:themeFillShade="F2"/>
            <w:vAlign w:val="center"/>
          </w:tcPr>
          <w:p w14:paraId="66B5D11B" w14:textId="09471D5E" w:rsidR="002742C9" w:rsidRPr="000B2AB8" w:rsidRDefault="002742C9" w:rsidP="009033BE">
            <w:pPr>
              <w:keepNext/>
              <w:ind w:left="75"/>
              <w:textAlignment w:val="baseline"/>
              <w:rPr>
                <w:rFonts w:eastAsia="Times New Roman" w:cs="Calibri"/>
                <w:b/>
                <w:sz w:val="20"/>
                <w:szCs w:val="20"/>
              </w:rPr>
            </w:pPr>
            <w:r w:rsidRPr="000B2AB8">
              <w:rPr>
                <w:rFonts w:eastAsia="Times New Roman" w:cs="Calibri"/>
                <w:b/>
                <w:sz w:val="20"/>
                <w:szCs w:val="20"/>
              </w:rPr>
              <w:t>Current Enrollment</w:t>
            </w:r>
          </w:p>
        </w:tc>
        <w:tc>
          <w:tcPr>
            <w:tcW w:w="1226" w:type="pct"/>
            <w:shd w:val="clear" w:color="auto" w:fill="auto"/>
            <w:vAlign w:val="center"/>
          </w:tcPr>
          <w:p w14:paraId="6823E0E2" w14:textId="083E63A3" w:rsidR="002742C9" w:rsidRPr="000B2AB8" w:rsidRDefault="002742C9" w:rsidP="009033BE">
            <w:pPr>
              <w:keepNext/>
              <w:ind w:left="90"/>
              <w:textAlignment w:val="baseline"/>
              <w:rPr>
                <w:rFonts w:eastAsia="Times New Roman" w:cs="Calibri"/>
                <w:color w:val="000000"/>
                <w:sz w:val="20"/>
                <w:szCs w:val="20"/>
              </w:rPr>
            </w:pPr>
            <w:r w:rsidRPr="000B2AB8">
              <w:rPr>
                <w:rFonts w:eastAsia="Times New Roman" w:cs="Calibri"/>
                <w:color w:val="000000"/>
                <w:sz w:val="20"/>
                <w:szCs w:val="20"/>
              </w:rPr>
              <w:t>397</w:t>
            </w:r>
          </w:p>
        </w:tc>
        <w:tc>
          <w:tcPr>
            <w:tcW w:w="653" w:type="pct"/>
            <w:vMerge/>
            <w:vAlign w:val="center"/>
          </w:tcPr>
          <w:p w14:paraId="43772368" w14:textId="77777777" w:rsidR="002742C9" w:rsidRPr="000B2AB8" w:rsidRDefault="002742C9" w:rsidP="009033BE">
            <w:pPr>
              <w:keepNext/>
              <w:ind w:left="90"/>
              <w:textAlignment w:val="baseline"/>
              <w:rPr>
                <w:rFonts w:eastAsia="Times New Roman" w:cs="Calibri"/>
                <w:b/>
                <w:bCs/>
                <w:sz w:val="20"/>
                <w:szCs w:val="20"/>
              </w:rPr>
            </w:pPr>
          </w:p>
        </w:tc>
        <w:tc>
          <w:tcPr>
            <w:tcW w:w="1921" w:type="pct"/>
            <w:vMerge/>
          </w:tcPr>
          <w:p w14:paraId="6BA1E976" w14:textId="77777777" w:rsidR="002742C9" w:rsidRPr="000B2AB8" w:rsidRDefault="002742C9" w:rsidP="009033BE">
            <w:pPr>
              <w:keepNext/>
              <w:ind w:left="135"/>
              <w:textAlignment w:val="baseline"/>
              <w:rPr>
                <w:rFonts w:eastAsia="Times New Roman" w:cs="Calibri"/>
                <w:sz w:val="20"/>
                <w:szCs w:val="20"/>
              </w:rPr>
            </w:pPr>
          </w:p>
        </w:tc>
      </w:tr>
      <w:tr w:rsidR="002742C9" w:rsidRPr="000B2AB8" w14:paraId="68606788" w14:textId="77777777" w:rsidTr="009D6EBA">
        <w:trPr>
          <w:trHeight w:val="286"/>
        </w:trPr>
        <w:tc>
          <w:tcPr>
            <w:tcW w:w="1201" w:type="pct"/>
            <w:shd w:val="clear" w:color="auto" w:fill="F2F2F2" w:themeFill="background1" w:themeFillShade="F2"/>
            <w:vAlign w:val="center"/>
          </w:tcPr>
          <w:p w14:paraId="6717CFF1" w14:textId="72DEE080" w:rsidR="002742C9" w:rsidRPr="000B2AB8" w:rsidRDefault="002742C9" w:rsidP="009033BE">
            <w:pPr>
              <w:keepNext/>
              <w:ind w:left="75"/>
              <w:textAlignment w:val="baseline"/>
              <w:rPr>
                <w:rFonts w:eastAsia="Times New Roman" w:cs="Calibri"/>
                <w:b/>
                <w:sz w:val="20"/>
                <w:szCs w:val="20"/>
              </w:rPr>
            </w:pPr>
            <w:r w:rsidRPr="000B2AB8">
              <w:rPr>
                <w:rFonts w:eastAsia="Times New Roman" w:cs="Calibri"/>
                <w:b/>
                <w:sz w:val="20"/>
                <w:szCs w:val="20"/>
              </w:rPr>
              <w:t>Students on Waitlist</w:t>
            </w:r>
            <w:r w:rsidRPr="000B2AB8">
              <w:rPr>
                <w:rFonts w:ascii="Arial" w:eastAsia="Times New Roman" w:hAnsi="Arial" w:cs="Arial"/>
                <w:sz w:val="20"/>
                <w:szCs w:val="20"/>
              </w:rPr>
              <w:t> </w:t>
            </w:r>
            <w:r w:rsidRPr="000B2AB8">
              <w:rPr>
                <w:rFonts w:eastAsia="Times New Roman" w:cs="Aptos"/>
                <w:sz w:val="20"/>
                <w:szCs w:val="20"/>
              </w:rPr>
              <w:t> </w:t>
            </w:r>
          </w:p>
        </w:tc>
        <w:tc>
          <w:tcPr>
            <w:tcW w:w="1226" w:type="pct"/>
            <w:shd w:val="clear" w:color="auto" w:fill="auto"/>
            <w:vAlign w:val="center"/>
          </w:tcPr>
          <w:p w14:paraId="179144FE" w14:textId="6B5788DB" w:rsidR="002742C9" w:rsidRPr="000B2AB8" w:rsidRDefault="002742C9" w:rsidP="009033BE">
            <w:pPr>
              <w:keepNext/>
              <w:ind w:left="90"/>
              <w:textAlignment w:val="baseline"/>
              <w:rPr>
                <w:rFonts w:eastAsia="Times New Roman" w:cs="Calibri"/>
                <w:color w:val="000000"/>
                <w:sz w:val="20"/>
                <w:szCs w:val="20"/>
              </w:rPr>
            </w:pPr>
            <w:r w:rsidRPr="000B2AB8">
              <w:rPr>
                <w:rFonts w:eastAsia="Times New Roman" w:cs="Calibri"/>
                <w:color w:val="000000"/>
                <w:sz w:val="20"/>
                <w:szCs w:val="20"/>
              </w:rPr>
              <w:t xml:space="preserve">FY25 Initial: 171   </w:t>
            </w:r>
            <w:r w:rsidRPr="000B2AB8">
              <w:rPr>
                <w:rFonts w:eastAsia="Times New Roman" w:cs="Calibri"/>
                <w:color w:val="000000"/>
                <w:sz w:val="20"/>
                <w:szCs w:val="20"/>
              </w:rPr>
              <w:br/>
            </w:r>
            <w:r w:rsidRPr="006C4071">
              <w:rPr>
                <w:rFonts w:eastAsia="Times New Roman" w:cs="Calibri"/>
                <w:color w:val="000000"/>
                <w:sz w:val="20"/>
                <w:szCs w:val="20"/>
              </w:rPr>
              <w:t>FY25 Update: 43</w:t>
            </w:r>
            <w:r w:rsidRPr="000B2AB8">
              <w:rPr>
                <w:rFonts w:eastAsia="Times New Roman" w:cs="Calibri"/>
                <w:color w:val="000000"/>
                <w:sz w:val="20"/>
                <w:szCs w:val="20"/>
              </w:rPr>
              <w:t> </w:t>
            </w:r>
          </w:p>
        </w:tc>
        <w:tc>
          <w:tcPr>
            <w:tcW w:w="653" w:type="pct"/>
            <w:vMerge/>
            <w:vAlign w:val="center"/>
          </w:tcPr>
          <w:p w14:paraId="3B108217" w14:textId="77777777" w:rsidR="002742C9" w:rsidRPr="000B2AB8" w:rsidRDefault="002742C9" w:rsidP="009033BE">
            <w:pPr>
              <w:keepNext/>
              <w:ind w:left="90"/>
              <w:textAlignment w:val="baseline"/>
              <w:rPr>
                <w:rFonts w:eastAsia="Times New Roman" w:cs="Calibri"/>
                <w:b/>
                <w:bCs/>
                <w:sz w:val="20"/>
                <w:szCs w:val="20"/>
              </w:rPr>
            </w:pPr>
          </w:p>
        </w:tc>
        <w:tc>
          <w:tcPr>
            <w:tcW w:w="1921" w:type="pct"/>
            <w:vMerge/>
          </w:tcPr>
          <w:p w14:paraId="0352A125" w14:textId="77777777" w:rsidR="002742C9" w:rsidRPr="000B2AB8" w:rsidRDefault="002742C9" w:rsidP="009033BE">
            <w:pPr>
              <w:keepNext/>
              <w:ind w:left="135"/>
              <w:textAlignment w:val="baseline"/>
              <w:rPr>
                <w:rFonts w:eastAsia="Times New Roman" w:cs="Calibri"/>
                <w:sz w:val="20"/>
                <w:szCs w:val="20"/>
              </w:rPr>
            </w:pPr>
          </w:p>
        </w:tc>
      </w:tr>
      <w:tr w:rsidR="002742C9" w:rsidRPr="000B2AB8" w14:paraId="19C1DA11" w14:textId="77777777" w:rsidTr="009D6EBA">
        <w:trPr>
          <w:trHeight w:val="286"/>
        </w:trPr>
        <w:tc>
          <w:tcPr>
            <w:tcW w:w="1201" w:type="pct"/>
            <w:shd w:val="clear" w:color="auto" w:fill="F2F2F2" w:themeFill="background1" w:themeFillShade="F2"/>
            <w:vAlign w:val="center"/>
          </w:tcPr>
          <w:p w14:paraId="229199B9" w14:textId="394D2C73" w:rsidR="002742C9" w:rsidRPr="000B2AB8" w:rsidRDefault="002742C9" w:rsidP="009033BE">
            <w:pPr>
              <w:keepNext/>
              <w:ind w:left="75"/>
              <w:textAlignment w:val="baseline"/>
              <w:rPr>
                <w:rFonts w:eastAsia="Times New Roman" w:cs="Calibri"/>
                <w:b/>
                <w:sz w:val="20"/>
                <w:szCs w:val="20"/>
              </w:rPr>
            </w:pPr>
            <w:r w:rsidRPr="000B2AB8">
              <w:rPr>
                <w:rFonts w:eastAsia="Times New Roman" w:cs="Calibri"/>
                <w:b/>
                <w:sz w:val="20"/>
                <w:szCs w:val="20"/>
              </w:rPr>
              <w:t>Current Age of School</w:t>
            </w:r>
          </w:p>
        </w:tc>
        <w:tc>
          <w:tcPr>
            <w:tcW w:w="1226" w:type="pct"/>
            <w:shd w:val="clear" w:color="auto" w:fill="auto"/>
            <w:vAlign w:val="center"/>
          </w:tcPr>
          <w:p w14:paraId="46C3189C" w14:textId="60AF0F84" w:rsidR="002742C9" w:rsidRPr="000B2AB8" w:rsidRDefault="002742C9" w:rsidP="009033BE">
            <w:pPr>
              <w:keepNext/>
              <w:ind w:left="90"/>
              <w:textAlignment w:val="baseline"/>
              <w:rPr>
                <w:rFonts w:eastAsia="Times New Roman" w:cs="Calibri"/>
                <w:color w:val="000000"/>
                <w:sz w:val="20"/>
                <w:szCs w:val="20"/>
              </w:rPr>
            </w:pPr>
            <w:r w:rsidRPr="000B2AB8">
              <w:rPr>
                <w:rFonts w:eastAsia="Times New Roman" w:cs="Calibri"/>
                <w:color w:val="000000"/>
                <w:sz w:val="20"/>
                <w:szCs w:val="20"/>
              </w:rPr>
              <w:t>29 years</w:t>
            </w:r>
          </w:p>
        </w:tc>
        <w:tc>
          <w:tcPr>
            <w:tcW w:w="653" w:type="pct"/>
            <w:vMerge/>
            <w:vAlign w:val="center"/>
          </w:tcPr>
          <w:p w14:paraId="459400AC" w14:textId="77777777" w:rsidR="002742C9" w:rsidRPr="000B2AB8" w:rsidRDefault="002742C9" w:rsidP="009033BE">
            <w:pPr>
              <w:keepNext/>
              <w:ind w:left="90"/>
              <w:textAlignment w:val="baseline"/>
              <w:rPr>
                <w:rFonts w:eastAsia="Times New Roman" w:cs="Calibri"/>
                <w:b/>
                <w:bCs/>
                <w:sz w:val="20"/>
                <w:szCs w:val="20"/>
              </w:rPr>
            </w:pPr>
          </w:p>
        </w:tc>
        <w:tc>
          <w:tcPr>
            <w:tcW w:w="1921" w:type="pct"/>
            <w:vMerge/>
          </w:tcPr>
          <w:p w14:paraId="51A22A91" w14:textId="77777777" w:rsidR="002742C9" w:rsidRPr="000B2AB8" w:rsidRDefault="002742C9" w:rsidP="009033BE">
            <w:pPr>
              <w:keepNext/>
              <w:ind w:left="135"/>
              <w:textAlignment w:val="baseline"/>
              <w:rPr>
                <w:rFonts w:eastAsia="Times New Roman" w:cs="Calibri"/>
                <w:sz w:val="20"/>
                <w:szCs w:val="20"/>
              </w:rPr>
            </w:pPr>
          </w:p>
        </w:tc>
      </w:tr>
      <w:tr w:rsidR="002742C9" w:rsidRPr="000B2AB8" w14:paraId="0A2682DA" w14:textId="7D2F7332" w:rsidTr="009D6EBA">
        <w:trPr>
          <w:trHeight w:val="536"/>
        </w:trPr>
        <w:tc>
          <w:tcPr>
            <w:tcW w:w="5000" w:type="pct"/>
            <w:gridSpan w:val="4"/>
            <w:shd w:val="clear" w:color="auto" w:fill="F2F2F2" w:themeFill="background1" w:themeFillShade="F2"/>
            <w:vAlign w:val="center"/>
          </w:tcPr>
          <w:p w14:paraId="206334A9" w14:textId="2C51AE08" w:rsidR="002742C9" w:rsidRPr="000B2AB8" w:rsidRDefault="002742C9" w:rsidP="009033BE">
            <w:pPr>
              <w:keepNext/>
              <w:ind w:left="75"/>
              <w:textAlignment w:val="baseline"/>
              <w:rPr>
                <w:rFonts w:eastAsia="Times New Roman" w:cs="Calibri"/>
                <w:b/>
                <w:sz w:val="20"/>
                <w:szCs w:val="20"/>
              </w:rPr>
            </w:pPr>
            <w:r w:rsidRPr="000B2AB8">
              <w:rPr>
                <w:rFonts w:eastAsia="Times New Roman" w:cs="Calibri"/>
                <w:b/>
                <w:sz w:val="20"/>
                <w:szCs w:val="20"/>
              </w:rPr>
              <w:t>Mission Statement:</w:t>
            </w:r>
            <w:r w:rsidRPr="000B2AB8">
              <w:rPr>
                <w:rFonts w:eastAsia="Times New Roman" w:cs="Calibri"/>
                <w:sz w:val="20"/>
                <w:szCs w:val="20"/>
              </w:rPr>
              <w:t xml:space="preserve"> PVPA offers its students intensive exposure to the performing arts within the context of an excellent college preparatory curriculum.  </w:t>
            </w:r>
          </w:p>
        </w:tc>
      </w:tr>
    </w:tbl>
    <w:p w14:paraId="59F4BBC0" w14:textId="77777777" w:rsidR="009B1DE7" w:rsidRPr="000B2AB8" w:rsidRDefault="009B1DE7" w:rsidP="001D4DAA"/>
    <w:p w14:paraId="70390CC4" w14:textId="7D180114" w:rsidR="00343815" w:rsidRPr="000B2AB8" w:rsidRDefault="00C928D3" w:rsidP="009F3E1E">
      <w:pPr>
        <w:keepNext/>
        <w:rPr>
          <w:b/>
          <w:bCs/>
        </w:rPr>
      </w:pPr>
      <w:r w:rsidRPr="000B2AB8">
        <w:rPr>
          <w:b/>
          <w:bCs/>
        </w:rPr>
        <w:tab/>
        <w:t>Request</w:t>
      </w:r>
      <w:r w:rsidR="005861BA" w:rsidRPr="000B2AB8">
        <w:rPr>
          <w:b/>
          <w:bCs/>
        </w:rPr>
        <w:t xml:space="preserve"> and Plan for Implementation</w:t>
      </w:r>
    </w:p>
    <w:p w14:paraId="7706498C" w14:textId="77777777" w:rsidR="00C928D3" w:rsidRPr="000B2AB8" w:rsidRDefault="00C928D3" w:rsidP="009F3E1E">
      <w:pPr>
        <w:keepNext/>
      </w:pPr>
    </w:p>
    <w:p w14:paraId="391C490F" w14:textId="76174C2C" w:rsidR="005D00BF" w:rsidRPr="000B2AB8" w:rsidRDefault="00C928D3" w:rsidP="009F3E1E">
      <w:pPr>
        <w:keepNext/>
      </w:pPr>
      <w:r w:rsidRPr="000B2AB8">
        <w:t>The board of trustees of PVPA request</w:t>
      </w:r>
      <w:r w:rsidR="001914E6" w:rsidRPr="000B2AB8">
        <w:t>s</w:t>
      </w:r>
      <w:r w:rsidRPr="000B2AB8">
        <w:t xml:space="preserve"> </w:t>
      </w:r>
      <w:r w:rsidR="001914E6" w:rsidRPr="000B2AB8">
        <w:t xml:space="preserve">a </w:t>
      </w:r>
      <w:r w:rsidR="00EF02CC" w:rsidRPr="000B2AB8">
        <w:t>reduc</w:t>
      </w:r>
      <w:r w:rsidR="001914E6" w:rsidRPr="000B2AB8">
        <w:t>tion in</w:t>
      </w:r>
      <w:r w:rsidR="00EF02CC" w:rsidRPr="000B2AB8">
        <w:t xml:space="preserve"> the number of districts in the</w:t>
      </w:r>
      <w:r w:rsidR="00EC0530" w:rsidRPr="000B2AB8">
        <w:t xml:space="preserve"> school’s</w:t>
      </w:r>
      <w:r w:rsidR="00EF02CC" w:rsidRPr="000B2AB8">
        <w:t xml:space="preserve"> region </w:t>
      </w:r>
      <w:r w:rsidR="00EC0530" w:rsidRPr="000B2AB8">
        <w:t xml:space="preserve">from 35 </w:t>
      </w:r>
      <w:r w:rsidR="00EF02CC" w:rsidRPr="000B2AB8">
        <w:t>to 18</w:t>
      </w:r>
      <w:r w:rsidR="00943229" w:rsidRPr="000B2AB8">
        <w:t>, effective for the 2025-2026 school year</w:t>
      </w:r>
      <w:r w:rsidR="009D3BD3" w:rsidRPr="000B2AB8">
        <w:t xml:space="preserve">. </w:t>
      </w:r>
      <w:r w:rsidR="00AF3AFE" w:rsidRPr="000B2AB8">
        <w:t xml:space="preserve">A copy of the school’s request is attached. </w:t>
      </w:r>
      <w:r w:rsidR="00B73101" w:rsidRPr="000B2AB8">
        <w:t>PVPA</w:t>
      </w:r>
      <w:r w:rsidR="00A43231" w:rsidRPr="000B2AB8">
        <w:t xml:space="preserve"> request</w:t>
      </w:r>
      <w:r w:rsidR="0006216E" w:rsidRPr="000B2AB8">
        <w:t>s</w:t>
      </w:r>
      <w:r w:rsidR="00A43231" w:rsidRPr="000B2AB8">
        <w:t xml:space="preserve"> a region </w:t>
      </w:r>
      <w:r w:rsidR="0006216E" w:rsidRPr="000B2AB8">
        <w:t xml:space="preserve">that </w:t>
      </w:r>
      <w:r w:rsidR="00A43231" w:rsidRPr="000B2AB8">
        <w:t>includes</w:t>
      </w:r>
      <w:r w:rsidR="00EF02CC" w:rsidRPr="000B2AB8">
        <w:t xml:space="preserve"> Agawam, Amherst-Pelham, Belchertown, Chicopee, East Longmeadow, Easthampton, Granby, Hadley, Ham</w:t>
      </w:r>
      <w:r w:rsidR="008846D9">
        <w:t>p</w:t>
      </w:r>
      <w:r w:rsidR="00EF02CC" w:rsidRPr="000B2AB8">
        <w:t>den-Wilbraham, Hampshire Regional, Hatfield, Holyoke, Ludlow, Northampton, South Hadley, Springfield, West Springfield, and Westfield</w:t>
      </w:r>
      <w:r w:rsidR="00943229" w:rsidRPr="000B2AB8">
        <w:t>.</w:t>
      </w:r>
      <w:r w:rsidR="005D00BF" w:rsidRPr="000B2AB8">
        <w:rPr>
          <w:rStyle w:val="FootnoteReference"/>
        </w:rPr>
        <w:footnoteReference w:id="24"/>
      </w:r>
      <w:r w:rsidR="00EF02CC" w:rsidRPr="000B2AB8">
        <w:t xml:space="preserve"> </w:t>
      </w:r>
      <w:r w:rsidR="005D00BF" w:rsidRPr="000B2AB8">
        <w:t>Students who live in the district</w:t>
      </w:r>
      <w:r w:rsidR="009357D6" w:rsidRPr="000B2AB8">
        <w:t>(s)</w:t>
      </w:r>
      <w:r w:rsidR="005D00BF" w:rsidRPr="000B2AB8">
        <w:t xml:space="preserve"> specified </w:t>
      </w:r>
      <w:r w:rsidR="009746E1" w:rsidRPr="000B2AB8">
        <w:t>receive</w:t>
      </w:r>
      <w:r w:rsidR="00B01D59" w:rsidRPr="000B2AB8">
        <w:t xml:space="preserve"> a</w:t>
      </w:r>
      <w:r w:rsidR="005D00BF" w:rsidRPr="000B2AB8">
        <w:t xml:space="preserve"> preference in enrollment</w:t>
      </w:r>
      <w:r w:rsidR="005F567F" w:rsidRPr="000B2AB8">
        <w:t>.</w:t>
      </w:r>
      <w:r w:rsidR="005D00BF" w:rsidRPr="000B2AB8">
        <w:t xml:space="preserve"> </w:t>
      </w:r>
      <w:r w:rsidR="005F567F" w:rsidRPr="000B2AB8">
        <w:t>S</w:t>
      </w:r>
      <w:r w:rsidR="005D00BF" w:rsidRPr="000B2AB8">
        <w:t xml:space="preserve">tudents who live </w:t>
      </w:r>
      <w:r w:rsidR="00CB7665" w:rsidRPr="000B2AB8">
        <w:t xml:space="preserve">in a community </w:t>
      </w:r>
      <w:r w:rsidR="005D00BF" w:rsidRPr="000B2AB8">
        <w:t>outside th</w:t>
      </w:r>
      <w:r w:rsidR="00CB7665" w:rsidRPr="000B2AB8">
        <w:t>e districts named in a school’s charter</w:t>
      </w:r>
      <w:r w:rsidR="005D00BF" w:rsidRPr="000B2AB8">
        <w:t xml:space="preserve"> </w:t>
      </w:r>
      <w:r w:rsidR="00CB7665" w:rsidRPr="000B2AB8">
        <w:t>may apply for admission, be admitted, and attend</w:t>
      </w:r>
      <w:r w:rsidR="00B01D59" w:rsidRPr="000B2AB8">
        <w:t xml:space="preserve"> if </w:t>
      </w:r>
      <w:r w:rsidR="00062521" w:rsidRPr="000B2AB8">
        <w:t>space is</w:t>
      </w:r>
      <w:r w:rsidR="00B01D59" w:rsidRPr="000B2AB8">
        <w:t xml:space="preserve"> available</w:t>
      </w:r>
      <w:r w:rsidR="00CB7665" w:rsidRPr="000B2AB8">
        <w:t>.</w:t>
      </w:r>
      <w:r w:rsidR="00CB5243" w:rsidRPr="000B2AB8">
        <w:t xml:space="preserve"> </w:t>
      </w:r>
    </w:p>
    <w:p w14:paraId="399C4270" w14:textId="77777777" w:rsidR="00FD2479" w:rsidRPr="000B2AB8" w:rsidRDefault="00FD2479" w:rsidP="009F3E1E">
      <w:pPr>
        <w:keepNext/>
      </w:pPr>
    </w:p>
    <w:p w14:paraId="320730F5" w14:textId="3327E857" w:rsidR="00FD2479" w:rsidRPr="000B2AB8" w:rsidRDefault="005C60B1" w:rsidP="009F3E1E">
      <w:pPr>
        <w:keepNext/>
      </w:pPr>
      <w:r w:rsidRPr="000B2AB8">
        <w:t>The school</w:t>
      </w:r>
      <w:r w:rsidR="004855BD" w:rsidRPr="000B2AB8">
        <w:t xml:space="preserve"> provides</w:t>
      </w:r>
      <w:r w:rsidRPr="000B2AB8">
        <w:t xml:space="preserve"> students intensive exposure to the performing arts within </w:t>
      </w:r>
      <w:r w:rsidR="004855BD" w:rsidRPr="000B2AB8">
        <w:t>a</w:t>
      </w:r>
      <w:r w:rsidRPr="000B2AB8">
        <w:t xml:space="preserve"> college preparatory curriculum. </w:t>
      </w:r>
      <w:r w:rsidR="00606EE9" w:rsidRPr="000B2AB8">
        <w:t>All</w:t>
      </w:r>
      <w:r w:rsidR="00606EE9" w:rsidRPr="000B2AB8">
        <w:rPr>
          <w:rFonts w:eastAsia="Calibri" w:cs="Calibri"/>
          <w:color w:val="000000" w:themeColor="text1"/>
        </w:rPr>
        <w:t xml:space="preserve"> incoming PVPA students participate in “arts core,” where students rotate through short courses focused on dance, music, theater, and visual arts, and engage in activities focused on creative collaboration and skill-building in each discipline. </w:t>
      </w:r>
      <w:r w:rsidR="008001ED" w:rsidRPr="000B2AB8">
        <w:t>Ninth graders</w:t>
      </w:r>
      <w:r w:rsidR="000D14C7" w:rsidRPr="000B2AB8">
        <w:t xml:space="preserve"> </w:t>
      </w:r>
      <w:r w:rsidR="00FB1A9E" w:rsidRPr="000B2AB8">
        <w:t>decide to concentrate</w:t>
      </w:r>
      <w:r w:rsidR="000D14C7" w:rsidRPr="000B2AB8">
        <w:t xml:space="preserve"> in one of the four areas by the end of the school year. </w:t>
      </w:r>
    </w:p>
    <w:p w14:paraId="06F625DD" w14:textId="77777777" w:rsidR="003D2004" w:rsidRPr="000B2AB8" w:rsidRDefault="003D2004" w:rsidP="001D4DAA"/>
    <w:p w14:paraId="1534EFD3" w14:textId="31B8BBAC" w:rsidR="003D2004" w:rsidRPr="000B2AB8" w:rsidRDefault="00CF2D9C" w:rsidP="001D4DAA">
      <w:r w:rsidRPr="000B2AB8">
        <w:t xml:space="preserve">The school wants to increase the number of bus routes it offers and to eliminate </w:t>
      </w:r>
      <w:r w:rsidR="002D54EC" w:rsidRPr="000B2AB8">
        <w:t xml:space="preserve">student transportation fees. </w:t>
      </w:r>
      <w:r w:rsidR="006B657A" w:rsidRPr="000B2AB8">
        <w:t>PVPA</w:t>
      </w:r>
      <w:r w:rsidR="00E960AC" w:rsidRPr="000B2AB8">
        <w:t xml:space="preserve"> </w:t>
      </w:r>
      <w:r w:rsidR="009B2FDB" w:rsidRPr="000B2AB8">
        <w:t>report</w:t>
      </w:r>
      <w:r w:rsidR="00031937" w:rsidRPr="000B2AB8">
        <w:t>s</w:t>
      </w:r>
      <w:r w:rsidR="009B2FDB" w:rsidRPr="000B2AB8">
        <w:t xml:space="preserve"> </w:t>
      </w:r>
      <w:r w:rsidR="00C33CC4" w:rsidRPr="000B2AB8">
        <w:t xml:space="preserve">the </w:t>
      </w:r>
      <w:r w:rsidR="000A5185" w:rsidRPr="000B2AB8">
        <w:t xml:space="preserve">size of the current region </w:t>
      </w:r>
      <w:r w:rsidR="007F5562" w:rsidRPr="000B2AB8">
        <w:t>limits student access to transportation</w:t>
      </w:r>
      <w:r w:rsidR="00DC70B1" w:rsidRPr="000B2AB8">
        <w:t>,</w:t>
      </w:r>
      <w:r w:rsidR="007F5562" w:rsidRPr="000B2AB8">
        <w:t xml:space="preserve"> </w:t>
      </w:r>
      <w:r w:rsidR="00DC70B1" w:rsidRPr="000B2AB8">
        <w:t>decreases</w:t>
      </w:r>
      <w:r w:rsidR="009B2FDB" w:rsidRPr="000B2AB8">
        <w:t xml:space="preserve"> </w:t>
      </w:r>
      <w:r w:rsidR="00E731DD" w:rsidRPr="000B2AB8">
        <w:t xml:space="preserve">student attendance </w:t>
      </w:r>
      <w:r w:rsidR="00321DC5" w:rsidRPr="000B2AB8">
        <w:t>rates</w:t>
      </w:r>
      <w:r w:rsidR="0051319F" w:rsidRPr="000B2AB8">
        <w:t>,</w:t>
      </w:r>
      <w:r w:rsidR="00E731DD" w:rsidRPr="000B2AB8">
        <w:t xml:space="preserve"> and </w:t>
      </w:r>
      <w:r w:rsidR="00321DC5" w:rsidRPr="000B2AB8">
        <w:t>increase</w:t>
      </w:r>
      <w:r w:rsidR="00DC70B1" w:rsidRPr="000B2AB8">
        <w:t>s</w:t>
      </w:r>
      <w:r w:rsidR="00321DC5" w:rsidRPr="000B2AB8">
        <w:t xml:space="preserve"> </w:t>
      </w:r>
      <w:r w:rsidR="00BE5751" w:rsidRPr="000B2AB8">
        <w:t>attrition</w:t>
      </w:r>
      <w:r w:rsidR="00321DC5" w:rsidRPr="000B2AB8">
        <w:t xml:space="preserve"> rates</w:t>
      </w:r>
      <w:r w:rsidR="006B657A" w:rsidRPr="000B2AB8">
        <w:t xml:space="preserve">. </w:t>
      </w:r>
      <w:r w:rsidR="001C41AA">
        <w:t>A</w:t>
      </w:r>
      <w:r w:rsidR="00E748CA" w:rsidRPr="000B2AB8">
        <w:t>ttendance</w:t>
      </w:r>
      <w:r w:rsidR="0071288D" w:rsidRPr="000B2AB8">
        <w:t xml:space="preserve"> rates declined</w:t>
      </w:r>
      <w:r w:rsidR="00E748CA" w:rsidRPr="000B2AB8">
        <w:t xml:space="preserve"> over the past </w:t>
      </w:r>
      <w:r w:rsidR="003A6494" w:rsidRPr="000B2AB8">
        <w:t>four</w:t>
      </w:r>
      <w:r w:rsidR="00E748CA" w:rsidRPr="000B2AB8">
        <w:t xml:space="preserve"> years</w:t>
      </w:r>
      <w:r w:rsidR="00F44F19">
        <w:t xml:space="preserve"> from 95 percent to 90 percent</w:t>
      </w:r>
      <w:r w:rsidR="007E6038">
        <w:t>. T</w:t>
      </w:r>
      <w:r w:rsidR="004A5788">
        <w:t>he attrition rate</w:t>
      </w:r>
      <w:r w:rsidR="007E6038">
        <w:t xml:space="preserve"> also</w:t>
      </w:r>
      <w:r w:rsidR="00C966E0">
        <w:t xml:space="preserve"> </w:t>
      </w:r>
      <w:r w:rsidR="002C1FE0">
        <w:t xml:space="preserve">increased, with </w:t>
      </w:r>
      <w:r w:rsidR="0071288D" w:rsidRPr="000B2AB8">
        <w:t>11</w:t>
      </w:r>
      <w:r w:rsidR="00F03B9B" w:rsidRPr="000B2AB8">
        <w:t xml:space="preserve"> percent</w:t>
      </w:r>
      <w:r w:rsidR="0071288D" w:rsidRPr="000B2AB8">
        <w:t xml:space="preserve"> of students</w:t>
      </w:r>
      <w:r w:rsidR="007E6038">
        <w:t>, on average,</w:t>
      </w:r>
      <w:r w:rsidR="0071288D" w:rsidRPr="000B2AB8">
        <w:t xml:space="preserve"> not return</w:t>
      </w:r>
      <w:r w:rsidR="00C966E0">
        <w:t xml:space="preserve">ing to the school </w:t>
      </w:r>
      <w:r w:rsidR="007E6038">
        <w:t>during the same time period</w:t>
      </w:r>
      <w:r w:rsidR="0071288D" w:rsidRPr="000B2AB8">
        <w:t xml:space="preserve">. </w:t>
      </w:r>
      <w:r w:rsidR="006955A0" w:rsidRPr="000B2AB8">
        <w:t>The sc</w:t>
      </w:r>
      <w:r w:rsidR="006A3750" w:rsidRPr="000B2AB8">
        <w:t xml:space="preserve">hool </w:t>
      </w:r>
      <w:r w:rsidR="002C1298" w:rsidRPr="000B2AB8">
        <w:t xml:space="preserve">reviewed </w:t>
      </w:r>
      <w:r w:rsidR="00894D2B" w:rsidRPr="000B2AB8">
        <w:t xml:space="preserve">historical </w:t>
      </w:r>
      <w:r w:rsidR="002C1298" w:rsidRPr="000B2AB8">
        <w:t xml:space="preserve">trends </w:t>
      </w:r>
      <w:r w:rsidR="00894D2B" w:rsidRPr="000B2AB8">
        <w:t xml:space="preserve">of enrollment </w:t>
      </w:r>
      <w:r w:rsidR="002C1298" w:rsidRPr="000B2AB8">
        <w:t>and identified</w:t>
      </w:r>
      <w:r w:rsidR="00113CF4" w:rsidRPr="000B2AB8">
        <w:t xml:space="preserve"> that </w:t>
      </w:r>
      <w:r w:rsidR="00CB227A" w:rsidRPr="000B2AB8">
        <w:t>approximately</w:t>
      </w:r>
      <w:r w:rsidR="00113CF4" w:rsidRPr="000B2AB8">
        <w:t xml:space="preserve"> 85</w:t>
      </w:r>
      <w:r w:rsidR="00F03B9B" w:rsidRPr="000B2AB8">
        <w:t xml:space="preserve"> percent</w:t>
      </w:r>
      <w:r w:rsidR="00113CF4" w:rsidRPr="000B2AB8">
        <w:t xml:space="preserve"> of its </w:t>
      </w:r>
      <w:r w:rsidR="00C0201E" w:rsidRPr="000B2AB8">
        <w:t xml:space="preserve">current </w:t>
      </w:r>
      <w:r w:rsidR="00113CF4" w:rsidRPr="000B2AB8">
        <w:t>student</w:t>
      </w:r>
      <w:r w:rsidR="00C0201E" w:rsidRPr="000B2AB8">
        <w:t xml:space="preserve"> population</w:t>
      </w:r>
      <w:r w:rsidR="00113CF4" w:rsidRPr="000B2AB8">
        <w:t xml:space="preserve"> reside</w:t>
      </w:r>
      <w:r w:rsidR="00C0201E" w:rsidRPr="000B2AB8">
        <w:t>s</w:t>
      </w:r>
      <w:r w:rsidR="00113CF4" w:rsidRPr="000B2AB8">
        <w:t xml:space="preserve"> within the </w:t>
      </w:r>
      <w:r w:rsidR="0017553D" w:rsidRPr="000B2AB8">
        <w:t>smaller</w:t>
      </w:r>
      <w:r w:rsidR="00113CF4" w:rsidRPr="000B2AB8">
        <w:t xml:space="preserve"> region</w:t>
      </w:r>
      <w:r w:rsidR="0051319F" w:rsidRPr="000B2AB8">
        <w:t xml:space="preserve"> it proposes</w:t>
      </w:r>
      <w:r w:rsidR="00BD5923" w:rsidRPr="000B2AB8">
        <w:t xml:space="preserve">. </w:t>
      </w:r>
      <w:r w:rsidR="00636BAE" w:rsidRPr="000B2AB8">
        <w:t>T</w:t>
      </w:r>
      <w:r w:rsidR="006D0BED" w:rsidRPr="000B2AB8">
        <w:t xml:space="preserve">he school currently offers three </w:t>
      </w:r>
      <w:r w:rsidR="0017553D" w:rsidRPr="000B2AB8">
        <w:t xml:space="preserve">fee-based </w:t>
      </w:r>
      <w:r w:rsidR="006D0BED" w:rsidRPr="000B2AB8">
        <w:t>bus routes</w:t>
      </w:r>
      <w:r w:rsidR="0051319F" w:rsidRPr="000B2AB8">
        <w:t xml:space="preserve"> and</w:t>
      </w:r>
      <w:r w:rsidR="004E2C46" w:rsidRPr="000B2AB8">
        <w:t xml:space="preserve"> waives the fee for</w:t>
      </w:r>
      <w:r w:rsidR="00391112" w:rsidRPr="000B2AB8">
        <w:t xml:space="preserve"> students who qualify for free or reduced</w:t>
      </w:r>
      <w:r w:rsidR="00A7764F">
        <w:t>-price</w:t>
      </w:r>
      <w:r w:rsidR="00391112" w:rsidRPr="000B2AB8">
        <w:t xml:space="preserve"> lunch</w:t>
      </w:r>
      <w:r w:rsidR="00636BAE" w:rsidRPr="000B2AB8">
        <w:t>.</w:t>
      </w:r>
      <w:r w:rsidR="006D0BED" w:rsidRPr="000B2AB8">
        <w:t xml:space="preserve"> </w:t>
      </w:r>
      <w:r w:rsidR="00636BAE" w:rsidRPr="000B2AB8">
        <w:t>T</w:t>
      </w:r>
      <w:r w:rsidR="00BD5923" w:rsidRPr="000B2AB8">
        <w:t xml:space="preserve">he school proposes to </w:t>
      </w:r>
      <w:r w:rsidR="00102000" w:rsidRPr="000B2AB8">
        <w:t xml:space="preserve">eliminate transportation fees and </w:t>
      </w:r>
      <w:r w:rsidR="00AA7196" w:rsidRPr="000B2AB8">
        <w:t xml:space="preserve">add </w:t>
      </w:r>
      <w:r w:rsidR="00533D64" w:rsidRPr="000B2AB8">
        <w:t>at least five</w:t>
      </w:r>
      <w:r w:rsidR="006D0BED" w:rsidRPr="000B2AB8">
        <w:t xml:space="preserve"> new routes</w:t>
      </w:r>
      <w:r w:rsidR="00AA7196" w:rsidRPr="000B2AB8">
        <w:t xml:space="preserve"> to </w:t>
      </w:r>
      <w:r w:rsidR="003952A1" w:rsidRPr="000B2AB8">
        <w:t>transport</w:t>
      </w:r>
      <w:r w:rsidR="00AA7196" w:rsidRPr="000B2AB8">
        <w:t xml:space="preserve"> all students</w:t>
      </w:r>
      <w:r w:rsidR="007E7BF6" w:rsidRPr="000B2AB8">
        <w:t xml:space="preserve"> </w:t>
      </w:r>
      <w:r w:rsidR="00AA7196" w:rsidRPr="000B2AB8">
        <w:t>who reside within the proposed region</w:t>
      </w:r>
      <w:r w:rsidR="00E86ED5" w:rsidRPr="000B2AB8">
        <w:t xml:space="preserve"> </w:t>
      </w:r>
      <w:r w:rsidR="005C02CC" w:rsidRPr="000B2AB8">
        <w:t>who want</w:t>
      </w:r>
      <w:r w:rsidR="00E86ED5" w:rsidRPr="000B2AB8">
        <w:t xml:space="preserve"> school transportation</w:t>
      </w:r>
      <w:r w:rsidR="00AA7196" w:rsidRPr="000B2AB8">
        <w:t xml:space="preserve">. </w:t>
      </w:r>
      <w:r w:rsidR="004A460A" w:rsidRPr="000B2AB8">
        <w:t>The school</w:t>
      </w:r>
      <w:r w:rsidR="00533D64" w:rsidRPr="000B2AB8">
        <w:t>’s</w:t>
      </w:r>
      <w:r w:rsidR="004A460A" w:rsidRPr="000B2AB8">
        <w:t xml:space="preserve"> </w:t>
      </w:r>
      <w:r w:rsidR="00533D64" w:rsidRPr="000B2AB8">
        <w:t xml:space="preserve">proposed </w:t>
      </w:r>
      <w:r w:rsidR="0018091F" w:rsidRPr="000B2AB8">
        <w:t xml:space="preserve">transportation plan </w:t>
      </w:r>
      <w:r w:rsidR="0024411F" w:rsidRPr="000B2AB8">
        <w:t xml:space="preserve">would be </w:t>
      </w:r>
      <w:r w:rsidR="0018091F" w:rsidRPr="000B2AB8">
        <w:t xml:space="preserve">eligible for </w:t>
      </w:r>
      <w:r w:rsidR="00533D64" w:rsidRPr="000B2AB8">
        <w:t xml:space="preserve">regional transportation </w:t>
      </w:r>
      <w:r w:rsidR="0018091F" w:rsidRPr="000B2AB8">
        <w:t xml:space="preserve">reimbursement. </w:t>
      </w:r>
    </w:p>
    <w:p w14:paraId="2A56ED7B" w14:textId="77777777" w:rsidR="0036070E" w:rsidRPr="000B2AB8" w:rsidRDefault="0036070E" w:rsidP="001D4DAA"/>
    <w:p w14:paraId="7812E415" w14:textId="4AA81439" w:rsidR="00FD7F83" w:rsidRPr="000B2AB8" w:rsidRDefault="00FD7F83" w:rsidP="00FD7F83">
      <w:pPr>
        <w:ind w:firstLine="720"/>
        <w:rPr>
          <w:b/>
          <w:bCs/>
        </w:rPr>
      </w:pPr>
      <w:r w:rsidRPr="000B2AB8">
        <w:rPr>
          <w:b/>
          <w:bCs/>
        </w:rPr>
        <w:t>Public Comment</w:t>
      </w:r>
    </w:p>
    <w:p w14:paraId="2A0799AF" w14:textId="77777777" w:rsidR="00FD7F83" w:rsidRPr="000B2AB8" w:rsidRDefault="00FD7F83" w:rsidP="001D4DAA"/>
    <w:p w14:paraId="3EF4CCF6" w14:textId="1A5B1670" w:rsidR="00EF02CC" w:rsidRPr="000B2AB8" w:rsidRDefault="004937D2" w:rsidP="001D4DAA">
      <w:r w:rsidRPr="000B2AB8">
        <w:rPr>
          <w:rFonts w:cs="Calibri"/>
        </w:rPr>
        <w:t xml:space="preserve">The Department received comment in support </w:t>
      </w:r>
      <w:r w:rsidR="00811470" w:rsidRPr="000B2AB8">
        <w:rPr>
          <w:rFonts w:cs="Calibri"/>
        </w:rPr>
        <w:t>of</w:t>
      </w:r>
      <w:r w:rsidRPr="000B2AB8">
        <w:rPr>
          <w:rFonts w:cs="Calibri"/>
        </w:rPr>
        <w:t xml:space="preserve"> the school’s request. </w:t>
      </w:r>
      <w:r w:rsidR="00DC0264" w:rsidRPr="000B2AB8">
        <w:t>Twenty</w:t>
      </w:r>
      <w:r w:rsidR="007626E1" w:rsidRPr="000B2AB8">
        <w:t>-</w:t>
      </w:r>
      <w:r w:rsidR="00DC0264" w:rsidRPr="000B2AB8">
        <w:t>eight</w:t>
      </w:r>
      <w:r w:rsidR="002037D1" w:rsidRPr="000B2AB8">
        <w:t xml:space="preserve"> </w:t>
      </w:r>
      <w:r w:rsidR="00520F9E" w:rsidRPr="000B2AB8">
        <w:t xml:space="preserve">families of </w:t>
      </w:r>
      <w:r w:rsidR="002037D1" w:rsidRPr="000B2AB8">
        <w:t xml:space="preserve">current and prospective </w:t>
      </w:r>
      <w:r w:rsidR="00520F9E" w:rsidRPr="000B2AB8">
        <w:t>students</w:t>
      </w:r>
      <w:r w:rsidR="00DC0264" w:rsidRPr="000B2AB8">
        <w:t xml:space="preserve"> and two staff members</w:t>
      </w:r>
      <w:r w:rsidR="002037D1" w:rsidRPr="000B2AB8">
        <w:t xml:space="preserve"> </w:t>
      </w:r>
      <w:r w:rsidR="00D26C88" w:rsidRPr="000B2AB8">
        <w:t>of PVPA</w:t>
      </w:r>
      <w:r w:rsidR="002037D1" w:rsidRPr="000B2AB8">
        <w:t xml:space="preserve"> submitted comment.</w:t>
      </w:r>
      <w:r w:rsidR="226A6CE6" w:rsidRPr="000B2AB8">
        <w:t xml:space="preserve"> No comment in opposition was </w:t>
      </w:r>
      <w:r w:rsidR="00B14DF3" w:rsidRPr="000B2AB8">
        <w:t>received</w:t>
      </w:r>
      <w:r w:rsidR="226A6CE6" w:rsidRPr="000B2AB8">
        <w:t xml:space="preserve">. </w:t>
      </w:r>
      <w:r w:rsidR="0089313F" w:rsidRPr="000B2AB8">
        <w:rPr>
          <w:rFonts w:cs="Calibri"/>
        </w:rPr>
        <w:t>Comment is attached.</w:t>
      </w:r>
    </w:p>
    <w:p w14:paraId="78FE35D2" w14:textId="77777777" w:rsidR="002037D1" w:rsidRPr="000B2AB8" w:rsidRDefault="002037D1" w:rsidP="001D4DAA"/>
    <w:p w14:paraId="4A5FF913" w14:textId="3FBCBEA0" w:rsidR="002037D1" w:rsidRPr="000B2AB8" w:rsidRDefault="002037D1" w:rsidP="00F56BBF">
      <w:pPr>
        <w:keepNext/>
        <w:rPr>
          <w:b/>
          <w:bCs/>
        </w:rPr>
      </w:pPr>
      <w:r w:rsidRPr="000B2AB8">
        <w:tab/>
      </w:r>
      <w:r w:rsidRPr="000B2AB8">
        <w:rPr>
          <w:b/>
          <w:bCs/>
        </w:rPr>
        <w:t>Recommendation</w:t>
      </w:r>
      <w:r w:rsidR="007D48D1">
        <w:rPr>
          <w:b/>
          <w:bCs/>
        </w:rPr>
        <w:t xml:space="preserve"> for Approval with </w:t>
      </w:r>
      <w:r w:rsidR="00460B37">
        <w:rPr>
          <w:b/>
          <w:bCs/>
        </w:rPr>
        <w:t xml:space="preserve">a </w:t>
      </w:r>
      <w:r w:rsidR="007D48D1">
        <w:rPr>
          <w:b/>
          <w:bCs/>
        </w:rPr>
        <w:t>Condition</w:t>
      </w:r>
    </w:p>
    <w:p w14:paraId="61014D1F" w14:textId="77777777" w:rsidR="002037D1" w:rsidRPr="000B2AB8" w:rsidRDefault="002037D1" w:rsidP="00F56BBF">
      <w:pPr>
        <w:keepNext/>
      </w:pPr>
    </w:p>
    <w:p w14:paraId="7B3A8DC6" w14:textId="7A2B9C47" w:rsidR="00EE27BC" w:rsidRDefault="00DD510F" w:rsidP="00F56BBF">
      <w:pPr>
        <w:keepNext/>
        <w:rPr>
          <w:rFonts w:cs="Calibri"/>
        </w:rPr>
      </w:pPr>
      <w:r w:rsidRPr="000B2AB8">
        <w:rPr>
          <w:rFonts w:cs="Calibri"/>
        </w:rPr>
        <w:t xml:space="preserve">The school’s request is reasonable and consistent with the charter school statute and regulations. </w:t>
      </w:r>
      <w:r w:rsidR="002037D1" w:rsidRPr="000B2AB8">
        <w:rPr>
          <w:rFonts w:cs="Calibri"/>
        </w:rPr>
        <w:t>Overall, the submitted amendment request, the renewal of the school’s charter in 2021, and the Department’s accountability records indicate that the school</w:t>
      </w:r>
      <w:r w:rsidR="009508BB" w:rsidRPr="000B2AB8">
        <w:rPr>
          <w:rFonts w:cs="Calibri"/>
        </w:rPr>
        <w:t xml:space="preserve"> is an </w:t>
      </w:r>
      <w:r w:rsidR="002037D1" w:rsidRPr="000B2AB8">
        <w:rPr>
          <w:rFonts w:cs="Calibri"/>
        </w:rPr>
        <w:t xml:space="preserve">academic success, a viable organization, and faithful to the terms of its charter. I recommend that the Board approve </w:t>
      </w:r>
      <w:r w:rsidR="00B14DF3" w:rsidRPr="000B2AB8">
        <w:rPr>
          <w:rFonts w:cs="Calibri"/>
        </w:rPr>
        <w:t>reducing</w:t>
      </w:r>
      <w:r w:rsidR="002037D1" w:rsidRPr="000B2AB8">
        <w:rPr>
          <w:rFonts w:cs="Calibri"/>
        </w:rPr>
        <w:t xml:space="preserve"> the number of districts in the school’s charter</w:t>
      </w:r>
      <w:r w:rsidR="00104501">
        <w:rPr>
          <w:rFonts w:cs="Calibri"/>
        </w:rPr>
        <w:t xml:space="preserve"> with the following condition </w:t>
      </w:r>
      <w:r w:rsidR="00EE27BC">
        <w:rPr>
          <w:rFonts w:cs="Calibri"/>
        </w:rPr>
        <w:t>related to transportation planning</w:t>
      </w:r>
      <w:r w:rsidR="002037D1" w:rsidRPr="000B2AB8">
        <w:rPr>
          <w:rFonts w:cs="Calibri"/>
        </w:rPr>
        <w:t>. If the Board votes to grant PVPA’s request, the school</w:t>
      </w:r>
      <w:r w:rsidR="00D318D3" w:rsidRPr="000B2AB8">
        <w:rPr>
          <w:rFonts w:cs="Calibri"/>
        </w:rPr>
        <w:t xml:space="preserve">’s charter region will </w:t>
      </w:r>
      <w:r w:rsidR="1677222E" w:rsidRPr="000B2AB8">
        <w:rPr>
          <w:rFonts w:cs="Calibri"/>
        </w:rPr>
        <w:t>include</w:t>
      </w:r>
      <w:r w:rsidR="00D318D3" w:rsidRPr="000B2AB8">
        <w:rPr>
          <w:rFonts w:cs="Calibri"/>
        </w:rPr>
        <w:t xml:space="preserve"> </w:t>
      </w:r>
      <w:r w:rsidR="00087342" w:rsidRPr="000B2AB8">
        <w:rPr>
          <w:rFonts w:eastAsia="Times New Roman" w:cs="Calibri"/>
        </w:rPr>
        <w:t>Agawam, Amherst-Pelham, Belchertown, Chicopee, East Longmeadow, Easthampton, Granby, Hadley, Ham</w:t>
      </w:r>
      <w:r w:rsidR="008846D9">
        <w:rPr>
          <w:rFonts w:eastAsia="Times New Roman" w:cs="Calibri"/>
        </w:rPr>
        <w:t>p</w:t>
      </w:r>
      <w:r w:rsidR="00087342" w:rsidRPr="000B2AB8">
        <w:rPr>
          <w:rFonts w:eastAsia="Times New Roman" w:cs="Calibri"/>
        </w:rPr>
        <w:t>den-Wilbraham, Hampshire Regional, Hatfield, Holyoke, Ludlow, Northampton, South Hadley, Springfield, West Springfield, and Westfield</w:t>
      </w:r>
      <w:r w:rsidR="002037D1" w:rsidRPr="000B2AB8">
        <w:rPr>
          <w:rFonts w:cs="Calibri"/>
        </w:rPr>
        <w:t xml:space="preserve">. </w:t>
      </w:r>
      <w:r w:rsidR="00EE27BC" w:rsidRPr="00A244A6">
        <w:rPr>
          <w:rFonts w:cs="Calibri"/>
        </w:rPr>
        <w:t xml:space="preserve">I recommend that the following condition be included as part of the </w:t>
      </w:r>
      <w:r w:rsidR="00EE27BC">
        <w:rPr>
          <w:rFonts w:cs="Calibri"/>
        </w:rPr>
        <w:t xml:space="preserve">approval of the </w:t>
      </w:r>
      <w:r w:rsidR="00EE27BC" w:rsidRPr="00A244A6">
        <w:rPr>
          <w:rFonts w:cs="Calibri"/>
        </w:rPr>
        <w:t>school’s charter</w:t>
      </w:r>
      <w:r w:rsidR="00EE27BC">
        <w:rPr>
          <w:rFonts w:cs="Calibri"/>
        </w:rPr>
        <w:t xml:space="preserve"> amendment</w:t>
      </w:r>
      <w:r w:rsidR="00EE27BC" w:rsidRPr="00A244A6">
        <w:rPr>
          <w:rFonts w:cs="Calibri"/>
        </w:rPr>
        <w:t>:</w:t>
      </w:r>
    </w:p>
    <w:p w14:paraId="32707B51" w14:textId="77777777" w:rsidR="00EE27BC" w:rsidRDefault="00EE27BC" w:rsidP="00F56BBF">
      <w:pPr>
        <w:keepNext/>
        <w:rPr>
          <w:rFonts w:cs="Calibri"/>
        </w:rPr>
      </w:pPr>
    </w:p>
    <w:p w14:paraId="01146827" w14:textId="04DA3EF8" w:rsidR="00EE27BC" w:rsidRDefault="00EE27BC" w:rsidP="00EE27BC">
      <w:pPr>
        <w:keepNext/>
        <w:ind w:left="720"/>
        <w:rPr>
          <w:rFonts w:cs="Calibri"/>
        </w:rPr>
      </w:pPr>
      <w:r w:rsidRPr="00EE27BC">
        <w:rPr>
          <w:rFonts w:cs="Calibri"/>
        </w:rPr>
        <w:t>By May 1, 2025, the board of trustees of Pioneer Valley Performing Arts Charter Public School will submit a plan to implement a cost-effective regional transportation plan that is eligible for state reimbursement. In formulating this plan, the board of trustees must consider historical trends in enrollment, attendance, and attrition, in addition to any current disparities in enrollment, retention, and/or attrition.</w:t>
      </w:r>
    </w:p>
    <w:p w14:paraId="754E327F" w14:textId="77777777" w:rsidR="00EE27BC" w:rsidRDefault="00EE27BC" w:rsidP="00F56BBF">
      <w:pPr>
        <w:keepNext/>
        <w:rPr>
          <w:rFonts w:cs="Calibri"/>
        </w:rPr>
      </w:pPr>
    </w:p>
    <w:p w14:paraId="1F23CC97" w14:textId="4D73FA17" w:rsidR="002037D1" w:rsidRPr="000B2AB8" w:rsidRDefault="002037D1" w:rsidP="00F56BBF">
      <w:pPr>
        <w:keepNext/>
      </w:pPr>
      <w:r w:rsidRPr="000B2AB8">
        <w:rPr>
          <w:rFonts w:cs="Calibri"/>
        </w:rPr>
        <w:t>A motion for approval is attached for your consideration.</w:t>
      </w:r>
    </w:p>
    <w:p w14:paraId="63923A8C" w14:textId="77777777" w:rsidR="00C928D3" w:rsidRPr="000B2AB8" w:rsidRDefault="00C928D3" w:rsidP="001D4DAA"/>
    <w:p w14:paraId="2C79F7D0" w14:textId="77777777" w:rsidR="001D4DAA" w:rsidRPr="000B2AB8" w:rsidRDefault="00000000" w:rsidP="001D4DAA">
      <w:pPr>
        <w:autoSpaceDE w:val="0"/>
        <w:autoSpaceDN w:val="0"/>
        <w:adjustRightInd w:val="0"/>
        <w:jc w:val="center"/>
      </w:pPr>
      <w:r>
        <w:rPr>
          <w:b/>
          <w:bCs/>
          <w:noProof/>
        </w:rPr>
        <w:pict w14:anchorId="32974784">
          <v:rect id="_x0000_i1025" style="width:351pt;height:.5pt" o:hrpct="750" o:hralign="center" o:hrstd="t" o:hrnoshade="t" o:hr="t" fillcolor="#d8d8d8 [2732]" stroked="f"/>
        </w:pict>
      </w:r>
    </w:p>
    <w:p w14:paraId="5E24A307" w14:textId="77777777" w:rsidR="001D4DAA" w:rsidRPr="000B2AB8" w:rsidRDefault="001D4DAA" w:rsidP="001D4DAA">
      <w:pPr>
        <w:pStyle w:val="BodyTextIndent3"/>
        <w:widowControl/>
        <w:ind w:left="0"/>
        <w:rPr>
          <w:color w:val="000000"/>
          <w:sz w:val="24"/>
          <w:szCs w:val="24"/>
        </w:rPr>
      </w:pPr>
    </w:p>
    <w:p w14:paraId="3E8F33C9" w14:textId="486967ED" w:rsidR="001D4DAA" w:rsidRPr="000B2AB8" w:rsidRDefault="001D4DAA" w:rsidP="6F8A0F96">
      <w:pPr>
        <w:pStyle w:val="BodyTextIndent3"/>
        <w:widowControl/>
        <w:ind w:left="0"/>
        <w:rPr>
          <w:rFonts w:asciiTheme="minorHAnsi" w:hAnsiTheme="minorHAnsi"/>
          <w:sz w:val="24"/>
          <w:szCs w:val="24"/>
        </w:rPr>
      </w:pPr>
      <w:r w:rsidRPr="6F8A0F96">
        <w:rPr>
          <w:rFonts w:asciiTheme="minorHAnsi" w:hAnsiTheme="minorHAnsi"/>
          <w:color w:val="000000" w:themeColor="text1"/>
          <w:sz w:val="24"/>
          <w:szCs w:val="24"/>
        </w:rPr>
        <w:t>If you have any questions regarding these amendments or require additional information, please contact</w:t>
      </w:r>
      <w:r w:rsidR="00CB5243" w:rsidRPr="6F8A0F96">
        <w:rPr>
          <w:rFonts w:asciiTheme="minorHAnsi" w:hAnsiTheme="minorHAnsi"/>
          <w:color w:val="000000" w:themeColor="text1"/>
          <w:sz w:val="24"/>
          <w:szCs w:val="24"/>
        </w:rPr>
        <w:t xml:space="preserve"> Alyssa Hopkins, Assistant Director of the Office of Charter Schools and School Redesign; </w:t>
      </w:r>
      <w:r w:rsidRPr="6F8A0F96">
        <w:rPr>
          <w:rFonts w:asciiTheme="minorHAnsi" w:hAnsiTheme="minorHAnsi"/>
          <w:color w:val="000000" w:themeColor="text1"/>
          <w:sz w:val="24"/>
          <w:szCs w:val="24"/>
        </w:rPr>
        <w:t>Alison Bagg, Director of the Office of Charter Schools and School Redesign; Regina Robinson, Deputy Commissioner; or me.</w:t>
      </w:r>
    </w:p>
    <w:p w14:paraId="3E7408E8" w14:textId="77777777" w:rsidR="00C73EC8" w:rsidRPr="000B2AB8" w:rsidRDefault="00C73EC8" w:rsidP="005819B0">
      <w:pPr>
        <w:rPr>
          <w:rFonts w:cs="Calibri"/>
        </w:rPr>
      </w:pPr>
    </w:p>
    <w:p w14:paraId="36E58FAB" w14:textId="687FFD3D" w:rsidR="00C73EC8" w:rsidRPr="000B2AB8" w:rsidRDefault="001272AF" w:rsidP="006F154C">
      <w:pPr>
        <w:keepNext/>
        <w:keepLines/>
        <w:rPr>
          <w:rFonts w:cs="Calibri"/>
        </w:rPr>
      </w:pPr>
      <w:r w:rsidRPr="000B2AB8">
        <w:rPr>
          <w:rFonts w:cs="Calibri"/>
        </w:rPr>
        <w:t>Attachments</w:t>
      </w:r>
    </w:p>
    <w:p w14:paraId="1A41326A" w14:textId="0D192044" w:rsidR="001272AF" w:rsidRPr="000B2AB8" w:rsidRDefault="001272AF" w:rsidP="006F154C">
      <w:pPr>
        <w:keepNext/>
        <w:keepLines/>
        <w:rPr>
          <w:rFonts w:cs="Calibri"/>
        </w:rPr>
      </w:pPr>
    </w:p>
    <w:p w14:paraId="0C58D4BF" w14:textId="1196BE65" w:rsidR="00BE0F74" w:rsidRPr="000B2AB8" w:rsidRDefault="00BE0F74" w:rsidP="006F154C">
      <w:pPr>
        <w:keepNext/>
        <w:keepLines/>
        <w:ind w:left="720"/>
        <w:rPr>
          <w:rFonts w:cs="Calibri"/>
        </w:rPr>
      </w:pPr>
      <w:r w:rsidRPr="000B2AB8">
        <w:rPr>
          <w:rFonts w:cs="Calibri"/>
        </w:rPr>
        <w:t xml:space="preserve">Advanced Math and Science Academy </w:t>
      </w:r>
      <w:r w:rsidR="006D5A2D" w:rsidRPr="000B2AB8">
        <w:rPr>
          <w:rFonts w:cs="Calibri"/>
        </w:rPr>
        <w:t>Charter School</w:t>
      </w:r>
      <w:r w:rsidR="00705071" w:rsidRPr="000B2AB8">
        <w:rPr>
          <w:rFonts w:cs="Calibri"/>
        </w:rPr>
        <w:t>:</w:t>
      </w:r>
    </w:p>
    <w:p w14:paraId="39FDC2F4" w14:textId="77777777" w:rsidR="006D5A2D" w:rsidRPr="000B2AB8" w:rsidRDefault="006D5A2D" w:rsidP="006F154C">
      <w:pPr>
        <w:keepNext/>
        <w:keepLines/>
        <w:ind w:left="720"/>
        <w:rPr>
          <w:rFonts w:cs="Calibri"/>
        </w:rPr>
      </w:pPr>
      <w:r w:rsidRPr="000B2AB8">
        <w:rPr>
          <w:rFonts w:cs="Calibri"/>
        </w:rPr>
        <w:tab/>
        <w:t>Correspondence from Advanced Math and Science Academy Charter School</w:t>
      </w:r>
    </w:p>
    <w:p w14:paraId="587214A5" w14:textId="57381141" w:rsidR="00DC72B8" w:rsidRPr="000B2AB8" w:rsidRDefault="00DC72B8" w:rsidP="006F154C">
      <w:pPr>
        <w:keepNext/>
        <w:keepLines/>
        <w:ind w:left="1440"/>
        <w:rPr>
          <w:rFonts w:cs="Calibri"/>
        </w:rPr>
      </w:pPr>
      <w:r w:rsidRPr="000B2AB8">
        <w:rPr>
          <w:rFonts w:cs="Calibri"/>
        </w:rPr>
        <w:t xml:space="preserve">Public </w:t>
      </w:r>
      <w:r w:rsidR="00A22A07" w:rsidRPr="000B2AB8">
        <w:rPr>
          <w:rFonts w:cs="Calibri"/>
        </w:rPr>
        <w:t>c</w:t>
      </w:r>
      <w:r w:rsidRPr="000B2AB8">
        <w:rPr>
          <w:rFonts w:cs="Calibri"/>
        </w:rPr>
        <w:t>omment</w:t>
      </w:r>
    </w:p>
    <w:p w14:paraId="2B8EDF0D" w14:textId="77777777" w:rsidR="00DC72B8" w:rsidRPr="000B2AB8" w:rsidRDefault="00DC72B8" w:rsidP="006F154C">
      <w:pPr>
        <w:keepNext/>
        <w:keepLines/>
        <w:ind w:left="1440"/>
        <w:rPr>
          <w:rFonts w:cs="Calibri"/>
        </w:rPr>
      </w:pPr>
      <w:r w:rsidRPr="000B2AB8">
        <w:rPr>
          <w:rFonts w:cs="Calibri"/>
        </w:rPr>
        <w:t>Motion</w:t>
      </w:r>
    </w:p>
    <w:p w14:paraId="43D3E4BC" w14:textId="230FB8C9" w:rsidR="006D5A2D" w:rsidRPr="000B2AB8" w:rsidRDefault="006D5A2D" w:rsidP="00DB3A21">
      <w:pPr>
        <w:ind w:left="720"/>
        <w:rPr>
          <w:rFonts w:cs="Calibri"/>
        </w:rPr>
      </w:pPr>
    </w:p>
    <w:p w14:paraId="3FEF76AB" w14:textId="0F56B48A" w:rsidR="001272AF" w:rsidRPr="000B2AB8" w:rsidRDefault="00DB3A21" w:rsidP="00DB3A21">
      <w:pPr>
        <w:ind w:left="720"/>
        <w:rPr>
          <w:rFonts w:cs="Calibri"/>
        </w:rPr>
      </w:pPr>
      <w:r w:rsidRPr="000B2AB8">
        <w:rPr>
          <w:rFonts w:cs="Calibri"/>
        </w:rPr>
        <w:t>Edward M. Kennedy Academy for Health Careers: A Horace Mann Charter Public School:</w:t>
      </w:r>
    </w:p>
    <w:p w14:paraId="5D78B161" w14:textId="77777777" w:rsidR="00264082" w:rsidRPr="000B2AB8" w:rsidRDefault="00DB3A21" w:rsidP="00DB3A21">
      <w:pPr>
        <w:ind w:left="1440"/>
        <w:rPr>
          <w:rFonts w:cs="Calibri"/>
        </w:rPr>
      </w:pPr>
      <w:r w:rsidRPr="000B2AB8">
        <w:rPr>
          <w:rFonts w:cs="Calibri"/>
        </w:rPr>
        <w:t xml:space="preserve">Correspondence from Edward M. Kennedy Academy for Health Careers: </w:t>
      </w:r>
    </w:p>
    <w:p w14:paraId="35BB97CC" w14:textId="48B1111F" w:rsidR="00DB3A21" w:rsidRPr="000B2AB8" w:rsidRDefault="00DB3A21" w:rsidP="00DA0B67">
      <w:pPr>
        <w:ind w:left="2160"/>
        <w:rPr>
          <w:rFonts w:cs="Calibri"/>
        </w:rPr>
      </w:pPr>
      <w:r w:rsidRPr="000B2AB8">
        <w:rPr>
          <w:rFonts w:cs="Calibri"/>
        </w:rPr>
        <w:t>A Horace Mann Charter Public School</w:t>
      </w:r>
    </w:p>
    <w:p w14:paraId="31CAE0A1" w14:textId="25BBD8F6" w:rsidR="00CF5BD0" w:rsidRPr="000B2AB8" w:rsidRDefault="00CF5BD0" w:rsidP="00DB3A21">
      <w:pPr>
        <w:ind w:left="1440"/>
        <w:rPr>
          <w:rFonts w:cs="Calibri"/>
        </w:rPr>
      </w:pPr>
      <w:r w:rsidRPr="000B2AB8">
        <w:rPr>
          <w:rFonts w:cs="Calibri"/>
        </w:rPr>
        <w:t xml:space="preserve">Public comment </w:t>
      </w:r>
    </w:p>
    <w:p w14:paraId="0E249659" w14:textId="49DAF8B2" w:rsidR="00DB3A21" w:rsidRPr="000B2AB8" w:rsidRDefault="00DB3A21" w:rsidP="00DB3A21">
      <w:pPr>
        <w:ind w:left="1440"/>
        <w:rPr>
          <w:rFonts w:cs="Calibri"/>
        </w:rPr>
      </w:pPr>
      <w:r w:rsidRPr="000B2AB8">
        <w:rPr>
          <w:rFonts w:cs="Calibri"/>
        </w:rPr>
        <w:t>Motion</w:t>
      </w:r>
    </w:p>
    <w:p w14:paraId="0FA4B53E" w14:textId="77777777" w:rsidR="007B234B" w:rsidRPr="000B2AB8" w:rsidRDefault="007B234B" w:rsidP="007B234B">
      <w:pPr>
        <w:ind w:left="720"/>
        <w:rPr>
          <w:rFonts w:cs="Calibri"/>
        </w:rPr>
      </w:pPr>
    </w:p>
    <w:p w14:paraId="47CE670D" w14:textId="5933F7F2" w:rsidR="007B234B" w:rsidRPr="000B2AB8" w:rsidRDefault="007B234B" w:rsidP="007B234B">
      <w:pPr>
        <w:ind w:left="720"/>
        <w:rPr>
          <w:rFonts w:cs="Calibri"/>
        </w:rPr>
      </w:pPr>
      <w:r w:rsidRPr="000B2AB8">
        <w:rPr>
          <w:rFonts w:cs="Calibri"/>
        </w:rPr>
        <w:t>KIPP Academy Lynn Charter School:</w:t>
      </w:r>
    </w:p>
    <w:p w14:paraId="78D2DAA0" w14:textId="5DA5A882" w:rsidR="007B234B" w:rsidRPr="000B2AB8" w:rsidRDefault="007B234B" w:rsidP="00CE67DB">
      <w:pPr>
        <w:ind w:left="1440"/>
        <w:rPr>
          <w:rFonts w:cs="Calibri"/>
        </w:rPr>
      </w:pPr>
      <w:r w:rsidRPr="000B2AB8">
        <w:rPr>
          <w:rFonts w:cs="Calibri"/>
        </w:rPr>
        <w:t>Correspondence from KIPP Academy Lynn Charter School</w:t>
      </w:r>
    </w:p>
    <w:p w14:paraId="537272FF" w14:textId="71B9ED85" w:rsidR="00664274" w:rsidRPr="000B2AB8" w:rsidRDefault="00664274" w:rsidP="00CE67DB">
      <w:pPr>
        <w:ind w:left="1440"/>
        <w:rPr>
          <w:rFonts w:cs="Calibri"/>
        </w:rPr>
      </w:pPr>
      <w:r w:rsidRPr="000B2AB8">
        <w:rPr>
          <w:rFonts w:cs="Calibri"/>
        </w:rPr>
        <w:t>Public comment</w:t>
      </w:r>
    </w:p>
    <w:p w14:paraId="140445C3" w14:textId="7CD85993" w:rsidR="007B234B" w:rsidRPr="000B2AB8" w:rsidRDefault="007B234B" w:rsidP="007B234B">
      <w:pPr>
        <w:ind w:left="1440"/>
        <w:rPr>
          <w:rFonts w:cs="Calibri"/>
        </w:rPr>
      </w:pPr>
      <w:r w:rsidRPr="000B2AB8">
        <w:rPr>
          <w:rFonts w:cs="Calibri"/>
        </w:rPr>
        <w:t>Motion</w:t>
      </w:r>
    </w:p>
    <w:p w14:paraId="51800C5C" w14:textId="77777777" w:rsidR="007B234B" w:rsidRPr="000B2AB8" w:rsidRDefault="007B234B" w:rsidP="007B234B">
      <w:pPr>
        <w:rPr>
          <w:rFonts w:cs="Calibri"/>
        </w:rPr>
      </w:pPr>
    </w:p>
    <w:p w14:paraId="65AB78DC" w14:textId="6C895F91" w:rsidR="007B234B" w:rsidRPr="000B2AB8" w:rsidRDefault="00CE67DB" w:rsidP="007B234B">
      <w:pPr>
        <w:ind w:left="720"/>
        <w:rPr>
          <w:rFonts w:cs="Calibri"/>
        </w:rPr>
      </w:pPr>
      <w:r w:rsidRPr="000B2AB8">
        <w:rPr>
          <w:rFonts w:cs="Calibri"/>
        </w:rPr>
        <w:t>Pioneer Valley Chinese Immersion Charter School:</w:t>
      </w:r>
    </w:p>
    <w:p w14:paraId="21895C85" w14:textId="40A9F2CA" w:rsidR="00CE67DB" w:rsidRPr="000B2AB8" w:rsidRDefault="00CE67DB" w:rsidP="00CE67DB">
      <w:pPr>
        <w:ind w:left="1440"/>
        <w:rPr>
          <w:rFonts w:cs="Calibri"/>
        </w:rPr>
      </w:pPr>
      <w:r w:rsidRPr="000B2AB8">
        <w:rPr>
          <w:rFonts w:cs="Calibri"/>
        </w:rPr>
        <w:t>Correspondence from Pioneer Valley Chinese Immersion Charter School</w:t>
      </w:r>
    </w:p>
    <w:p w14:paraId="2A1C88CC" w14:textId="24A990CD" w:rsidR="00E22EA9" w:rsidRPr="000B2AB8" w:rsidRDefault="00E22EA9" w:rsidP="00CE67DB">
      <w:pPr>
        <w:ind w:left="1440"/>
        <w:rPr>
          <w:rFonts w:cs="Calibri"/>
        </w:rPr>
      </w:pPr>
      <w:r w:rsidRPr="000B2AB8">
        <w:rPr>
          <w:rFonts w:cs="Calibri"/>
        </w:rPr>
        <w:t>Public comment</w:t>
      </w:r>
    </w:p>
    <w:p w14:paraId="2C7DF55A" w14:textId="19ABA823" w:rsidR="00CE67DB" w:rsidRPr="000B2AB8" w:rsidRDefault="00CE67DB" w:rsidP="00CE67DB">
      <w:pPr>
        <w:ind w:left="1440"/>
        <w:rPr>
          <w:rFonts w:cs="Calibri"/>
        </w:rPr>
      </w:pPr>
      <w:r w:rsidRPr="000B2AB8">
        <w:rPr>
          <w:rFonts w:cs="Calibri"/>
        </w:rPr>
        <w:t>Motion</w:t>
      </w:r>
    </w:p>
    <w:p w14:paraId="2FA979AD" w14:textId="77777777" w:rsidR="00CE67DB" w:rsidRPr="000B2AB8" w:rsidRDefault="00CE67DB" w:rsidP="00CE67DB">
      <w:pPr>
        <w:rPr>
          <w:rFonts w:cs="Calibri"/>
        </w:rPr>
      </w:pPr>
    </w:p>
    <w:p w14:paraId="438674C3" w14:textId="426AFA26" w:rsidR="00CE67DB" w:rsidRPr="000B2AB8" w:rsidRDefault="00CE67DB" w:rsidP="00CE67DB">
      <w:pPr>
        <w:ind w:left="720"/>
        <w:rPr>
          <w:rFonts w:cs="Calibri"/>
        </w:rPr>
      </w:pPr>
      <w:r w:rsidRPr="000B2AB8">
        <w:rPr>
          <w:rFonts w:cs="Calibri"/>
        </w:rPr>
        <w:t>Pioneer Valley Performing Arts Charter Public School:</w:t>
      </w:r>
    </w:p>
    <w:p w14:paraId="5AA3B720" w14:textId="7833F2F1" w:rsidR="00CE67DB" w:rsidRPr="000B2AB8" w:rsidRDefault="00CE67DB" w:rsidP="00CE67DB">
      <w:pPr>
        <w:ind w:left="1440"/>
        <w:rPr>
          <w:rFonts w:cs="Calibri"/>
        </w:rPr>
      </w:pPr>
      <w:r w:rsidRPr="000B2AB8">
        <w:rPr>
          <w:rFonts w:cs="Calibri"/>
        </w:rPr>
        <w:t>Correspondence from Pioneer Valley Performing Arts Charter Public School</w:t>
      </w:r>
    </w:p>
    <w:p w14:paraId="4103DBE5" w14:textId="581EFBA7" w:rsidR="00B91CE6" w:rsidRPr="000B2AB8" w:rsidRDefault="00B91CE6" w:rsidP="00CE67DB">
      <w:pPr>
        <w:ind w:left="1440"/>
        <w:rPr>
          <w:rFonts w:cs="Calibri"/>
        </w:rPr>
      </w:pPr>
      <w:r w:rsidRPr="000B2AB8">
        <w:rPr>
          <w:rFonts w:cs="Calibri"/>
        </w:rPr>
        <w:t xml:space="preserve">Public </w:t>
      </w:r>
      <w:r w:rsidR="00A22A07" w:rsidRPr="000B2AB8">
        <w:rPr>
          <w:rFonts w:cs="Calibri"/>
        </w:rPr>
        <w:t>c</w:t>
      </w:r>
      <w:r w:rsidRPr="000B2AB8">
        <w:rPr>
          <w:rFonts w:cs="Calibri"/>
        </w:rPr>
        <w:t>omment</w:t>
      </w:r>
    </w:p>
    <w:p w14:paraId="0CE23E63" w14:textId="54F43DE0" w:rsidR="00CE67DB" w:rsidRPr="000B2AB8" w:rsidRDefault="00CE67DB" w:rsidP="00CE67DB">
      <w:pPr>
        <w:ind w:left="1440"/>
        <w:rPr>
          <w:rFonts w:cs="Calibri"/>
        </w:rPr>
      </w:pPr>
      <w:r w:rsidRPr="000B2AB8">
        <w:rPr>
          <w:rFonts w:cs="Calibri"/>
        </w:rPr>
        <w:t>Motion</w:t>
      </w:r>
    </w:p>
    <w:p w14:paraId="467DFD90" w14:textId="124143D0" w:rsidR="00A14114" w:rsidRPr="000B2AB8" w:rsidRDefault="00A14114" w:rsidP="6F8A0F96">
      <w:pPr>
        <w:rPr>
          <w:rFonts w:cs="Calibri"/>
        </w:rPr>
      </w:pPr>
    </w:p>
    <w:p w14:paraId="36E07E83" w14:textId="140B00CE" w:rsidR="00A14114" w:rsidRPr="000B2AB8" w:rsidRDefault="00A14114" w:rsidP="003E5050">
      <w:pPr>
        <w:keepNext/>
        <w:ind w:left="720"/>
        <w:rPr>
          <w:rFonts w:cs="Calibri"/>
        </w:rPr>
      </w:pPr>
      <w:r w:rsidRPr="000B2AB8">
        <w:rPr>
          <w:rFonts w:cs="Calibri"/>
        </w:rPr>
        <w:t xml:space="preserve">South Shore Charter </w:t>
      </w:r>
      <w:r w:rsidR="00E64531" w:rsidRPr="000B2AB8">
        <w:rPr>
          <w:rFonts w:cs="Calibri"/>
        </w:rPr>
        <w:t xml:space="preserve">Public </w:t>
      </w:r>
      <w:r w:rsidRPr="000B2AB8">
        <w:rPr>
          <w:rFonts w:cs="Calibri"/>
        </w:rPr>
        <w:t>School</w:t>
      </w:r>
    </w:p>
    <w:p w14:paraId="1D71D996" w14:textId="77777777" w:rsidR="00E64531" w:rsidRPr="000B2AB8" w:rsidRDefault="00A14114" w:rsidP="003E5050">
      <w:pPr>
        <w:keepNext/>
        <w:ind w:left="720"/>
        <w:rPr>
          <w:rFonts w:cs="Calibri"/>
        </w:rPr>
      </w:pPr>
      <w:r w:rsidRPr="000B2AB8">
        <w:rPr>
          <w:rFonts w:cs="Calibri"/>
        </w:rPr>
        <w:tab/>
        <w:t xml:space="preserve">Correspondence from </w:t>
      </w:r>
      <w:r w:rsidR="00E64531" w:rsidRPr="000B2AB8">
        <w:rPr>
          <w:rFonts w:cs="Calibri"/>
        </w:rPr>
        <w:t>South Shore Charter Public School</w:t>
      </w:r>
    </w:p>
    <w:p w14:paraId="4718A245" w14:textId="77777777" w:rsidR="00A14114" w:rsidRPr="009F3E1E" w:rsidRDefault="00A14114" w:rsidP="003E5050">
      <w:pPr>
        <w:keepNext/>
        <w:ind w:left="1440"/>
        <w:rPr>
          <w:rFonts w:cs="Calibri"/>
        </w:rPr>
      </w:pPr>
      <w:r w:rsidRPr="000B2AB8">
        <w:rPr>
          <w:rFonts w:cs="Calibri"/>
        </w:rPr>
        <w:t>Motion</w:t>
      </w:r>
    </w:p>
    <w:p w14:paraId="3F0FD5C8" w14:textId="15B26490" w:rsidR="005450AD" w:rsidRPr="009F3E1E" w:rsidRDefault="005450AD" w:rsidP="00872B43">
      <w:pPr>
        <w:rPr>
          <w:rFonts w:cs="Calibri"/>
        </w:rPr>
      </w:pPr>
    </w:p>
    <w:sectPr w:rsidR="005450AD" w:rsidRPr="009F3E1E" w:rsidSect="005C48A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2987E" w14:textId="77777777" w:rsidR="008D2F49" w:rsidRDefault="008D2F49" w:rsidP="00ED5501">
      <w:r>
        <w:separator/>
      </w:r>
    </w:p>
  </w:endnote>
  <w:endnote w:type="continuationSeparator" w:id="0">
    <w:p w14:paraId="58AF775B" w14:textId="77777777" w:rsidR="008D2F49" w:rsidRDefault="008D2F49" w:rsidP="00ED5501">
      <w:r>
        <w:continuationSeparator/>
      </w:r>
    </w:p>
  </w:endnote>
  <w:endnote w:type="continuationNotice" w:id="1">
    <w:p w14:paraId="5A8D64EE" w14:textId="77777777" w:rsidR="008D2F49" w:rsidRDefault="008D2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43255E67" w:rsidR="00ED5501" w:rsidRPr="00ED5501" w:rsidRDefault="004C53BC" w:rsidP="00A504E1">
    <w:pPr>
      <w:pStyle w:val="Footer"/>
      <w:tabs>
        <w:tab w:val="clear" w:pos="4680"/>
        <w:tab w:val="clear" w:pos="9360"/>
        <w:tab w:val="left" w:pos="5412"/>
      </w:tabs>
    </w:pPr>
    <w:r>
      <w:rPr>
        <w:noProof/>
      </w:rPr>
      <w:drawing>
        <wp:anchor distT="0" distB="0" distL="114300" distR="114300" simplePos="0" relativeHeight="251658241" behindDoc="1" locked="0" layoutInCell="1" allowOverlap="1" wp14:anchorId="6EA90686" wp14:editId="64FC6633">
          <wp:simplePos x="0" y="0"/>
          <wp:positionH relativeFrom="column">
            <wp:posOffset>-939800</wp:posOffset>
          </wp:positionH>
          <wp:positionV relativeFrom="paragraph">
            <wp:posOffset>-169545</wp:posOffset>
          </wp:positionV>
          <wp:extent cx="7806055" cy="739775"/>
          <wp:effectExtent l="0" t="0" r="0" b="0"/>
          <wp:wrapNone/>
          <wp:docPr id="549570267"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rsidR="00A504E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3197024"/>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552ED" w14:textId="77777777" w:rsidR="008D2F49" w:rsidRDefault="008D2F49" w:rsidP="00ED5501">
      <w:r>
        <w:separator/>
      </w:r>
    </w:p>
  </w:footnote>
  <w:footnote w:type="continuationSeparator" w:id="0">
    <w:p w14:paraId="1C110FDA" w14:textId="77777777" w:rsidR="008D2F49" w:rsidRDefault="008D2F49" w:rsidP="00ED5501">
      <w:r>
        <w:continuationSeparator/>
      </w:r>
    </w:p>
  </w:footnote>
  <w:footnote w:type="continuationNotice" w:id="1">
    <w:p w14:paraId="0CD91973" w14:textId="77777777" w:rsidR="008D2F49" w:rsidRDefault="008D2F49"/>
  </w:footnote>
  <w:footnote w:id="2">
    <w:p w14:paraId="5379E8E1" w14:textId="6F4A5380" w:rsidR="003057F5" w:rsidRDefault="003057F5">
      <w:pPr>
        <w:pStyle w:val="FootnoteText"/>
      </w:pPr>
      <w:r>
        <w:rPr>
          <w:rStyle w:val="FootnoteReference"/>
        </w:rPr>
        <w:footnoteRef/>
      </w:r>
      <w:r>
        <w:t xml:space="preserve"> My recommendation for PVCICS includes </w:t>
      </w:r>
      <w:r w:rsidR="005D6614">
        <w:t xml:space="preserve">three </w:t>
      </w:r>
      <w:r>
        <w:t xml:space="preserve">conditions related to governance and </w:t>
      </w:r>
      <w:r w:rsidR="005D6614">
        <w:t xml:space="preserve">one condition related to </w:t>
      </w:r>
      <w:r w:rsidR="00AD7131">
        <w:t xml:space="preserve">planning for </w:t>
      </w:r>
      <w:r w:rsidR="00F9165C">
        <w:t>transportation</w:t>
      </w:r>
      <w:r w:rsidR="00AD7131">
        <w:t xml:space="preserve"> services</w:t>
      </w:r>
      <w:r>
        <w:t>.</w:t>
      </w:r>
    </w:p>
  </w:footnote>
  <w:footnote w:id="3">
    <w:p w14:paraId="6A47323B" w14:textId="18B7099D" w:rsidR="0010493F" w:rsidRDefault="0010493F">
      <w:pPr>
        <w:pStyle w:val="FootnoteText"/>
      </w:pPr>
      <w:r>
        <w:rPr>
          <w:rStyle w:val="FootnoteReference"/>
        </w:rPr>
        <w:footnoteRef/>
      </w:r>
      <w:r>
        <w:t xml:space="preserve"> </w:t>
      </w:r>
      <w:r w:rsidRPr="0010493F">
        <w:t>At the time of each school’s submission to the Department, pursuant to 603 CMR 1.10(5), copies of all requests were provided to the districts identified in their respective charter region.</w:t>
      </w:r>
    </w:p>
  </w:footnote>
  <w:footnote w:id="4">
    <w:p w14:paraId="611412F0" w14:textId="7318AC92" w:rsidR="00A07CF2" w:rsidRDefault="00A07CF2">
      <w:pPr>
        <w:pStyle w:val="FootnoteText"/>
      </w:pPr>
      <w:r>
        <w:rPr>
          <w:rStyle w:val="FootnoteReference"/>
        </w:rPr>
        <w:footnoteRef/>
      </w:r>
      <w:r>
        <w:t xml:space="preserve"> </w:t>
      </w:r>
      <w:r w:rsidRPr="00A07CF2">
        <w:t>The Charter School Dashboard is a new tool that provides unique data displays for charter schools. The Dashboard was developed in a collaboration between the Department and the Executive Office of Education Information Technology. As a new data tool, there may be data anomalies or missing fields. We apologize for any unintended omissions or errors. The Dashboard will be updated as issues are identified.</w:t>
      </w:r>
    </w:p>
  </w:footnote>
  <w:footnote w:id="5">
    <w:p w14:paraId="68307C10" w14:textId="5DFB2821" w:rsidR="006953A8" w:rsidRDefault="006953A8">
      <w:pPr>
        <w:pStyle w:val="FootnoteText"/>
      </w:pPr>
      <w:r>
        <w:rPr>
          <w:rStyle w:val="FootnoteReference"/>
        </w:rPr>
        <w:footnoteRef/>
      </w:r>
      <w:r>
        <w:t xml:space="preserve"> </w:t>
      </w:r>
      <w:r w:rsidR="00E13D80" w:rsidRPr="00E13D80">
        <w:t>Horace Mann charter school</w:t>
      </w:r>
      <w:r w:rsidR="00E13D80">
        <w:t>s</w:t>
      </w:r>
      <w:r w:rsidR="00E13D80" w:rsidRPr="00E13D80">
        <w:t xml:space="preserve"> receive tuition as set forth in the school’s memorandum of understanding with the </w:t>
      </w:r>
      <w:r w:rsidR="00E13D80">
        <w:t>s</w:t>
      </w:r>
      <w:r w:rsidR="00E13D80" w:rsidRPr="00E13D80">
        <w:t xml:space="preserve">chool </w:t>
      </w:r>
      <w:r w:rsidR="00E13D80">
        <w:t>c</w:t>
      </w:r>
      <w:r w:rsidR="00E13D80" w:rsidRPr="00E13D80">
        <w:t>ommittee</w:t>
      </w:r>
      <w:r w:rsidR="00E13D80">
        <w:t xml:space="preserve"> where the charter school is located</w:t>
      </w:r>
      <w:r w:rsidR="00E13D80" w:rsidRPr="00E13D80">
        <w:t>.</w:t>
      </w:r>
      <w:r w:rsidR="004A6022">
        <w:t xml:space="preserve"> Horace Mann charter schools, therefore, are not subject to net sc</w:t>
      </w:r>
      <w:r w:rsidR="008F30A9">
        <w:t>hool spending caps.</w:t>
      </w:r>
    </w:p>
  </w:footnote>
  <w:footnote w:id="6">
    <w:p w14:paraId="0049DEB6" w14:textId="77777777" w:rsidR="00073D05" w:rsidRPr="009C7D97" w:rsidRDefault="00073D05" w:rsidP="00077EBE">
      <w:pPr>
        <w:pStyle w:val="FootnoteText"/>
        <w:ind w:left="90" w:hanging="90"/>
        <w:rPr>
          <w:vertAlign w:val="superscript"/>
        </w:rPr>
      </w:pPr>
      <w:r w:rsidRPr="009C7D97">
        <w:rPr>
          <w:rStyle w:val="FootnoteReference"/>
        </w:rPr>
        <w:footnoteRef/>
      </w:r>
      <w:r w:rsidRPr="009C7D97">
        <w:rPr>
          <w:vertAlign w:val="superscript"/>
        </w:rPr>
        <w:t xml:space="preserve"> </w:t>
      </w:r>
      <w:r w:rsidRPr="009C7D97">
        <w:t>NSS does not include spending funded by grants or most spending related to capital facilities, transportation, or adult education. In the case of municipal school districts, NSS can include spending by other municipal departments to support schools.</w:t>
      </w:r>
    </w:p>
  </w:footnote>
  <w:footnote w:id="7">
    <w:p w14:paraId="2FE11251" w14:textId="46A69672" w:rsidR="00B63792" w:rsidRDefault="00B63792">
      <w:pPr>
        <w:pStyle w:val="FootnoteText"/>
      </w:pPr>
      <w:r>
        <w:rPr>
          <w:rStyle w:val="FootnoteReference"/>
        </w:rPr>
        <w:footnoteRef/>
      </w:r>
      <w:r>
        <w:t xml:space="preserve"> District</w:t>
      </w:r>
      <w:r w:rsidR="003375BB">
        <w:t>s</w:t>
      </w:r>
      <w:r>
        <w:t xml:space="preserve"> subject to </w:t>
      </w:r>
      <w:r w:rsidR="006E692F">
        <w:t xml:space="preserve">the higher 18 percent NSS cap are reported annually at: </w:t>
      </w:r>
      <w:hyperlink r:id="rId1" w:history="1">
        <w:r w:rsidR="006E692F">
          <w:rPr>
            <w:rStyle w:val="Hyperlink"/>
          </w:rPr>
          <w:t>Districts Subject to Changes in the Charter School Cap - Annual Ranking</w:t>
        </w:r>
      </w:hyperlink>
      <w:r w:rsidR="006E692F">
        <w:t>.</w:t>
      </w:r>
    </w:p>
  </w:footnote>
  <w:footnote w:id="8">
    <w:p w14:paraId="2CF1A417" w14:textId="77777777" w:rsidR="00073D05" w:rsidRPr="009C7D97" w:rsidRDefault="00073D05" w:rsidP="00073D05">
      <w:pPr>
        <w:pStyle w:val="NormalWeb"/>
        <w:spacing w:before="0" w:beforeAutospacing="0" w:after="0" w:afterAutospacing="0"/>
        <w:rPr>
          <w:rFonts w:asciiTheme="minorHAnsi" w:hAnsiTheme="minorHAnsi"/>
          <w:color w:val="000000"/>
          <w:sz w:val="20"/>
        </w:rPr>
      </w:pPr>
      <w:r w:rsidRPr="009C7D97">
        <w:rPr>
          <w:rStyle w:val="FootnoteReference"/>
          <w:rFonts w:asciiTheme="minorHAnsi" w:eastAsiaTheme="majorEastAsia" w:hAnsiTheme="minorHAnsi"/>
          <w:sz w:val="20"/>
          <w:szCs w:val="20"/>
        </w:rPr>
        <w:footnoteRef/>
      </w:r>
      <w:r w:rsidRPr="009C7D97">
        <w:rPr>
          <w:rFonts w:asciiTheme="minorHAnsi" w:hAnsiTheme="minorHAnsi"/>
          <w:vertAlign w:val="superscript"/>
        </w:rPr>
        <w:t xml:space="preserve"> </w:t>
      </w:r>
      <w:r w:rsidRPr="009C7D97">
        <w:rPr>
          <w:rFonts w:asciiTheme="minorHAnsi" w:hAnsiTheme="minorHAnsi"/>
          <w:color w:val="000000"/>
          <w:sz w:val="20"/>
        </w:rPr>
        <w:t>Section 89(i)(2) of G.L. c. 71 provides as follows with respect to NSS.</w:t>
      </w:r>
    </w:p>
    <w:p w14:paraId="4D30D422" w14:textId="77777777" w:rsidR="00073D05" w:rsidRPr="009C7D97" w:rsidRDefault="00073D05" w:rsidP="00073D05">
      <w:pPr>
        <w:ind w:left="720"/>
        <w:rPr>
          <w:color w:val="000000"/>
          <w:sz w:val="20"/>
        </w:rPr>
      </w:pPr>
      <w:r w:rsidRPr="009C7D97">
        <w:rPr>
          <w:color w:val="000000"/>
          <w:sz w:val="20"/>
        </w:rPr>
        <w:t xml:space="preserve">In any fiscal year, </w:t>
      </w:r>
      <w:r w:rsidRPr="009C7D97">
        <w:rPr>
          <w:bCs/>
          <w:color w:val="000000"/>
          <w:sz w:val="20"/>
        </w:rPr>
        <w:t>no public school district's total charter school tuition</w:t>
      </w:r>
      <w:r w:rsidRPr="009C7D97">
        <w:rPr>
          <w:color w:val="000000"/>
          <w:sz w:val="20"/>
        </w:rPr>
        <w:t xml:space="preserve"> payment to commonwealth charter schools </w:t>
      </w:r>
      <w:r w:rsidRPr="009C7D97">
        <w:rPr>
          <w:bCs/>
          <w:color w:val="000000"/>
          <w:sz w:val="20"/>
        </w:rPr>
        <w:t>shall exceed 9 per cent of the district's net school spending</w:t>
      </w:r>
      <w:r w:rsidRPr="009C7D97">
        <w:rPr>
          <w:color w:val="000000"/>
          <w:sz w:val="20"/>
        </w:rPr>
        <w:t xml:space="preserve">; provided, however, that a public school district's total charter tuition payment to commonwealth charter schools shall not exceed 18 per cent of the district's net school spending if the school district qualifies under paragraph (3). </w:t>
      </w:r>
    </w:p>
    <w:p w14:paraId="6546F30B" w14:textId="77777777" w:rsidR="00073D05" w:rsidRPr="009C7D97" w:rsidRDefault="00073D05" w:rsidP="00073D05">
      <w:pPr>
        <w:pStyle w:val="NormalWeb"/>
        <w:spacing w:before="0" w:beforeAutospacing="0" w:after="0" w:afterAutospacing="0"/>
        <w:rPr>
          <w:rFonts w:asciiTheme="minorHAnsi" w:hAnsiTheme="minorHAnsi"/>
          <w:color w:val="000000"/>
          <w:sz w:val="20"/>
        </w:rPr>
      </w:pPr>
    </w:p>
    <w:p w14:paraId="6DE6CCE7" w14:textId="77777777" w:rsidR="00073D05" w:rsidRPr="009C7D97" w:rsidRDefault="00073D05" w:rsidP="001B3AF4">
      <w:pPr>
        <w:pStyle w:val="NormalWeb"/>
        <w:spacing w:before="0" w:beforeAutospacing="0" w:after="0" w:afterAutospacing="0"/>
        <w:ind w:left="90"/>
        <w:rPr>
          <w:rFonts w:asciiTheme="minorHAnsi" w:hAnsiTheme="minorHAnsi"/>
          <w:color w:val="000000"/>
          <w:sz w:val="20"/>
        </w:rPr>
      </w:pPr>
      <w:r w:rsidRPr="009C7D97">
        <w:rPr>
          <w:rFonts w:asciiTheme="minorHAnsi" w:hAnsiTheme="minorHAnsi"/>
          <w:color w:val="000000"/>
          <w:sz w:val="20"/>
        </w:rPr>
        <w:t>Section 89(i)(3) of G.L. c. 71, referred to in the language quoted above, provides as follows.</w:t>
      </w:r>
    </w:p>
    <w:p w14:paraId="6CC42A1D" w14:textId="5B6E080C" w:rsidR="00073D05" w:rsidRPr="009C7D97" w:rsidRDefault="00073D05" w:rsidP="006A6B54">
      <w:pPr>
        <w:ind w:left="720"/>
        <w:rPr>
          <w:color w:val="000000"/>
          <w:sz w:val="20"/>
        </w:rPr>
      </w:pPr>
      <w:r w:rsidRPr="009C7D97">
        <w:rPr>
          <w:color w:val="000000"/>
          <w:sz w:val="20"/>
        </w:rPr>
        <w:t xml:space="preserve">In any fiscal year, if the board determines based on student performance data collected pursuant to section 1I, said district is in the lowest 10 per cent of all statewide student performance scores released in the 2 consecutive school years before the date the charter school application is submitted, the school district's total charter school tuition payment to commonwealth charter schools </w:t>
      </w:r>
      <w:r w:rsidRPr="009C7D97">
        <w:rPr>
          <w:bCs/>
          <w:color w:val="000000"/>
          <w:sz w:val="20"/>
        </w:rPr>
        <w:t>may exceed 9 per cent of the district's net school spending but shall not exceed 18 per cent</w:t>
      </w:r>
      <w:r w:rsidRPr="009C7D97">
        <w:rPr>
          <w:color w:val="000000"/>
          <w:sz w:val="20"/>
        </w:rPr>
        <w:t xml:space="preserve">. </w:t>
      </w:r>
    </w:p>
  </w:footnote>
  <w:footnote w:id="9">
    <w:p w14:paraId="3C908E13" w14:textId="1B0716A8" w:rsidR="00073D05" w:rsidRPr="009C7D97" w:rsidRDefault="00073D05" w:rsidP="001B3AF4">
      <w:pPr>
        <w:pStyle w:val="FootnoteText"/>
        <w:ind w:left="180" w:hanging="180"/>
      </w:pPr>
      <w:r w:rsidRPr="009C7D97">
        <w:rPr>
          <w:rStyle w:val="FootnoteReference"/>
        </w:rPr>
        <w:footnoteRef/>
      </w:r>
      <w:r w:rsidR="00077EBE">
        <w:t xml:space="preserve">  </w:t>
      </w:r>
      <w:r w:rsidRPr="009C7D97">
        <w:t>The facility component of charter tuition is excluded from this calculation because sending districts are fully reimbursed by the Commonwealth for this amount.</w:t>
      </w:r>
    </w:p>
  </w:footnote>
  <w:footnote w:id="10">
    <w:p w14:paraId="10A74C57" w14:textId="6B7662DE" w:rsidR="00073D05" w:rsidRPr="009C7D97" w:rsidRDefault="00073D05" w:rsidP="00073D05">
      <w:pPr>
        <w:pStyle w:val="FootnoteText"/>
      </w:pPr>
      <w:r w:rsidRPr="009C7D97">
        <w:rPr>
          <w:rStyle w:val="FootnoteReference"/>
        </w:rPr>
        <w:footnoteRef/>
      </w:r>
      <w:r w:rsidRPr="00384557">
        <w:t xml:space="preserve"> </w:t>
      </w:r>
      <w:r w:rsidR="00384557">
        <w:t xml:space="preserve"> </w:t>
      </w:r>
      <w:r w:rsidRPr="009C7D97">
        <w:t>Charter schools do not receive tuition for students enrolled above the school’s maximum enrollment.</w:t>
      </w:r>
    </w:p>
  </w:footnote>
  <w:footnote w:id="11">
    <w:p w14:paraId="6D605639" w14:textId="550A0E17" w:rsidR="009040A3" w:rsidRDefault="000F6294">
      <w:pPr>
        <w:pStyle w:val="FootnoteText"/>
      </w:pPr>
      <w:r>
        <w:rPr>
          <w:rStyle w:val="FootnoteReference"/>
        </w:rPr>
        <w:footnoteRef/>
      </w:r>
      <w:r>
        <w:t xml:space="preserve"> </w:t>
      </w:r>
      <w:r w:rsidR="009040A3" w:rsidRPr="009040A3">
        <w:t xml:space="preserve">The charter school statute </w:t>
      </w:r>
      <w:r w:rsidR="004A61A7" w:rsidRPr="009040A3">
        <w:t>at G.L. c. 71, § 89(i)(3)</w:t>
      </w:r>
      <w:r w:rsidR="006C3266">
        <w:t xml:space="preserve">, </w:t>
      </w:r>
      <w:r w:rsidR="00550845">
        <w:t>addresses</w:t>
      </w:r>
      <w:r w:rsidR="004A61A7">
        <w:t xml:space="preserve"> the</w:t>
      </w:r>
      <w:r w:rsidR="009040A3" w:rsidRPr="009040A3">
        <w:t xml:space="preserve"> calculat</w:t>
      </w:r>
      <w:r w:rsidR="004A61A7">
        <w:t>ion of</w:t>
      </w:r>
      <w:r w:rsidR="009040A3" w:rsidRPr="009040A3">
        <w:t xml:space="preserve"> NSS cap</w:t>
      </w:r>
      <w:r w:rsidR="004A61A7">
        <w:t>s</w:t>
      </w:r>
      <w:r w:rsidR="009040A3" w:rsidRPr="009040A3">
        <w:t xml:space="preserve"> when </w:t>
      </w:r>
      <w:r w:rsidR="007136D7">
        <w:t xml:space="preserve">a </w:t>
      </w:r>
      <w:r w:rsidR="009040A3" w:rsidRPr="009040A3">
        <w:t xml:space="preserve">district exits the lowest 10 percent. </w:t>
      </w:r>
    </w:p>
    <w:p w14:paraId="627946C8" w14:textId="795FDAF8" w:rsidR="000F6294" w:rsidRDefault="009040A3" w:rsidP="009040A3">
      <w:pPr>
        <w:pStyle w:val="FootnoteText"/>
        <w:ind w:left="720"/>
      </w:pPr>
      <w:r w:rsidRPr="009040A3">
        <w:t>If a district is no longer in the lowest 10 per cent, the net school spending cap shall be 9 per cent, unless the district net school spending was above 9 per cent in the year prior to moving out of the lowest 10 per cent in which case the net school spending cap shall remain at the higher level plus enrollment previously approved by the board. The department shall determine and make available to the public a list of the school districts in said lowest 10 per cent.</w:t>
      </w:r>
    </w:p>
    <w:p w14:paraId="2DF5EE01" w14:textId="2D8811A7" w:rsidR="00A9192E" w:rsidRDefault="00A9192E" w:rsidP="008C3204">
      <w:pPr>
        <w:pStyle w:val="FootnoteText"/>
        <w:ind w:left="90"/>
      </w:pPr>
      <w:r w:rsidRPr="00A9192E">
        <w:t>In short, if such a district’s charter enrollment has surpassed the 9 percent NSS cap, that district’s NSS cap must be set to accommodate all previously approved enrollment.</w:t>
      </w:r>
    </w:p>
  </w:footnote>
  <w:footnote w:id="12">
    <w:p w14:paraId="15F548E7" w14:textId="0A09240E" w:rsidR="009C4E2F" w:rsidRDefault="009C4E2F">
      <w:pPr>
        <w:pStyle w:val="FootnoteText"/>
      </w:pPr>
      <w:r>
        <w:rPr>
          <w:rStyle w:val="FootnoteReference"/>
        </w:rPr>
        <w:footnoteRef/>
      </w:r>
      <w:r>
        <w:t xml:space="preserve"> </w:t>
      </w:r>
      <w:r w:rsidR="0005781E">
        <w:t>AMSA</w:t>
      </w:r>
      <w:r w:rsidR="00966BFC">
        <w:t>, a regional charter school,</w:t>
      </w:r>
      <w:r w:rsidR="000E33E4">
        <w:t xml:space="preserve"> </w:t>
      </w:r>
      <w:r w:rsidR="00966BFC">
        <w:t xml:space="preserve">includes a district </w:t>
      </w:r>
      <w:r w:rsidR="006C3266">
        <w:t>in its</w:t>
      </w:r>
      <w:r w:rsidR="00271B79">
        <w:t xml:space="preserve"> region that is </w:t>
      </w:r>
      <w:r w:rsidR="00966BFC">
        <w:t>identified as performing in the lowest 10 percent statewide, Marlborough</w:t>
      </w:r>
      <w:r w:rsidR="00271B79">
        <w:t>. Marlborough, h</w:t>
      </w:r>
      <w:r w:rsidR="00C67901">
        <w:t>o</w:t>
      </w:r>
      <w:r w:rsidR="00271B79">
        <w:t>wever</w:t>
      </w:r>
      <w:r w:rsidR="00966BFC">
        <w:t xml:space="preserve">, </w:t>
      </w:r>
      <w:r w:rsidR="00C67901">
        <w:t>is</w:t>
      </w:r>
      <w:r w:rsidR="00966BFC">
        <w:t xml:space="preserve"> not projected to exceed the 9 percent NSS </w:t>
      </w:r>
      <w:r w:rsidR="00C67901">
        <w:t>even if a</w:t>
      </w:r>
      <w:r w:rsidR="00DE69E5">
        <w:t>ll of</w:t>
      </w:r>
      <w:r w:rsidR="00966BFC">
        <w:t xml:space="preserve"> the school’s proposed</w:t>
      </w:r>
      <w:r w:rsidR="002C4525">
        <w:t xml:space="preserve"> </w:t>
      </w:r>
      <w:r w:rsidR="00966BFC">
        <w:t xml:space="preserve">increase </w:t>
      </w:r>
      <w:r w:rsidR="002C4525">
        <w:t>in enrollment</w:t>
      </w:r>
      <w:r w:rsidR="00DE69E5">
        <w:t>,</w:t>
      </w:r>
      <w:r w:rsidR="00966BFC">
        <w:t xml:space="preserve"> 34 students</w:t>
      </w:r>
      <w:r w:rsidR="00DE69E5">
        <w:t>, were to come from Marlborough</w:t>
      </w:r>
      <w:r w:rsidR="00966BFC">
        <w:t>.</w:t>
      </w:r>
    </w:p>
  </w:footnote>
  <w:footnote w:id="13">
    <w:p w14:paraId="6E499108" w14:textId="0E42A0D2" w:rsidR="00E43A8B" w:rsidRDefault="00E43A8B">
      <w:pPr>
        <w:pStyle w:val="FootnoteText"/>
      </w:pPr>
      <w:r>
        <w:rPr>
          <w:rStyle w:val="FootnoteReference"/>
        </w:rPr>
        <w:footnoteRef/>
      </w:r>
      <w:r>
        <w:t xml:space="preserve"> </w:t>
      </w:r>
      <w:r w:rsidRPr="00E43A8B">
        <w:t xml:space="preserve">NSS spending cap limitations and proven provider requirements are not applicable to Horace Mann charter schools.  </w:t>
      </w:r>
    </w:p>
  </w:footnote>
  <w:footnote w:id="14">
    <w:p w14:paraId="119323A8" w14:textId="3BF020AD" w:rsidR="00A116F4" w:rsidRDefault="00A116F4">
      <w:pPr>
        <w:pStyle w:val="FootnoteText"/>
      </w:pPr>
      <w:r>
        <w:rPr>
          <w:rStyle w:val="FootnoteReference"/>
        </w:rPr>
        <w:footnoteRef/>
      </w:r>
      <w:r>
        <w:t xml:space="preserve"> The Department</w:t>
      </w:r>
      <w:r w:rsidR="00AD7E1B">
        <w:t xml:space="preserve"> </w:t>
      </w:r>
      <w:r w:rsidR="00AD7E1B" w:rsidRPr="00712EB6">
        <w:t>define</w:t>
      </w:r>
      <w:r w:rsidR="00AD7E1B">
        <w:t>s</w:t>
      </w:r>
      <w:r w:rsidR="00AD7E1B" w:rsidRPr="00712EB6">
        <w:t xml:space="preserve"> expected performance in the three guiding areas of charter school accountability: faithfulness to charter, academic program success, and organizational viability</w:t>
      </w:r>
      <w:r>
        <w:t xml:space="preserve"> </w:t>
      </w:r>
      <w:r w:rsidR="00AD7E1B">
        <w:t xml:space="preserve">through the </w:t>
      </w:r>
      <w:hyperlink r:id="rId2" w:history="1">
        <w:r w:rsidRPr="00C632CF">
          <w:rPr>
            <w:rStyle w:val="Hyperlink"/>
          </w:rPr>
          <w:t>Charter School Performance Criteria</w:t>
        </w:r>
      </w:hyperlink>
      <w:r w:rsidR="00AD7E1B">
        <w:t xml:space="preserve">. </w:t>
      </w:r>
      <w:r w:rsidR="00712EB6" w:rsidRPr="00712EB6">
        <w:t xml:space="preserve">The Department evaluates these </w:t>
      </w:r>
      <w:r w:rsidR="00AD7E1B">
        <w:t xml:space="preserve">ten </w:t>
      </w:r>
      <w:r w:rsidR="00712EB6" w:rsidRPr="00712EB6">
        <w:t xml:space="preserve">criteria through the use of quantitative and qualitative data </w:t>
      </w:r>
      <w:r w:rsidR="001B4627">
        <w:t>and</w:t>
      </w:r>
      <w:r w:rsidR="00712EB6" w:rsidRPr="00712EB6">
        <w:t xml:space="preserve"> affirmative evidence presented by the school.</w:t>
      </w:r>
    </w:p>
  </w:footnote>
  <w:footnote w:id="15">
    <w:p w14:paraId="7F92B844" w14:textId="4243D920" w:rsidR="00C10A15" w:rsidRDefault="00C10A15">
      <w:pPr>
        <w:pStyle w:val="FootnoteText"/>
      </w:pPr>
      <w:r>
        <w:rPr>
          <w:rStyle w:val="FootnoteReference"/>
        </w:rPr>
        <w:footnoteRef/>
      </w:r>
      <w:r>
        <w:t xml:space="preserve"> </w:t>
      </w:r>
      <w:r w:rsidR="00962444">
        <w:t xml:space="preserve">Student groups </w:t>
      </w:r>
      <w:r w:rsidR="00866333">
        <w:t xml:space="preserve">defined in </w:t>
      </w:r>
      <w:r w:rsidR="00866333" w:rsidRPr="00066DF0">
        <w:rPr>
          <w:rFonts w:cs="Calibri"/>
        </w:rPr>
        <w:t>M.G.L. c. 71, § 89(i)(3</w:t>
      </w:r>
      <w:r w:rsidR="00866333">
        <w:rPr>
          <w:rFonts w:cs="Calibri"/>
        </w:rPr>
        <w:t xml:space="preserve">) include </w:t>
      </w:r>
      <w:r w:rsidR="00FF1F42">
        <w:rPr>
          <w:rFonts w:cs="Calibri"/>
        </w:rPr>
        <w:t xml:space="preserve">students identified as low income, English learners, </w:t>
      </w:r>
      <w:r w:rsidR="00EB3B79">
        <w:rPr>
          <w:rFonts w:cs="Calibri"/>
        </w:rPr>
        <w:t xml:space="preserve">students with disabilities, </w:t>
      </w:r>
      <w:r w:rsidR="005B7B13">
        <w:rPr>
          <w:rFonts w:cs="Calibri"/>
        </w:rPr>
        <w:t>and at-risk student populatio</w:t>
      </w:r>
      <w:r w:rsidR="00904C6E">
        <w:rPr>
          <w:rFonts w:cs="Calibri"/>
        </w:rPr>
        <w:t>ns</w:t>
      </w:r>
      <w:r w:rsidR="005B7B13">
        <w:rPr>
          <w:rFonts w:cs="Calibri"/>
        </w:rPr>
        <w:t>.</w:t>
      </w:r>
    </w:p>
  </w:footnote>
  <w:footnote w:id="16">
    <w:p w14:paraId="24938343" w14:textId="2A4D56ED" w:rsidR="00FE5751" w:rsidRDefault="00FE5751">
      <w:pPr>
        <w:pStyle w:val="FootnoteText"/>
      </w:pPr>
      <w:r>
        <w:rPr>
          <w:rStyle w:val="FootnoteReference"/>
        </w:rPr>
        <w:footnoteRef/>
      </w:r>
      <w:r>
        <w:t xml:space="preserve"> </w:t>
      </w:r>
      <w:r w:rsidR="00FF13C4" w:rsidRPr="00AB2304">
        <w:rPr>
          <w:bCs/>
        </w:rPr>
        <w:t>AMSA</w:t>
      </w:r>
      <w:r w:rsidR="00FF13C4">
        <w:rPr>
          <w:bCs/>
        </w:rPr>
        <w:t>, PVCICS, and SSCPS</w:t>
      </w:r>
      <w:r w:rsidR="00FF13C4" w:rsidRPr="00AB2304">
        <w:rPr>
          <w:bCs/>
        </w:rPr>
        <w:t xml:space="preserve"> </w:t>
      </w:r>
      <w:r w:rsidR="00630236">
        <w:rPr>
          <w:bCs/>
        </w:rPr>
        <w:t>must</w:t>
      </w:r>
      <w:r w:rsidR="00FF13C4">
        <w:rPr>
          <w:bCs/>
        </w:rPr>
        <w:t xml:space="preserve"> </w:t>
      </w:r>
      <w:r w:rsidR="00FF13C4" w:rsidRPr="00AB2304">
        <w:rPr>
          <w:bCs/>
        </w:rPr>
        <w:t xml:space="preserve">follow Department guidance </w:t>
      </w:r>
      <w:r w:rsidR="00471E99">
        <w:rPr>
          <w:bCs/>
        </w:rPr>
        <w:t xml:space="preserve">issued annually </w:t>
      </w:r>
      <w:r w:rsidR="00FF13C4" w:rsidRPr="00AB2304">
        <w:rPr>
          <w:bCs/>
        </w:rPr>
        <w:t xml:space="preserve">related to enrollment limitations </w:t>
      </w:r>
      <w:r w:rsidR="00FF13C4">
        <w:rPr>
          <w:bCs/>
        </w:rPr>
        <w:t>for districts at or near their NSS cap</w:t>
      </w:r>
      <w:r w:rsidR="00FF13C4" w:rsidRPr="00AB2304">
        <w:rPr>
          <w:bCs/>
        </w:rPr>
        <w:t>.</w:t>
      </w:r>
      <w:r w:rsidR="00FF13C4">
        <w:rPr>
          <w:bCs/>
        </w:rPr>
        <w:t xml:space="preserve"> Pursuant to 603 CMR </w:t>
      </w:r>
      <w:r w:rsidR="00257242">
        <w:rPr>
          <w:bCs/>
        </w:rPr>
        <w:t>1.05(10)</w:t>
      </w:r>
      <w:r w:rsidR="003E23CB">
        <w:rPr>
          <w:bCs/>
        </w:rPr>
        <w:t>(b)</w:t>
      </w:r>
      <w:r w:rsidR="00FF13C4">
        <w:rPr>
          <w:bCs/>
        </w:rPr>
        <w:t>,</w:t>
      </w:r>
      <w:r w:rsidR="00AA695F" w:rsidRPr="00AB2304">
        <w:rPr>
          <w:bCs/>
        </w:rPr>
        <w:t xml:space="preserve"> residents of districts that are at the</w:t>
      </w:r>
      <w:r w:rsidR="00471E99">
        <w:rPr>
          <w:bCs/>
        </w:rPr>
        <w:t>ir</w:t>
      </w:r>
      <w:r w:rsidR="00AA695F" w:rsidRPr="00AB2304">
        <w:rPr>
          <w:bCs/>
        </w:rPr>
        <w:t xml:space="preserve"> NSS cap remain on </w:t>
      </w:r>
      <w:r w:rsidR="00471E99">
        <w:rPr>
          <w:bCs/>
        </w:rPr>
        <w:t xml:space="preserve">the waitlists of </w:t>
      </w:r>
      <w:r w:rsidR="00AA695F">
        <w:rPr>
          <w:bCs/>
        </w:rPr>
        <w:t xml:space="preserve">Commonwealth charter </w:t>
      </w:r>
      <w:r w:rsidR="00AA695F" w:rsidRPr="00AB2304">
        <w:rPr>
          <w:bCs/>
        </w:rPr>
        <w:t>school</w:t>
      </w:r>
      <w:r w:rsidR="009001A6">
        <w:rPr>
          <w:bCs/>
        </w:rPr>
        <w:t>s</w:t>
      </w:r>
      <w:r w:rsidR="00AA695F">
        <w:rPr>
          <w:bCs/>
        </w:rPr>
        <w:t xml:space="preserve"> unless the student is a sibling of a currently enrolled student.</w:t>
      </w:r>
      <w:r w:rsidR="00AA695F">
        <w:t xml:space="preserve"> </w:t>
      </w:r>
      <w:r>
        <w:t>The Department</w:t>
      </w:r>
      <w:r w:rsidR="0042416E">
        <w:t xml:space="preserve"> has published</w:t>
      </w:r>
      <w:r>
        <w:t xml:space="preserve"> </w:t>
      </w:r>
      <w:hyperlink r:id="rId3" w:history="1">
        <w:r w:rsidR="00BB3CA6">
          <w:rPr>
            <w:rStyle w:val="Hyperlink"/>
          </w:rPr>
          <w:t>enrollment guidance for the upcoming 2025-2026 school year</w:t>
        </w:r>
      </w:hyperlink>
      <w:r w:rsidR="0042416E" w:rsidRPr="008160A5">
        <w:t>.</w:t>
      </w:r>
      <w:r w:rsidR="0042416E">
        <w:t xml:space="preserve"> </w:t>
      </w:r>
      <w:r>
        <w:t xml:space="preserve"> </w:t>
      </w:r>
    </w:p>
  </w:footnote>
  <w:footnote w:id="17">
    <w:p w14:paraId="36C9AFC5" w14:textId="5C387312" w:rsidR="00590903" w:rsidRDefault="00590903">
      <w:pPr>
        <w:pStyle w:val="FootnoteText"/>
      </w:pPr>
      <w:r>
        <w:rPr>
          <w:rStyle w:val="FootnoteReference"/>
        </w:rPr>
        <w:footnoteRef/>
      </w:r>
      <w:r>
        <w:t xml:space="preserve"> </w:t>
      </w:r>
      <w:r w:rsidRPr="00590903">
        <w:t>Teachers at AMSA voted in July 2014 to unionize with Teamsters Local 170. The school’s board of trustees and administration engage in negotiations with the union to establish three-year teacher contracts.</w:t>
      </w:r>
    </w:p>
  </w:footnote>
  <w:footnote w:id="18">
    <w:p w14:paraId="15BA1285" w14:textId="46F9F407" w:rsidR="00EA78C7" w:rsidRDefault="00EA78C7">
      <w:pPr>
        <w:pStyle w:val="FootnoteText"/>
      </w:pPr>
      <w:r>
        <w:rPr>
          <w:rStyle w:val="FootnoteReference"/>
        </w:rPr>
        <w:footnoteRef/>
      </w:r>
      <w:r>
        <w:t xml:space="preserve"> </w:t>
      </w:r>
      <w:r>
        <w:rPr>
          <w:rFonts w:cs="Calibri"/>
        </w:rPr>
        <w:t>The school currently serves 383 students in grades 9 through 12 across two campuses. Horace Mann  charter schools enter into agreements with their local school committee for services, including facilities. EMK’s current facility arrangement with BPS cannot accommodate the school’s maximum enrollment of 448 students.</w:t>
      </w:r>
    </w:p>
  </w:footnote>
  <w:footnote w:id="19">
    <w:p w14:paraId="1B082DDC" w14:textId="4AD615C0" w:rsidR="0062512A" w:rsidRDefault="0062512A">
      <w:pPr>
        <w:pStyle w:val="FootnoteText"/>
      </w:pPr>
      <w:r>
        <w:rPr>
          <w:rStyle w:val="FootnoteReference"/>
        </w:rPr>
        <w:footnoteRef/>
      </w:r>
      <w:r>
        <w:t xml:space="preserve"> </w:t>
      </w:r>
      <w:r w:rsidRPr="0062512A">
        <w:t>EMK may return in the future with a request to add grades 7 and 8 to its grade span based on BPS’ ongoing grade reconfiguration efforts.</w:t>
      </w:r>
      <w:r w:rsidR="006D6B9A">
        <w:t xml:space="preserve"> </w:t>
      </w:r>
    </w:p>
  </w:footnote>
  <w:footnote w:id="20">
    <w:p w14:paraId="3011BB73" w14:textId="2D68199D" w:rsidR="009272F6" w:rsidRDefault="009272F6">
      <w:pPr>
        <w:pStyle w:val="FootnoteText"/>
      </w:pPr>
      <w:r>
        <w:rPr>
          <w:rStyle w:val="FootnoteReference"/>
        </w:rPr>
        <w:footnoteRef/>
      </w:r>
      <w:r>
        <w:t xml:space="preserve"> </w:t>
      </w:r>
      <w:r w:rsidRPr="009272F6">
        <w:t xml:space="preserve">As of October 1, 2024, the school was overenrolled by </w:t>
      </w:r>
      <w:r w:rsidR="00DD275F">
        <w:t>51</w:t>
      </w:r>
      <w:r w:rsidRPr="009272F6">
        <w:t xml:space="preserve"> students and, as a result, is out of compliance with the terms of its charter. Charter schools do not receive tuition for students enrolled above the school’s maximum enrollment</w:t>
      </w:r>
      <w:r w:rsidR="00E60597">
        <w:t>.</w:t>
      </w:r>
    </w:p>
  </w:footnote>
  <w:footnote w:id="21">
    <w:p w14:paraId="010245FF" w14:textId="342AFBD0" w:rsidR="006819A0" w:rsidRDefault="006819A0" w:rsidP="006819A0">
      <w:pPr>
        <w:pStyle w:val="FootnoteText"/>
      </w:pPr>
      <w:r>
        <w:rPr>
          <w:rStyle w:val="FootnoteReference"/>
        </w:rPr>
        <w:footnoteRef/>
      </w:r>
      <w:r>
        <w:t xml:space="preserve"> </w:t>
      </w:r>
      <w:r w:rsidR="00D1300D">
        <w:t xml:space="preserve">The Board has </w:t>
      </w:r>
      <w:r w:rsidR="00FD0D89">
        <w:t xml:space="preserve">granted </w:t>
      </w:r>
      <w:r>
        <w:t>KIPP Lynn several expansions since its original charter award in 2004.</w:t>
      </w:r>
      <w:r w:rsidRPr="004F0DD0">
        <w:t xml:space="preserve"> In December 2009, the Board approved an amendment to add grades 9 through 12 and </w:t>
      </w:r>
      <w:r w:rsidR="00FD0D89">
        <w:t xml:space="preserve">to </w:t>
      </w:r>
      <w:r w:rsidRPr="004F0DD0">
        <w:t>increase the school’s maximum enrollment from 320 to 750 students. In February 2011, the Board granted an additional charter</w:t>
      </w:r>
      <w:r>
        <w:t xml:space="preserve"> </w:t>
      </w:r>
      <w:r w:rsidRPr="004F0DD0">
        <w:t>to the board of trustees for a</w:t>
      </w:r>
      <w:r>
        <w:t xml:space="preserve"> K-8</w:t>
      </w:r>
      <w:r w:rsidRPr="004F0DD0">
        <w:t xml:space="preserve"> school located in Boston. KIPP Academy Boston Charter School (KIPP Boston) and KIPP Lynn form a charter school network managed by a regional office who are public employees of KIPP Lynn or KIPP Boston. In February 2015, the Board approved an amendment for KIPP Lynn to add grades K through 4 and to increase the school’s maximum enrollment from 850 to 1,586 students. </w:t>
      </w:r>
      <w:r>
        <w:t xml:space="preserve"> </w:t>
      </w:r>
    </w:p>
  </w:footnote>
  <w:footnote w:id="22">
    <w:p w14:paraId="480359F8" w14:textId="16FAA298" w:rsidR="00EF3008" w:rsidRDefault="00EF3008">
      <w:pPr>
        <w:pStyle w:val="FootnoteText"/>
      </w:pPr>
      <w:r>
        <w:rPr>
          <w:rStyle w:val="FootnoteReference"/>
        </w:rPr>
        <w:footnoteRef/>
      </w:r>
      <w:r>
        <w:t xml:space="preserve"> </w:t>
      </w:r>
      <w:r w:rsidRPr="00EF3008">
        <w:t xml:space="preserve">In February 2013, the Board approved an amendment to add grades 9 through 12 to </w:t>
      </w:r>
      <w:r w:rsidR="00CB5D2A">
        <w:t>PVCICS’s</w:t>
      </w:r>
      <w:r w:rsidRPr="00EF3008">
        <w:t xml:space="preserve"> grade span and to increase the school’s maximum enrollment from 300 to 584 students, instead of the requested 684 students. </w:t>
      </w:r>
      <w:r w:rsidR="0011113F">
        <w:t>T</w:t>
      </w:r>
      <w:r w:rsidRPr="00EF3008">
        <w:t xml:space="preserve">he </w:t>
      </w:r>
      <w:r w:rsidR="0011113F">
        <w:t>C</w:t>
      </w:r>
      <w:r w:rsidRPr="00EF3008">
        <w:t>ommissioner’s recommendation indicated that the school could return at its 2017 renewal with a request for additional enrollment after demonstrating demand for high school grades.</w:t>
      </w:r>
      <w:r w:rsidR="00E11D35">
        <w:t xml:space="preserve"> The school submitted subsequent amendment requests for substantially larger </w:t>
      </w:r>
      <w:r w:rsidR="006F35F7">
        <w:t>increases</w:t>
      </w:r>
      <w:r w:rsidR="00E11D35">
        <w:t xml:space="preserve"> that </w:t>
      </w:r>
      <w:r w:rsidR="00973099">
        <w:t>were not granted.</w:t>
      </w:r>
      <w:r w:rsidR="00C246FD">
        <w:t xml:space="preserve"> See </w:t>
      </w:r>
      <w:hyperlink r:id="rId4" w:history="1">
        <w:r w:rsidR="00C246FD">
          <w:rPr>
            <w:rStyle w:val="Hyperlink"/>
          </w:rPr>
          <w:t>6/25/2019 BESE Regular Meeting: Request by Pioneer Valley Chinese Immersion Charter School for Review of Commissioner's Decision</w:t>
        </w:r>
      </w:hyperlink>
      <w:r w:rsidR="00C246FD">
        <w:t xml:space="preserve"> for a history of </w:t>
      </w:r>
      <w:r w:rsidR="00CD7915">
        <w:t xml:space="preserve">the school’s </w:t>
      </w:r>
      <w:r w:rsidR="000B5E42">
        <w:t xml:space="preserve">requests </w:t>
      </w:r>
      <w:r w:rsidR="00DA3614">
        <w:t>since</w:t>
      </w:r>
      <w:r w:rsidR="000B5E42">
        <w:t xml:space="preserve"> the Board’s approval in 2013. </w:t>
      </w:r>
    </w:p>
  </w:footnote>
  <w:footnote w:id="23">
    <w:p w14:paraId="1D16D63B" w14:textId="2E66F2EB" w:rsidR="007867EF" w:rsidRDefault="007867EF" w:rsidP="007867EF">
      <w:pPr>
        <w:pStyle w:val="FootnoteText"/>
      </w:pPr>
      <w:r>
        <w:rPr>
          <w:rStyle w:val="FootnoteReference"/>
        </w:rPr>
        <w:footnoteRef/>
      </w:r>
      <w:r>
        <w:t xml:space="preserve"> </w:t>
      </w:r>
      <w:r w:rsidRPr="008C33CF">
        <w:t>Boards of trustees for charter schools are required to participate in training on the state’s Open Meeting Law at the beginning of every term of board service. The length of trustees terms</w:t>
      </w:r>
      <w:r w:rsidR="00F637CE">
        <w:t xml:space="preserve"> is</w:t>
      </w:r>
      <w:r w:rsidRPr="008C33CF">
        <w:t xml:space="preserve"> determined by the bylaws of a charter school board of trustees.</w:t>
      </w:r>
    </w:p>
  </w:footnote>
  <w:footnote w:id="24">
    <w:p w14:paraId="1A91B51C" w14:textId="0A326938" w:rsidR="005D00BF" w:rsidRDefault="005D00BF">
      <w:pPr>
        <w:pStyle w:val="FootnoteText"/>
      </w:pPr>
      <w:r>
        <w:rPr>
          <w:rStyle w:val="FootnoteReference"/>
        </w:rPr>
        <w:footnoteRef/>
      </w:r>
      <w:r>
        <w:t xml:space="preserve"> </w:t>
      </w:r>
      <w:r w:rsidRPr="005D00BF">
        <w:t xml:space="preserve">PVPA is not permitted to unenroll students who </w:t>
      </w:r>
      <w:r w:rsidR="00CC402D">
        <w:t xml:space="preserve">either </w:t>
      </w:r>
      <w:r w:rsidRPr="005D00BF">
        <w:t xml:space="preserve">live </w:t>
      </w:r>
      <w:r w:rsidR="0070582F">
        <w:t xml:space="preserve">in </w:t>
      </w:r>
      <w:r w:rsidR="00CC402D">
        <w:t xml:space="preserve">or move to </w:t>
      </w:r>
      <w:r w:rsidR="00ED7DB9">
        <w:t>a community that is not named in</w:t>
      </w:r>
      <w:r w:rsidRPr="005D00BF">
        <w:t xml:space="preserve"> the proposed region.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10B2160A" w:rsidR="00ED5501" w:rsidRDefault="00ED5501">
    <w:pPr>
      <w:pStyle w:val="Header"/>
    </w:pPr>
    <w:r>
      <w:rPr>
        <w:noProof/>
      </w:rPr>
      <w:drawing>
        <wp:anchor distT="0" distB="0" distL="114300" distR="114300" simplePos="0" relativeHeight="251658240" behindDoc="1" locked="0" layoutInCell="1" allowOverlap="1" wp14:anchorId="29412DF0" wp14:editId="5E328A9F">
          <wp:simplePos x="0" y="0"/>
          <wp:positionH relativeFrom="page">
            <wp:posOffset>-29845</wp:posOffset>
          </wp:positionH>
          <wp:positionV relativeFrom="paragraph">
            <wp:posOffset>-505460</wp:posOffset>
          </wp:positionV>
          <wp:extent cx="7810500" cy="1590675"/>
          <wp:effectExtent l="0" t="0" r="0" b="0"/>
          <wp:wrapNone/>
          <wp:docPr id="323981294"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EC0D6" w14:textId="0D2CF635" w:rsidR="000C4FFB" w:rsidRDefault="000C4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10EDFD57" w:rsidR="004873A1" w:rsidRDefault="00487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DD0D5" w14:textId="1B04408C" w:rsidR="000C4FFB" w:rsidRDefault="000C4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733CB"/>
    <w:multiLevelType w:val="hybridMultilevel"/>
    <w:tmpl w:val="4474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1A29"/>
    <w:multiLevelType w:val="multilevel"/>
    <w:tmpl w:val="754C6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54956"/>
    <w:multiLevelType w:val="hybridMultilevel"/>
    <w:tmpl w:val="3DC6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278DF"/>
    <w:multiLevelType w:val="hybridMultilevel"/>
    <w:tmpl w:val="EADC9FBE"/>
    <w:lvl w:ilvl="0" w:tplc="CB261A30">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F2F94"/>
    <w:multiLevelType w:val="hybridMultilevel"/>
    <w:tmpl w:val="031EFD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983793"/>
    <w:multiLevelType w:val="hybridMultilevel"/>
    <w:tmpl w:val="3228B5EC"/>
    <w:lvl w:ilvl="0" w:tplc="CB725912">
      <w:start w:val="1"/>
      <w:numFmt w:val="bullet"/>
      <w:lvlText w:val=""/>
      <w:lvlJc w:val="left"/>
      <w:pPr>
        <w:ind w:left="720" w:hanging="360"/>
      </w:pPr>
      <w:rPr>
        <w:rFonts w:ascii="Symbol" w:hAnsi="Symbol" w:hint="default"/>
      </w:rPr>
    </w:lvl>
    <w:lvl w:ilvl="1" w:tplc="66AA188A">
      <w:start w:val="1"/>
      <w:numFmt w:val="bullet"/>
      <w:lvlText w:val="o"/>
      <w:lvlJc w:val="left"/>
      <w:pPr>
        <w:ind w:left="1440" w:hanging="360"/>
      </w:pPr>
      <w:rPr>
        <w:rFonts w:ascii="Courier New" w:hAnsi="Courier New" w:hint="default"/>
      </w:rPr>
    </w:lvl>
    <w:lvl w:ilvl="2" w:tplc="DF160052">
      <w:start w:val="1"/>
      <w:numFmt w:val="bullet"/>
      <w:lvlText w:val=""/>
      <w:lvlJc w:val="left"/>
      <w:pPr>
        <w:ind w:left="2160" w:hanging="360"/>
      </w:pPr>
      <w:rPr>
        <w:rFonts w:ascii="Wingdings" w:hAnsi="Wingdings" w:hint="default"/>
      </w:rPr>
    </w:lvl>
    <w:lvl w:ilvl="3" w:tplc="B956A088">
      <w:start w:val="1"/>
      <w:numFmt w:val="bullet"/>
      <w:lvlText w:val=""/>
      <w:lvlJc w:val="left"/>
      <w:pPr>
        <w:ind w:left="2880" w:hanging="360"/>
      </w:pPr>
      <w:rPr>
        <w:rFonts w:ascii="Symbol" w:hAnsi="Symbol" w:hint="default"/>
      </w:rPr>
    </w:lvl>
    <w:lvl w:ilvl="4" w:tplc="2C26F332">
      <w:start w:val="1"/>
      <w:numFmt w:val="bullet"/>
      <w:lvlText w:val="o"/>
      <w:lvlJc w:val="left"/>
      <w:pPr>
        <w:ind w:left="3600" w:hanging="360"/>
      </w:pPr>
      <w:rPr>
        <w:rFonts w:ascii="Courier New" w:hAnsi="Courier New" w:hint="default"/>
      </w:rPr>
    </w:lvl>
    <w:lvl w:ilvl="5" w:tplc="8DB2626A">
      <w:start w:val="1"/>
      <w:numFmt w:val="bullet"/>
      <w:lvlText w:val=""/>
      <w:lvlJc w:val="left"/>
      <w:pPr>
        <w:ind w:left="4320" w:hanging="360"/>
      </w:pPr>
      <w:rPr>
        <w:rFonts w:ascii="Wingdings" w:hAnsi="Wingdings" w:hint="default"/>
      </w:rPr>
    </w:lvl>
    <w:lvl w:ilvl="6" w:tplc="0E2E4DC0">
      <w:start w:val="1"/>
      <w:numFmt w:val="bullet"/>
      <w:lvlText w:val=""/>
      <w:lvlJc w:val="left"/>
      <w:pPr>
        <w:ind w:left="5040" w:hanging="360"/>
      </w:pPr>
      <w:rPr>
        <w:rFonts w:ascii="Symbol" w:hAnsi="Symbol" w:hint="default"/>
      </w:rPr>
    </w:lvl>
    <w:lvl w:ilvl="7" w:tplc="5094D0E6">
      <w:start w:val="1"/>
      <w:numFmt w:val="bullet"/>
      <w:lvlText w:val="o"/>
      <w:lvlJc w:val="left"/>
      <w:pPr>
        <w:ind w:left="5760" w:hanging="360"/>
      </w:pPr>
      <w:rPr>
        <w:rFonts w:ascii="Courier New" w:hAnsi="Courier New" w:hint="default"/>
      </w:rPr>
    </w:lvl>
    <w:lvl w:ilvl="8" w:tplc="8924C108">
      <w:start w:val="1"/>
      <w:numFmt w:val="bullet"/>
      <w:lvlText w:val=""/>
      <w:lvlJc w:val="left"/>
      <w:pPr>
        <w:ind w:left="6480" w:hanging="360"/>
      </w:pPr>
      <w:rPr>
        <w:rFonts w:ascii="Wingdings" w:hAnsi="Wingdings" w:hint="default"/>
      </w:rPr>
    </w:lvl>
  </w:abstractNum>
  <w:abstractNum w:abstractNumId="6" w15:restartNumberingAfterBreak="0">
    <w:nsid w:val="21724BD6"/>
    <w:multiLevelType w:val="hybridMultilevel"/>
    <w:tmpl w:val="2A845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B5966"/>
    <w:multiLevelType w:val="hybridMultilevel"/>
    <w:tmpl w:val="EF80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17D6C"/>
    <w:multiLevelType w:val="hybridMultilevel"/>
    <w:tmpl w:val="BBBA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759D4"/>
    <w:multiLevelType w:val="hybridMultilevel"/>
    <w:tmpl w:val="B634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06258"/>
    <w:multiLevelType w:val="hybridMultilevel"/>
    <w:tmpl w:val="4134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E56D7"/>
    <w:multiLevelType w:val="hybridMultilevel"/>
    <w:tmpl w:val="57A82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BB87A51"/>
    <w:multiLevelType w:val="hybridMultilevel"/>
    <w:tmpl w:val="9402AE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9F4835"/>
    <w:multiLevelType w:val="hybridMultilevel"/>
    <w:tmpl w:val="D36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44797E"/>
    <w:multiLevelType w:val="hybridMultilevel"/>
    <w:tmpl w:val="790C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26B8F"/>
    <w:multiLevelType w:val="hybridMultilevel"/>
    <w:tmpl w:val="22A6B9F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6" w15:restartNumberingAfterBreak="0">
    <w:nsid w:val="710C3992"/>
    <w:multiLevelType w:val="hybridMultilevel"/>
    <w:tmpl w:val="9DBEEA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695359"/>
    <w:multiLevelType w:val="hybridMultilevel"/>
    <w:tmpl w:val="ACA6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708EC"/>
    <w:multiLevelType w:val="hybridMultilevel"/>
    <w:tmpl w:val="5EA65E9E"/>
    <w:lvl w:ilvl="0" w:tplc="6A3C1A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5E0147"/>
    <w:multiLevelType w:val="hybridMultilevel"/>
    <w:tmpl w:val="43C6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7E223B"/>
    <w:multiLevelType w:val="hybridMultilevel"/>
    <w:tmpl w:val="C596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313577">
    <w:abstractNumId w:val="18"/>
  </w:num>
  <w:num w:numId="2" w16cid:durableId="2142183199">
    <w:abstractNumId w:val="8"/>
  </w:num>
  <w:num w:numId="3" w16cid:durableId="1229223639">
    <w:abstractNumId w:val="16"/>
  </w:num>
  <w:num w:numId="4" w16cid:durableId="978077012">
    <w:abstractNumId w:val="15"/>
  </w:num>
  <w:num w:numId="5" w16cid:durableId="1946764481">
    <w:abstractNumId w:val="17"/>
  </w:num>
  <w:num w:numId="6" w16cid:durableId="608004321">
    <w:abstractNumId w:val="13"/>
  </w:num>
  <w:num w:numId="7" w16cid:durableId="567881908">
    <w:abstractNumId w:val="9"/>
  </w:num>
  <w:num w:numId="8" w16cid:durableId="2035572455">
    <w:abstractNumId w:val="0"/>
  </w:num>
  <w:num w:numId="9" w16cid:durableId="500389243">
    <w:abstractNumId w:val="6"/>
  </w:num>
  <w:num w:numId="10" w16cid:durableId="189492349">
    <w:abstractNumId w:val="10"/>
  </w:num>
  <w:num w:numId="11" w16cid:durableId="506527918">
    <w:abstractNumId w:val="7"/>
  </w:num>
  <w:num w:numId="12" w16cid:durableId="2079278297">
    <w:abstractNumId w:val="20"/>
  </w:num>
  <w:num w:numId="13" w16cid:durableId="1107769194">
    <w:abstractNumId w:val="2"/>
  </w:num>
  <w:num w:numId="14" w16cid:durableId="1938633016">
    <w:abstractNumId w:val="14"/>
  </w:num>
  <w:num w:numId="15" w16cid:durableId="1146047775">
    <w:abstractNumId w:val="19"/>
  </w:num>
  <w:num w:numId="16" w16cid:durableId="708728284">
    <w:abstractNumId w:val="1"/>
  </w:num>
  <w:num w:numId="17" w16cid:durableId="1501314293">
    <w:abstractNumId w:val="11"/>
  </w:num>
  <w:num w:numId="18" w16cid:durableId="722407914">
    <w:abstractNumId w:val="3"/>
  </w:num>
  <w:num w:numId="19" w16cid:durableId="487671016">
    <w:abstractNumId w:val="12"/>
  </w:num>
  <w:num w:numId="20" w16cid:durableId="783495978">
    <w:abstractNumId w:val="4"/>
  </w:num>
  <w:num w:numId="21" w16cid:durableId="11314422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09F0"/>
    <w:rsid w:val="00001974"/>
    <w:rsid w:val="00002558"/>
    <w:rsid w:val="000043EF"/>
    <w:rsid w:val="00004C84"/>
    <w:rsid w:val="00006107"/>
    <w:rsid w:val="0000652B"/>
    <w:rsid w:val="0000689D"/>
    <w:rsid w:val="000069DC"/>
    <w:rsid w:val="00007584"/>
    <w:rsid w:val="00010274"/>
    <w:rsid w:val="00010A0E"/>
    <w:rsid w:val="00010A1F"/>
    <w:rsid w:val="00013B2B"/>
    <w:rsid w:val="00014266"/>
    <w:rsid w:val="000143BE"/>
    <w:rsid w:val="000155CB"/>
    <w:rsid w:val="000157CE"/>
    <w:rsid w:val="0001729A"/>
    <w:rsid w:val="00017FEC"/>
    <w:rsid w:val="00021BB6"/>
    <w:rsid w:val="0002238B"/>
    <w:rsid w:val="00022BCC"/>
    <w:rsid w:val="000234B7"/>
    <w:rsid w:val="0002383E"/>
    <w:rsid w:val="00023A4A"/>
    <w:rsid w:val="000243CE"/>
    <w:rsid w:val="000247CD"/>
    <w:rsid w:val="00024A9C"/>
    <w:rsid w:val="000252B7"/>
    <w:rsid w:val="000253AB"/>
    <w:rsid w:val="00025645"/>
    <w:rsid w:val="0002564D"/>
    <w:rsid w:val="00027483"/>
    <w:rsid w:val="000308F7"/>
    <w:rsid w:val="000313CE"/>
    <w:rsid w:val="00031937"/>
    <w:rsid w:val="00032499"/>
    <w:rsid w:val="00032C6B"/>
    <w:rsid w:val="00033161"/>
    <w:rsid w:val="000335E3"/>
    <w:rsid w:val="0003520D"/>
    <w:rsid w:val="00035426"/>
    <w:rsid w:val="00035BA5"/>
    <w:rsid w:val="00035D11"/>
    <w:rsid w:val="000360B2"/>
    <w:rsid w:val="00036758"/>
    <w:rsid w:val="00036D19"/>
    <w:rsid w:val="00037092"/>
    <w:rsid w:val="000400A5"/>
    <w:rsid w:val="00040622"/>
    <w:rsid w:val="00040860"/>
    <w:rsid w:val="00040E52"/>
    <w:rsid w:val="0004139A"/>
    <w:rsid w:val="000427F0"/>
    <w:rsid w:val="0004351F"/>
    <w:rsid w:val="000451B2"/>
    <w:rsid w:val="00045561"/>
    <w:rsid w:val="00045C1D"/>
    <w:rsid w:val="00046962"/>
    <w:rsid w:val="00047A6C"/>
    <w:rsid w:val="00047CBD"/>
    <w:rsid w:val="00050F00"/>
    <w:rsid w:val="00050FB4"/>
    <w:rsid w:val="00051F4D"/>
    <w:rsid w:val="000522C8"/>
    <w:rsid w:val="000532A9"/>
    <w:rsid w:val="00054207"/>
    <w:rsid w:val="000543E5"/>
    <w:rsid w:val="000549A7"/>
    <w:rsid w:val="00054EFD"/>
    <w:rsid w:val="0005533A"/>
    <w:rsid w:val="00056984"/>
    <w:rsid w:val="00056B5E"/>
    <w:rsid w:val="0005757A"/>
    <w:rsid w:val="0005781E"/>
    <w:rsid w:val="00060E51"/>
    <w:rsid w:val="00061D7E"/>
    <w:rsid w:val="0006216E"/>
    <w:rsid w:val="000624B7"/>
    <w:rsid w:val="00062521"/>
    <w:rsid w:val="0006283E"/>
    <w:rsid w:val="000628CE"/>
    <w:rsid w:val="00063635"/>
    <w:rsid w:val="00063CA8"/>
    <w:rsid w:val="000643EF"/>
    <w:rsid w:val="00064704"/>
    <w:rsid w:val="00064760"/>
    <w:rsid w:val="00064BBB"/>
    <w:rsid w:val="00065260"/>
    <w:rsid w:val="00065DF1"/>
    <w:rsid w:val="00066A0A"/>
    <w:rsid w:val="00066DF0"/>
    <w:rsid w:val="00066E01"/>
    <w:rsid w:val="00067917"/>
    <w:rsid w:val="00067AC8"/>
    <w:rsid w:val="00070517"/>
    <w:rsid w:val="000711BF"/>
    <w:rsid w:val="0007349E"/>
    <w:rsid w:val="000737D3"/>
    <w:rsid w:val="00073D05"/>
    <w:rsid w:val="00073D9C"/>
    <w:rsid w:val="00074D0C"/>
    <w:rsid w:val="000757AB"/>
    <w:rsid w:val="000758CC"/>
    <w:rsid w:val="000759AD"/>
    <w:rsid w:val="00075DB3"/>
    <w:rsid w:val="000766CD"/>
    <w:rsid w:val="00076A49"/>
    <w:rsid w:val="00076D76"/>
    <w:rsid w:val="000774E4"/>
    <w:rsid w:val="0007769D"/>
    <w:rsid w:val="00077789"/>
    <w:rsid w:val="00077996"/>
    <w:rsid w:val="00077EBE"/>
    <w:rsid w:val="00080E55"/>
    <w:rsid w:val="0008198A"/>
    <w:rsid w:val="00081C2D"/>
    <w:rsid w:val="00084168"/>
    <w:rsid w:val="00085640"/>
    <w:rsid w:val="000856B6"/>
    <w:rsid w:val="00085C46"/>
    <w:rsid w:val="00087342"/>
    <w:rsid w:val="000875CA"/>
    <w:rsid w:val="0008761A"/>
    <w:rsid w:val="00090DBC"/>
    <w:rsid w:val="000913B9"/>
    <w:rsid w:val="00092676"/>
    <w:rsid w:val="000930F1"/>
    <w:rsid w:val="00093324"/>
    <w:rsid w:val="0009393A"/>
    <w:rsid w:val="00093992"/>
    <w:rsid w:val="000950D0"/>
    <w:rsid w:val="000966E6"/>
    <w:rsid w:val="000978A8"/>
    <w:rsid w:val="00097EB3"/>
    <w:rsid w:val="000A00F1"/>
    <w:rsid w:val="000A07CC"/>
    <w:rsid w:val="000A1922"/>
    <w:rsid w:val="000A1B6B"/>
    <w:rsid w:val="000A1BBF"/>
    <w:rsid w:val="000A1BF4"/>
    <w:rsid w:val="000A2D7C"/>
    <w:rsid w:val="000A35A1"/>
    <w:rsid w:val="000A38C2"/>
    <w:rsid w:val="000A4659"/>
    <w:rsid w:val="000A5185"/>
    <w:rsid w:val="000A5C7B"/>
    <w:rsid w:val="000A649D"/>
    <w:rsid w:val="000A70A6"/>
    <w:rsid w:val="000A7D6B"/>
    <w:rsid w:val="000B1951"/>
    <w:rsid w:val="000B201F"/>
    <w:rsid w:val="000B2AB8"/>
    <w:rsid w:val="000B3223"/>
    <w:rsid w:val="000B4868"/>
    <w:rsid w:val="000B5CEC"/>
    <w:rsid w:val="000B5E42"/>
    <w:rsid w:val="000B794C"/>
    <w:rsid w:val="000C1F65"/>
    <w:rsid w:val="000C2239"/>
    <w:rsid w:val="000C3382"/>
    <w:rsid w:val="000C3BD4"/>
    <w:rsid w:val="000C48C8"/>
    <w:rsid w:val="000C4D2C"/>
    <w:rsid w:val="000C4FFB"/>
    <w:rsid w:val="000C51DB"/>
    <w:rsid w:val="000C59D5"/>
    <w:rsid w:val="000C5EC4"/>
    <w:rsid w:val="000C6005"/>
    <w:rsid w:val="000C64A4"/>
    <w:rsid w:val="000C6616"/>
    <w:rsid w:val="000D1025"/>
    <w:rsid w:val="000D14C7"/>
    <w:rsid w:val="000D4F1B"/>
    <w:rsid w:val="000D552E"/>
    <w:rsid w:val="000D575B"/>
    <w:rsid w:val="000D5783"/>
    <w:rsid w:val="000D5B43"/>
    <w:rsid w:val="000D6037"/>
    <w:rsid w:val="000D60E9"/>
    <w:rsid w:val="000D65F9"/>
    <w:rsid w:val="000D7661"/>
    <w:rsid w:val="000D777C"/>
    <w:rsid w:val="000E08DA"/>
    <w:rsid w:val="000E0DD1"/>
    <w:rsid w:val="000E0F44"/>
    <w:rsid w:val="000E1AF5"/>
    <w:rsid w:val="000E20E5"/>
    <w:rsid w:val="000E219D"/>
    <w:rsid w:val="000E33E4"/>
    <w:rsid w:val="000E37FB"/>
    <w:rsid w:val="000E3F5F"/>
    <w:rsid w:val="000E4400"/>
    <w:rsid w:val="000E4C88"/>
    <w:rsid w:val="000E531F"/>
    <w:rsid w:val="000E5F6B"/>
    <w:rsid w:val="000E64B3"/>
    <w:rsid w:val="000E6C3F"/>
    <w:rsid w:val="000E7357"/>
    <w:rsid w:val="000F00FA"/>
    <w:rsid w:val="000F15C7"/>
    <w:rsid w:val="000F3278"/>
    <w:rsid w:val="000F4943"/>
    <w:rsid w:val="000F5F77"/>
    <w:rsid w:val="000F6294"/>
    <w:rsid w:val="000F6ED1"/>
    <w:rsid w:val="000F7873"/>
    <w:rsid w:val="000F7C22"/>
    <w:rsid w:val="000F7CA1"/>
    <w:rsid w:val="001000F1"/>
    <w:rsid w:val="00101ED4"/>
    <w:rsid w:val="00101F06"/>
    <w:rsid w:val="00102000"/>
    <w:rsid w:val="00104501"/>
    <w:rsid w:val="0010493F"/>
    <w:rsid w:val="00104E2D"/>
    <w:rsid w:val="00105731"/>
    <w:rsid w:val="00106705"/>
    <w:rsid w:val="001073D3"/>
    <w:rsid w:val="0011113F"/>
    <w:rsid w:val="00111382"/>
    <w:rsid w:val="00111B4C"/>
    <w:rsid w:val="00113619"/>
    <w:rsid w:val="00113CF4"/>
    <w:rsid w:val="0011448F"/>
    <w:rsid w:val="0011469C"/>
    <w:rsid w:val="00114748"/>
    <w:rsid w:val="0011493A"/>
    <w:rsid w:val="00114F53"/>
    <w:rsid w:val="001167F5"/>
    <w:rsid w:val="00116F48"/>
    <w:rsid w:val="001171F8"/>
    <w:rsid w:val="00117A0F"/>
    <w:rsid w:val="00120222"/>
    <w:rsid w:val="0012147C"/>
    <w:rsid w:val="00121DB5"/>
    <w:rsid w:val="0012271C"/>
    <w:rsid w:val="00125288"/>
    <w:rsid w:val="00125717"/>
    <w:rsid w:val="001261E5"/>
    <w:rsid w:val="00126804"/>
    <w:rsid w:val="001272AF"/>
    <w:rsid w:val="0012776E"/>
    <w:rsid w:val="00130086"/>
    <w:rsid w:val="0013115A"/>
    <w:rsid w:val="001313F2"/>
    <w:rsid w:val="00131EEE"/>
    <w:rsid w:val="00132CC0"/>
    <w:rsid w:val="0013401D"/>
    <w:rsid w:val="0013451D"/>
    <w:rsid w:val="00135AAF"/>
    <w:rsid w:val="00135C31"/>
    <w:rsid w:val="00136191"/>
    <w:rsid w:val="0013640D"/>
    <w:rsid w:val="00136815"/>
    <w:rsid w:val="001372D4"/>
    <w:rsid w:val="00140157"/>
    <w:rsid w:val="001402C9"/>
    <w:rsid w:val="00140763"/>
    <w:rsid w:val="00141ABD"/>
    <w:rsid w:val="00143365"/>
    <w:rsid w:val="001444DB"/>
    <w:rsid w:val="001459F3"/>
    <w:rsid w:val="00146706"/>
    <w:rsid w:val="00146E09"/>
    <w:rsid w:val="00152734"/>
    <w:rsid w:val="00154827"/>
    <w:rsid w:val="00156383"/>
    <w:rsid w:val="0015708C"/>
    <w:rsid w:val="00157A6D"/>
    <w:rsid w:val="00157EB5"/>
    <w:rsid w:val="00160A81"/>
    <w:rsid w:val="00161360"/>
    <w:rsid w:val="001613FB"/>
    <w:rsid w:val="00162E80"/>
    <w:rsid w:val="00163E4F"/>
    <w:rsid w:val="001651B6"/>
    <w:rsid w:val="00165687"/>
    <w:rsid w:val="00165B17"/>
    <w:rsid w:val="001669A5"/>
    <w:rsid w:val="001672A0"/>
    <w:rsid w:val="001702AE"/>
    <w:rsid w:val="00170914"/>
    <w:rsid w:val="00171023"/>
    <w:rsid w:val="00171673"/>
    <w:rsid w:val="00171FAC"/>
    <w:rsid w:val="001742AB"/>
    <w:rsid w:val="0017475F"/>
    <w:rsid w:val="0017553D"/>
    <w:rsid w:val="0017666C"/>
    <w:rsid w:val="00177923"/>
    <w:rsid w:val="00177F5B"/>
    <w:rsid w:val="0018091F"/>
    <w:rsid w:val="001819A6"/>
    <w:rsid w:val="00182CD4"/>
    <w:rsid w:val="00182D73"/>
    <w:rsid w:val="00183A51"/>
    <w:rsid w:val="00184750"/>
    <w:rsid w:val="00185E96"/>
    <w:rsid w:val="001862F6"/>
    <w:rsid w:val="0019061B"/>
    <w:rsid w:val="001914E6"/>
    <w:rsid w:val="00191B2A"/>
    <w:rsid w:val="00191CD3"/>
    <w:rsid w:val="00193B56"/>
    <w:rsid w:val="001944BE"/>
    <w:rsid w:val="001946C7"/>
    <w:rsid w:val="00195421"/>
    <w:rsid w:val="00195CF2"/>
    <w:rsid w:val="00196C81"/>
    <w:rsid w:val="001A021E"/>
    <w:rsid w:val="001A085E"/>
    <w:rsid w:val="001A1606"/>
    <w:rsid w:val="001A2C0F"/>
    <w:rsid w:val="001A3289"/>
    <w:rsid w:val="001A38D0"/>
    <w:rsid w:val="001A4617"/>
    <w:rsid w:val="001A4C3C"/>
    <w:rsid w:val="001A51F0"/>
    <w:rsid w:val="001A5293"/>
    <w:rsid w:val="001A5E62"/>
    <w:rsid w:val="001A6556"/>
    <w:rsid w:val="001A6F97"/>
    <w:rsid w:val="001A7402"/>
    <w:rsid w:val="001B13E3"/>
    <w:rsid w:val="001B33DA"/>
    <w:rsid w:val="001B3AF4"/>
    <w:rsid w:val="001B4627"/>
    <w:rsid w:val="001B4915"/>
    <w:rsid w:val="001B4AA1"/>
    <w:rsid w:val="001B4F3D"/>
    <w:rsid w:val="001B57B0"/>
    <w:rsid w:val="001B6205"/>
    <w:rsid w:val="001B697A"/>
    <w:rsid w:val="001B74A3"/>
    <w:rsid w:val="001B7B6C"/>
    <w:rsid w:val="001C028E"/>
    <w:rsid w:val="001C0960"/>
    <w:rsid w:val="001C101E"/>
    <w:rsid w:val="001C1A27"/>
    <w:rsid w:val="001C280D"/>
    <w:rsid w:val="001C341B"/>
    <w:rsid w:val="001C389E"/>
    <w:rsid w:val="001C41AA"/>
    <w:rsid w:val="001C4415"/>
    <w:rsid w:val="001C4938"/>
    <w:rsid w:val="001C4BC6"/>
    <w:rsid w:val="001C4C6D"/>
    <w:rsid w:val="001C5ED2"/>
    <w:rsid w:val="001C6D00"/>
    <w:rsid w:val="001D0D77"/>
    <w:rsid w:val="001D100A"/>
    <w:rsid w:val="001D1229"/>
    <w:rsid w:val="001D28ED"/>
    <w:rsid w:val="001D2DE3"/>
    <w:rsid w:val="001D3123"/>
    <w:rsid w:val="001D497F"/>
    <w:rsid w:val="001D4DAA"/>
    <w:rsid w:val="001D5F58"/>
    <w:rsid w:val="001D6FF5"/>
    <w:rsid w:val="001D7BCB"/>
    <w:rsid w:val="001E1244"/>
    <w:rsid w:val="001E163B"/>
    <w:rsid w:val="001E2F64"/>
    <w:rsid w:val="001E34A7"/>
    <w:rsid w:val="001E4A3B"/>
    <w:rsid w:val="001E4BF4"/>
    <w:rsid w:val="001E57D2"/>
    <w:rsid w:val="001E5AC1"/>
    <w:rsid w:val="001E6C96"/>
    <w:rsid w:val="001E6F72"/>
    <w:rsid w:val="001E72CC"/>
    <w:rsid w:val="001F003F"/>
    <w:rsid w:val="001F021B"/>
    <w:rsid w:val="001F0357"/>
    <w:rsid w:val="001F0C1B"/>
    <w:rsid w:val="001F0C1C"/>
    <w:rsid w:val="001F27C6"/>
    <w:rsid w:val="001F3161"/>
    <w:rsid w:val="001F34FC"/>
    <w:rsid w:val="001F36D7"/>
    <w:rsid w:val="001F39EF"/>
    <w:rsid w:val="001F5551"/>
    <w:rsid w:val="001F59DF"/>
    <w:rsid w:val="001F7288"/>
    <w:rsid w:val="001F747B"/>
    <w:rsid w:val="001F796A"/>
    <w:rsid w:val="001F7C89"/>
    <w:rsid w:val="0020000C"/>
    <w:rsid w:val="00203477"/>
    <w:rsid w:val="002037D1"/>
    <w:rsid w:val="00204089"/>
    <w:rsid w:val="00204367"/>
    <w:rsid w:val="002047DF"/>
    <w:rsid w:val="00204F38"/>
    <w:rsid w:val="00205371"/>
    <w:rsid w:val="002055D3"/>
    <w:rsid w:val="00205D6C"/>
    <w:rsid w:val="002078FB"/>
    <w:rsid w:val="00210003"/>
    <w:rsid w:val="00210B66"/>
    <w:rsid w:val="002123DE"/>
    <w:rsid w:val="0021494B"/>
    <w:rsid w:val="00214E74"/>
    <w:rsid w:val="002174FE"/>
    <w:rsid w:val="00217652"/>
    <w:rsid w:val="00217C69"/>
    <w:rsid w:val="00217D74"/>
    <w:rsid w:val="00217E48"/>
    <w:rsid w:val="00221AA6"/>
    <w:rsid w:val="00221FD6"/>
    <w:rsid w:val="002236DB"/>
    <w:rsid w:val="00224109"/>
    <w:rsid w:val="00224B77"/>
    <w:rsid w:val="00225019"/>
    <w:rsid w:val="002254D7"/>
    <w:rsid w:val="00226CE8"/>
    <w:rsid w:val="00227F0C"/>
    <w:rsid w:val="00231999"/>
    <w:rsid w:val="002322C0"/>
    <w:rsid w:val="00233EC1"/>
    <w:rsid w:val="002346F7"/>
    <w:rsid w:val="00234BF9"/>
    <w:rsid w:val="00234D37"/>
    <w:rsid w:val="00234E68"/>
    <w:rsid w:val="002367B7"/>
    <w:rsid w:val="002368FC"/>
    <w:rsid w:val="00236F79"/>
    <w:rsid w:val="00237077"/>
    <w:rsid w:val="00237CCD"/>
    <w:rsid w:val="002407E6"/>
    <w:rsid w:val="002412A5"/>
    <w:rsid w:val="002413C6"/>
    <w:rsid w:val="00241424"/>
    <w:rsid w:val="00241F6E"/>
    <w:rsid w:val="0024260F"/>
    <w:rsid w:val="00242C54"/>
    <w:rsid w:val="00242E51"/>
    <w:rsid w:val="00243281"/>
    <w:rsid w:val="00243441"/>
    <w:rsid w:val="0024411F"/>
    <w:rsid w:val="002442CA"/>
    <w:rsid w:val="002457A7"/>
    <w:rsid w:val="00245C31"/>
    <w:rsid w:val="00246E30"/>
    <w:rsid w:val="002473F6"/>
    <w:rsid w:val="0024760B"/>
    <w:rsid w:val="002507ED"/>
    <w:rsid w:val="00250B76"/>
    <w:rsid w:val="00250C07"/>
    <w:rsid w:val="0025193F"/>
    <w:rsid w:val="00251C24"/>
    <w:rsid w:val="00251CA8"/>
    <w:rsid w:val="00252454"/>
    <w:rsid w:val="00252516"/>
    <w:rsid w:val="0025260A"/>
    <w:rsid w:val="002542B6"/>
    <w:rsid w:val="00254A65"/>
    <w:rsid w:val="002558AC"/>
    <w:rsid w:val="00256AC3"/>
    <w:rsid w:val="00256C7A"/>
    <w:rsid w:val="00257242"/>
    <w:rsid w:val="0025750A"/>
    <w:rsid w:val="002601DD"/>
    <w:rsid w:val="002609D0"/>
    <w:rsid w:val="00260C18"/>
    <w:rsid w:val="002628DD"/>
    <w:rsid w:val="00263059"/>
    <w:rsid w:val="00263E9F"/>
    <w:rsid w:val="00264082"/>
    <w:rsid w:val="00264F06"/>
    <w:rsid w:val="00265027"/>
    <w:rsid w:val="002653EA"/>
    <w:rsid w:val="0026546D"/>
    <w:rsid w:val="002665B2"/>
    <w:rsid w:val="002673C9"/>
    <w:rsid w:val="00271B0D"/>
    <w:rsid w:val="00271B79"/>
    <w:rsid w:val="002722A0"/>
    <w:rsid w:val="002742C9"/>
    <w:rsid w:val="002764E2"/>
    <w:rsid w:val="00276C00"/>
    <w:rsid w:val="00277D51"/>
    <w:rsid w:val="00281926"/>
    <w:rsid w:val="002838CC"/>
    <w:rsid w:val="00284B42"/>
    <w:rsid w:val="00285795"/>
    <w:rsid w:val="00285B3F"/>
    <w:rsid w:val="00285CCB"/>
    <w:rsid w:val="002861E2"/>
    <w:rsid w:val="002865B9"/>
    <w:rsid w:val="00290EA8"/>
    <w:rsid w:val="002914C1"/>
    <w:rsid w:val="002921AA"/>
    <w:rsid w:val="00292B49"/>
    <w:rsid w:val="00293007"/>
    <w:rsid w:val="002944C1"/>
    <w:rsid w:val="00294A2B"/>
    <w:rsid w:val="002951BD"/>
    <w:rsid w:val="002953DD"/>
    <w:rsid w:val="00295DF4"/>
    <w:rsid w:val="0029639B"/>
    <w:rsid w:val="00297337"/>
    <w:rsid w:val="00297C50"/>
    <w:rsid w:val="002A0600"/>
    <w:rsid w:val="002A0797"/>
    <w:rsid w:val="002A09F4"/>
    <w:rsid w:val="002A37F1"/>
    <w:rsid w:val="002A461C"/>
    <w:rsid w:val="002A4744"/>
    <w:rsid w:val="002A5086"/>
    <w:rsid w:val="002A6D58"/>
    <w:rsid w:val="002A7AAF"/>
    <w:rsid w:val="002B005A"/>
    <w:rsid w:val="002B0BAB"/>
    <w:rsid w:val="002B0D12"/>
    <w:rsid w:val="002B0D59"/>
    <w:rsid w:val="002B0FED"/>
    <w:rsid w:val="002B1951"/>
    <w:rsid w:val="002B1E29"/>
    <w:rsid w:val="002B1F33"/>
    <w:rsid w:val="002B451F"/>
    <w:rsid w:val="002B53C9"/>
    <w:rsid w:val="002B627A"/>
    <w:rsid w:val="002B7294"/>
    <w:rsid w:val="002B76E7"/>
    <w:rsid w:val="002C0D70"/>
    <w:rsid w:val="002C1298"/>
    <w:rsid w:val="002C1A68"/>
    <w:rsid w:val="002C1A91"/>
    <w:rsid w:val="002C1FE0"/>
    <w:rsid w:val="002C2247"/>
    <w:rsid w:val="002C2306"/>
    <w:rsid w:val="002C2700"/>
    <w:rsid w:val="002C2B98"/>
    <w:rsid w:val="002C34FB"/>
    <w:rsid w:val="002C3695"/>
    <w:rsid w:val="002C3A10"/>
    <w:rsid w:val="002C4258"/>
    <w:rsid w:val="002C44E3"/>
    <w:rsid w:val="002C4525"/>
    <w:rsid w:val="002C5E47"/>
    <w:rsid w:val="002C64EA"/>
    <w:rsid w:val="002C6F11"/>
    <w:rsid w:val="002C6F6B"/>
    <w:rsid w:val="002D07DA"/>
    <w:rsid w:val="002D0CC3"/>
    <w:rsid w:val="002D203D"/>
    <w:rsid w:val="002D2B3B"/>
    <w:rsid w:val="002D33BE"/>
    <w:rsid w:val="002D54EC"/>
    <w:rsid w:val="002D65AE"/>
    <w:rsid w:val="002D6A92"/>
    <w:rsid w:val="002D7CB8"/>
    <w:rsid w:val="002E2E70"/>
    <w:rsid w:val="002E3038"/>
    <w:rsid w:val="002E3310"/>
    <w:rsid w:val="002E3E16"/>
    <w:rsid w:val="002E4699"/>
    <w:rsid w:val="002E47ED"/>
    <w:rsid w:val="002E49A3"/>
    <w:rsid w:val="002E51E6"/>
    <w:rsid w:val="002E54F8"/>
    <w:rsid w:val="002E5D0A"/>
    <w:rsid w:val="002E5F0C"/>
    <w:rsid w:val="002E6524"/>
    <w:rsid w:val="002E653D"/>
    <w:rsid w:val="002E7C5E"/>
    <w:rsid w:val="002E7E2C"/>
    <w:rsid w:val="002F07A9"/>
    <w:rsid w:val="002F0A91"/>
    <w:rsid w:val="002F15BF"/>
    <w:rsid w:val="002F1961"/>
    <w:rsid w:val="002F3295"/>
    <w:rsid w:val="002F43A8"/>
    <w:rsid w:val="002F5963"/>
    <w:rsid w:val="002F5CED"/>
    <w:rsid w:val="002F5D52"/>
    <w:rsid w:val="002F658B"/>
    <w:rsid w:val="0030142D"/>
    <w:rsid w:val="00301E17"/>
    <w:rsid w:val="00302130"/>
    <w:rsid w:val="00302361"/>
    <w:rsid w:val="00302B48"/>
    <w:rsid w:val="00304CD8"/>
    <w:rsid w:val="003051F4"/>
    <w:rsid w:val="003053C8"/>
    <w:rsid w:val="0030576C"/>
    <w:rsid w:val="003057F5"/>
    <w:rsid w:val="00306342"/>
    <w:rsid w:val="0030681D"/>
    <w:rsid w:val="00306CDA"/>
    <w:rsid w:val="0031006A"/>
    <w:rsid w:val="003105FE"/>
    <w:rsid w:val="00310954"/>
    <w:rsid w:val="00310CF7"/>
    <w:rsid w:val="003110D6"/>
    <w:rsid w:val="00311AA1"/>
    <w:rsid w:val="00312E4E"/>
    <w:rsid w:val="003131E1"/>
    <w:rsid w:val="003135EB"/>
    <w:rsid w:val="00314490"/>
    <w:rsid w:val="00314537"/>
    <w:rsid w:val="00314A2B"/>
    <w:rsid w:val="00315D11"/>
    <w:rsid w:val="00317667"/>
    <w:rsid w:val="0032109C"/>
    <w:rsid w:val="003213ED"/>
    <w:rsid w:val="00321509"/>
    <w:rsid w:val="003217B0"/>
    <w:rsid w:val="00321CED"/>
    <w:rsid w:val="00321DC5"/>
    <w:rsid w:val="00322FBB"/>
    <w:rsid w:val="003244B0"/>
    <w:rsid w:val="00325165"/>
    <w:rsid w:val="00325BA2"/>
    <w:rsid w:val="00326365"/>
    <w:rsid w:val="003265CC"/>
    <w:rsid w:val="00327061"/>
    <w:rsid w:val="0032732B"/>
    <w:rsid w:val="00327ADF"/>
    <w:rsid w:val="00330187"/>
    <w:rsid w:val="00330466"/>
    <w:rsid w:val="00332643"/>
    <w:rsid w:val="00333296"/>
    <w:rsid w:val="003343E7"/>
    <w:rsid w:val="00335497"/>
    <w:rsid w:val="00335B8E"/>
    <w:rsid w:val="003362BF"/>
    <w:rsid w:val="00336F51"/>
    <w:rsid w:val="003375BB"/>
    <w:rsid w:val="00337FE3"/>
    <w:rsid w:val="0034069E"/>
    <w:rsid w:val="00340D2C"/>
    <w:rsid w:val="00340F19"/>
    <w:rsid w:val="0034223D"/>
    <w:rsid w:val="00342C59"/>
    <w:rsid w:val="00343815"/>
    <w:rsid w:val="00343C8D"/>
    <w:rsid w:val="00343CC9"/>
    <w:rsid w:val="00344910"/>
    <w:rsid w:val="00345510"/>
    <w:rsid w:val="003455B0"/>
    <w:rsid w:val="00345A50"/>
    <w:rsid w:val="00346E61"/>
    <w:rsid w:val="00350BCB"/>
    <w:rsid w:val="00351A78"/>
    <w:rsid w:val="0035261B"/>
    <w:rsid w:val="00352877"/>
    <w:rsid w:val="003554E1"/>
    <w:rsid w:val="00355D81"/>
    <w:rsid w:val="00356859"/>
    <w:rsid w:val="00356AC3"/>
    <w:rsid w:val="00357546"/>
    <w:rsid w:val="003606B3"/>
    <w:rsid w:val="0036070E"/>
    <w:rsid w:val="00360768"/>
    <w:rsid w:val="00361F31"/>
    <w:rsid w:val="00363F9F"/>
    <w:rsid w:val="00364117"/>
    <w:rsid w:val="003643F3"/>
    <w:rsid w:val="003652C1"/>
    <w:rsid w:val="00365BC1"/>
    <w:rsid w:val="00367187"/>
    <w:rsid w:val="00367661"/>
    <w:rsid w:val="003679F2"/>
    <w:rsid w:val="00370817"/>
    <w:rsid w:val="00370CE2"/>
    <w:rsid w:val="003710BE"/>
    <w:rsid w:val="00372178"/>
    <w:rsid w:val="0037308E"/>
    <w:rsid w:val="00376D5F"/>
    <w:rsid w:val="00377D0B"/>
    <w:rsid w:val="003807D9"/>
    <w:rsid w:val="0038167A"/>
    <w:rsid w:val="00382076"/>
    <w:rsid w:val="00384557"/>
    <w:rsid w:val="00385801"/>
    <w:rsid w:val="00386B7C"/>
    <w:rsid w:val="00386D1D"/>
    <w:rsid w:val="00386E31"/>
    <w:rsid w:val="003877DB"/>
    <w:rsid w:val="00390DFC"/>
    <w:rsid w:val="00391112"/>
    <w:rsid w:val="0039125C"/>
    <w:rsid w:val="00391861"/>
    <w:rsid w:val="00392F08"/>
    <w:rsid w:val="0039394C"/>
    <w:rsid w:val="00393990"/>
    <w:rsid w:val="00393A18"/>
    <w:rsid w:val="00394907"/>
    <w:rsid w:val="003952A1"/>
    <w:rsid w:val="003963E1"/>
    <w:rsid w:val="00396661"/>
    <w:rsid w:val="003971AD"/>
    <w:rsid w:val="003971B1"/>
    <w:rsid w:val="0039769B"/>
    <w:rsid w:val="00397C0A"/>
    <w:rsid w:val="003A0607"/>
    <w:rsid w:val="003A0C74"/>
    <w:rsid w:val="003A2A8D"/>
    <w:rsid w:val="003A2D74"/>
    <w:rsid w:val="003A54DC"/>
    <w:rsid w:val="003A6494"/>
    <w:rsid w:val="003A652A"/>
    <w:rsid w:val="003A7419"/>
    <w:rsid w:val="003A7536"/>
    <w:rsid w:val="003B0138"/>
    <w:rsid w:val="003B06A7"/>
    <w:rsid w:val="003B0E55"/>
    <w:rsid w:val="003B181D"/>
    <w:rsid w:val="003B221C"/>
    <w:rsid w:val="003B2E6F"/>
    <w:rsid w:val="003B348E"/>
    <w:rsid w:val="003B40BC"/>
    <w:rsid w:val="003B54BA"/>
    <w:rsid w:val="003B59CE"/>
    <w:rsid w:val="003B5CE1"/>
    <w:rsid w:val="003B6426"/>
    <w:rsid w:val="003B7B71"/>
    <w:rsid w:val="003C2139"/>
    <w:rsid w:val="003C2368"/>
    <w:rsid w:val="003C2F37"/>
    <w:rsid w:val="003C3FEE"/>
    <w:rsid w:val="003C5732"/>
    <w:rsid w:val="003C6CEF"/>
    <w:rsid w:val="003D0098"/>
    <w:rsid w:val="003D0B4B"/>
    <w:rsid w:val="003D0CE2"/>
    <w:rsid w:val="003D2004"/>
    <w:rsid w:val="003D3925"/>
    <w:rsid w:val="003D3A62"/>
    <w:rsid w:val="003D40BE"/>
    <w:rsid w:val="003D48E0"/>
    <w:rsid w:val="003D4E10"/>
    <w:rsid w:val="003D4F71"/>
    <w:rsid w:val="003D5024"/>
    <w:rsid w:val="003D506C"/>
    <w:rsid w:val="003D59B3"/>
    <w:rsid w:val="003D63ED"/>
    <w:rsid w:val="003D72C8"/>
    <w:rsid w:val="003E0590"/>
    <w:rsid w:val="003E0B62"/>
    <w:rsid w:val="003E1186"/>
    <w:rsid w:val="003E23CB"/>
    <w:rsid w:val="003E2D75"/>
    <w:rsid w:val="003E5050"/>
    <w:rsid w:val="003E52D8"/>
    <w:rsid w:val="003E5317"/>
    <w:rsid w:val="003E56D2"/>
    <w:rsid w:val="003E6845"/>
    <w:rsid w:val="003E6E8D"/>
    <w:rsid w:val="003E714B"/>
    <w:rsid w:val="003E7AB2"/>
    <w:rsid w:val="003E7BD1"/>
    <w:rsid w:val="003F01E7"/>
    <w:rsid w:val="003F19C3"/>
    <w:rsid w:val="003F1A77"/>
    <w:rsid w:val="003F34BC"/>
    <w:rsid w:val="003F3F0A"/>
    <w:rsid w:val="003F59DC"/>
    <w:rsid w:val="003F62B2"/>
    <w:rsid w:val="003F67E4"/>
    <w:rsid w:val="0040045D"/>
    <w:rsid w:val="00400D39"/>
    <w:rsid w:val="00401027"/>
    <w:rsid w:val="00401BD9"/>
    <w:rsid w:val="00402302"/>
    <w:rsid w:val="00402549"/>
    <w:rsid w:val="00402609"/>
    <w:rsid w:val="004042C8"/>
    <w:rsid w:val="004052B6"/>
    <w:rsid w:val="00405A57"/>
    <w:rsid w:val="00405C1F"/>
    <w:rsid w:val="00405D77"/>
    <w:rsid w:val="00406E0B"/>
    <w:rsid w:val="00407CFE"/>
    <w:rsid w:val="00410074"/>
    <w:rsid w:val="004100CD"/>
    <w:rsid w:val="00410E54"/>
    <w:rsid w:val="0041159A"/>
    <w:rsid w:val="0041295B"/>
    <w:rsid w:val="00412DA3"/>
    <w:rsid w:val="00415A29"/>
    <w:rsid w:val="00415D81"/>
    <w:rsid w:val="004208DC"/>
    <w:rsid w:val="00420AF9"/>
    <w:rsid w:val="00421F04"/>
    <w:rsid w:val="0042379F"/>
    <w:rsid w:val="0042416E"/>
    <w:rsid w:val="004272B6"/>
    <w:rsid w:val="0042783C"/>
    <w:rsid w:val="0042785C"/>
    <w:rsid w:val="00427A00"/>
    <w:rsid w:val="00430588"/>
    <w:rsid w:val="00430E03"/>
    <w:rsid w:val="004315EB"/>
    <w:rsid w:val="004317B0"/>
    <w:rsid w:val="00431ABE"/>
    <w:rsid w:val="00432A1D"/>
    <w:rsid w:val="0043364F"/>
    <w:rsid w:val="00434951"/>
    <w:rsid w:val="004353A4"/>
    <w:rsid w:val="004360D3"/>
    <w:rsid w:val="00436333"/>
    <w:rsid w:val="00437A06"/>
    <w:rsid w:val="00437BD0"/>
    <w:rsid w:val="00441533"/>
    <w:rsid w:val="00441918"/>
    <w:rsid w:val="00441BC6"/>
    <w:rsid w:val="00442A08"/>
    <w:rsid w:val="00443F3E"/>
    <w:rsid w:val="00443FB5"/>
    <w:rsid w:val="00444F99"/>
    <w:rsid w:val="00447595"/>
    <w:rsid w:val="00447DFA"/>
    <w:rsid w:val="00447E33"/>
    <w:rsid w:val="00450D87"/>
    <w:rsid w:val="00452DED"/>
    <w:rsid w:val="00453C80"/>
    <w:rsid w:val="00454D1D"/>
    <w:rsid w:val="00454E16"/>
    <w:rsid w:val="0045571C"/>
    <w:rsid w:val="00456F34"/>
    <w:rsid w:val="0046078F"/>
    <w:rsid w:val="00460B37"/>
    <w:rsid w:val="00461B9B"/>
    <w:rsid w:val="00462470"/>
    <w:rsid w:val="00462DFA"/>
    <w:rsid w:val="004638FA"/>
    <w:rsid w:val="00463D97"/>
    <w:rsid w:val="00464228"/>
    <w:rsid w:val="00465B67"/>
    <w:rsid w:val="0046693C"/>
    <w:rsid w:val="004675CB"/>
    <w:rsid w:val="0046778E"/>
    <w:rsid w:val="004711DD"/>
    <w:rsid w:val="004716AB"/>
    <w:rsid w:val="00471A32"/>
    <w:rsid w:val="00471A7B"/>
    <w:rsid w:val="00471BCF"/>
    <w:rsid w:val="00471E99"/>
    <w:rsid w:val="004742D9"/>
    <w:rsid w:val="00474338"/>
    <w:rsid w:val="00474C98"/>
    <w:rsid w:val="004750D0"/>
    <w:rsid w:val="004751E6"/>
    <w:rsid w:val="00476EEB"/>
    <w:rsid w:val="00477EF1"/>
    <w:rsid w:val="00482B91"/>
    <w:rsid w:val="00482BCE"/>
    <w:rsid w:val="004830AB"/>
    <w:rsid w:val="0048325D"/>
    <w:rsid w:val="0048368A"/>
    <w:rsid w:val="00483AE5"/>
    <w:rsid w:val="004848C0"/>
    <w:rsid w:val="00484F9F"/>
    <w:rsid w:val="0048505A"/>
    <w:rsid w:val="004855BD"/>
    <w:rsid w:val="00485A1D"/>
    <w:rsid w:val="00486EE4"/>
    <w:rsid w:val="00486F23"/>
    <w:rsid w:val="004873A1"/>
    <w:rsid w:val="00491063"/>
    <w:rsid w:val="00491D32"/>
    <w:rsid w:val="00491EAD"/>
    <w:rsid w:val="004931E2"/>
    <w:rsid w:val="004937B3"/>
    <w:rsid w:val="004937D2"/>
    <w:rsid w:val="00493CB5"/>
    <w:rsid w:val="004944B9"/>
    <w:rsid w:val="00494AD0"/>
    <w:rsid w:val="0049620C"/>
    <w:rsid w:val="00496BAD"/>
    <w:rsid w:val="004A120F"/>
    <w:rsid w:val="004A1289"/>
    <w:rsid w:val="004A1CD6"/>
    <w:rsid w:val="004A2487"/>
    <w:rsid w:val="004A28CB"/>
    <w:rsid w:val="004A3154"/>
    <w:rsid w:val="004A39B7"/>
    <w:rsid w:val="004A403E"/>
    <w:rsid w:val="004A4457"/>
    <w:rsid w:val="004A460A"/>
    <w:rsid w:val="004A5788"/>
    <w:rsid w:val="004A5F52"/>
    <w:rsid w:val="004A6022"/>
    <w:rsid w:val="004A61A7"/>
    <w:rsid w:val="004A63CD"/>
    <w:rsid w:val="004A689B"/>
    <w:rsid w:val="004A7B8B"/>
    <w:rsid w:val="004B02ED"/>
    <w:rsid w:val="004B1E49"/>
    <w:rsid w:val="004B26A0"/>
    <w:rsid w:val="004B2E1A"/>
    <w:rsid w:val="004B3255"/>
    <w:rsid w:val="004B39D3"/>
    <w:rsid w:val="004B4009"/>
    <w:rsid w:val="004B49A8"/>
    <w:rsid w:val="004B5D85"/>
    <w:rsid w:val="004B6382"/>
    <w:rsid w:val="004B6FED"/>
    <w:rsid w:val="004B7A5E"/>
    <w:rsid w:val="004C01C1"/>
    <w:rsid w:val="004C1389"/>
    <w:rsid w:val="004C19AC"/>
    <w:rsid w:val="004C4579"/>
    <w:rsid w:val="004C5136"/>
    <w:rsid w:val="004C53BC"/>
    <w:rsid w:val="004C5CD1"/>
    <w:rsid w:val="004C601D"/>
    <w:rsid w:val="004C6825"/>
    <w:rsid w:val="004C6D16"/>
    <w:rsid w:val="004D0D00"/>
    <w:rsid w:val="004D2817"/>
    <w:rsid w:val="004D344F"/>
    <w:rsid w:val="004D4C33"/>
    <w:rsid w:val="004D5728"/>
    <w:rsid w:val="004D59C0"/>
    <w:rsid w:val="004D63ED"/>
    <w:rsid w:val="004E0404"/>
    <w:rsid w:val="004E073D"/>
    <w:rsid w:val="004E078B"/>
    <w:rsid w:val="004E09C8"/>
    <w:rsid w:val="004E0E9A"/>
    <w:rsid w:val="004E113B"/>
    <w:rsid w:val="004E1A14"/>
    <w:rsid w:val="004E20B3"/>
    <w:rsid w:val="004E2168"/>
    <w:rsid w:val="004E2C46"/>
    <w:rsid w:val="004E2F7B"/>
    <w:rsid w:val="004E4404"/>
    <w:rsid w:val="004E44BA"/>
    <w:rsid w:val="004E51B2"/>
    <w:rsid w:val="004E562A"/>
    <w:rsid w:val="004E7807"/>
    <w:rsid w:val="004E7BC5"/>
    <w:rsid w:val="004F0DD0"/>
    <w:rsid w:val="004F19BD"/>
    <w:rsid w:val="004F1D8A"/>
    <w:rsid w:val="004F2587"/>
    <w:rsid w:val="004F4723"/>
    <w:rsid w:val="004F476C"/>
    <w:rsid w:val="004F4D11"/>
    <w:rsid w:val="004F4FBA"/>
    <w:rsid w:val="004F5B7D"/>
    <w:rsid w:val="004F5B88"/>
    <w:rsid w:val="004F5C92"/>
    <w:rsid w:val="004F693E"/>
    <w:rsid w:val="004F7833"/>
    <w:rsid w:val="00500594"/>
    <w:rsid w:val="005014F0"/>
    <w:rsid w:val="005020AD"/>
    <w:rsid w:val="005024ED"/>
    <w:rsid w:val="0050294D"/>
    <w:rsid w:val="0050314C"/>
    <w:rsid w:val="00503255"/>
    <w:rsid w:val="005060A1"/>
    <w:rsid w:val="00506A74"/>
    <w:rsid w:val="005072CC"/>
    <w:rsid w:val="00507D3E"/>
    <w:rsid w:val="005101C6"/>
    <w:rsid w:val="00510876"/>
    <w:rsid w:val="005112FB"/>
    <w:rsid w:val="0051319F"/>
    <w:rsid w:val="0051351D"/>
    <w:rsid w:val="0051351E"/>
    <w:rsid w:val="00513DEB"/>
    <w:rsid w:val="00514578"/>
    <w:rsid w:val="00515953"/>
    <w:rsid w:val="00515ACF"/>
    <w:rsid w:val="00515F05"/>
    <w:rsid w:val="005160FD"/>
    <w:rsid w:val="00516365"/>
    <w:rsid w:val="0051698F"/>
    <w:rsid w:val="0051722A"/>
    <w:rsid w:val="00520A71"/>
    <w:rsid w:val="00520F9E"/>
    <w:rsid w:val="00521707"/>
    <w:rsid w:val="0052186A"/>
    <w:rsid w:val="0052256E"/>
    <w:rsid w:val="00522E6D"/>
    <w:rsid w:val="0052383B"/>
    <w:rsid w:val="00523D8F"/>
    <w:rsid w:val="0052570D"/>
    <w:rsid w:val="005258B8"/>
    <w:rsid w:val="005266D0"/>
    <w:rsid w:val="00527A66"/>
    <w:rsid w:val="005305A7"/>
    <w:rsid w:val="0053065B"/>
    <w:rsid w:val="00530E31"/>
    <w:rsid w:val="00530EE8"/>
    <w:rsid w:val="0053222C"/>
    <w:rsid w:val="00533BB7"/>
    <w:rsid w:val="00533D64"/>
    <w:rsid w:val="005341C4"/>
    <w:rsid w:val="0053520C"/>
    <w:rsid w:val="00536529"/>
    <w:rsid w:val="00536DF1"/>
    <w:rsid w:val="00541329"/>
    <w:rsid w:val="005440E6"/>
    <w:rsid w:val="005450AD"/>
    <w:rsid w:val="0054529B"/>
    <w:rsid w:val="005454CE"/>
    <w:rsid w:val="00545E03"/>
    <w:rsid w:val="0054690F"/>
    <w:rsid w:val="0054748A"/>
    <w:rsid w:val="00550845"/>
    <w:rsid w:val="00551AA7"/>
    <w:rsid w:val="00551F18"/>
    <w:rsid w:val="00552784"/>
    <w:rsid w:val="00553099"/>
    <w:rsid w:val="00553D47"/>
    <w:rsid w:val="00554573"/>
    <w:rsid w:val="00554BCB"/>
    <w:rsid w:val="005555DC"/>
    <w:rsid w:val="005559EB"/>
    <w:rsid w:val="00556553"/>
    <w:rsid w:val="00557400"/>
    <w:rsid w:val="0056064F"/>
    <w:rsid w:val="00560EA3"/>
    <w:rsid w:val="00560F51"/>
    <w:rsid w:val="00560FF4"/>
    <w:rsid w:val="0056104E"/>
    <w:rsid w:val="005615B5"/>
    <w:rsid w:val="00563141"/>
    <w:rsid w:val="00563190"/>
    <w:rsid w:val="005631DC"/>
    <w:rsid w:val="00563722"/>
    <w:rsid w:val="00564394"/>
    <w:rsid w:val="00566221"/>
    <w:rsid w:val="00566E70"/>
    <w:rsid w:val="0056785F"/>
    <w:rsid w:val="00571E11"/>
    <w:rsid w:val="005723C1"/>
    <w:rsid w:val="00573818"/>
    <w:rsid w:val="00575475"/>
    <w:rsid w:val="005765AF"/>
    <w:rsid w:val="005819B0"/>
    <w:rsid w:val="00584433"/>
    <w:rsid w:val="00584859"/>
    <w:rsid w:val="00584DD4"/>
    <w:rsid w:val="005861BA"/>
    <w:rsid w:val="00586722"/>
    <w:rsid w:val="005869AE"/>
    <w:rsid w:val="00587166"/>
    <w:rsid w:val="00587AA9"/>
    <w:rsid w:val="00590903"/>
    <w:rsid w:val="0059141D"/>
    <w:rsid w:val="005915E4"/>
    <w:rsid w:val="00591E1A"/>
    <w:rsid w:val="0059376D"/>
    <w:rsid w:val="00593C93"/>
    <w:rsid w:val="00594AB1"/>
    <w:rsid w:val="00594EDC"/>
    <w:rsid w:val="00595443"/>
    <w:rsid w:val="00595ABB"/>
    <w:rsid w:val="00597371"/>
    <w:rsid w:val="00597D4F"/>
    <w:rsid w:val="005A0187"/>
    <w:rsid w:val="005A0541"/>
    <w:rsid w:val="005A1CD9"/>
    <w:rsid w:val="005A1F33"/>
    <w:rsid w:val="005A2CB8"/>
    <w:rsid w:val="005A30B2"/>
    <w:rsid w:val="005A53DC"/>
    <w:rsid w:val="005A5C85"/>
    <w:rsid w:val="005A6120"/>
    <w:rsid w:val="005A6173"/>
    <w:rsid w:val="005A62F8"/>
    <w:rsid w:val="005A6534"/>
    <w:rsid w:val="005A6F2C"/>
    <w:rsid w:val="005A7790"/>
    <w:rsid w:val="005A7C3B"/>
    <w:rsid w:val="005B005C"/>
    <w:rsid w:val="005B186F"/>
    <w:rsid w:val="005B2444"/>
    <w:rsid w:val="005B2C2D"/>
    <w:rsid w:val="005B322F"/>
    <w:rsid w:val="005B38BC"/>
    <w:rsid w:val="005B52FA"/>
    <w:rsid w:val="005B5C79"/>
    <w:rsid w:val="005B6867"/>
    <w:rsid w:val="005B6A3B"/>
    <w:rsid w:val="005B70B7"/>
    <w:rsid w:val="005B7B13"/>
    <w:rsid w:val="005B7BC8"/>
    <w:rsid w:val="005C02CC"/>
    <w:rsid w:val="005C0DD4"/>
    <w:rsid w:val="005C1875"/>
    <w:rsid w:val="005C26A3"/>
    <w:rsid w:val="005C2E07"/>
    <w:rsid w:val="005C31AE"/>
    <w:rsid w:val="005C48A5"/>
    <w:rsid w:val="005C543F"/>
    <w:rsid w:val="005C60B1"/>
    <w:rsid w:val="005C734C"/>
    <w:rsid w:val="005C7901"/>
    <w:rsid w:val="005D00BF"/>
    <w:rsid w:val="005D15C6"/>
    <w:rsid w:val="005D1D9D"/>
    <w:rsid w:val="005D2E0C"/>
    <w:rsid w:val="005D50DF"/>
    <w:rsid w:val="005D5C9F"/>
    <w:rsid w:val="005D6210"/>
    <w:rsid w:val="005D6614"/>
    <w:rsid w:val="005D67DC"/>
    <w:rsid w:val="005D6982"/>
    <w:rsid w:val="005D6CE0"/>
    <w:rsid w:val="005D74EB"/>
    <w:rsid w:val="005D7540"/>
    <w:rsid w:val="005E1853"/>
    <w:rsid w:val="005E2A62"/>
    <w:rsid w:val="005E2C65"/>
    <w:rsid w:val="005E2F23"/>
    <w:rsid w:val="005E5230"/>
    <w:rsid w:val="005E53BB"/>
    <w:rsid w:val="005E574D"/>
    <w:rsid w:val="005E6204"/>
    <w:rsid w:val="005E6273"/>
    <w:rsid w:val="005E7A89"/>
    <w:rsid w:val="005F0197"/>
    <w:rsid w:val="005F09C2"/>
    <w:rsid w:val="005F3161"/>
    <w:rsid w:val="005F3A1C"/>
    <w:rsid w:val="005F567F"/>
    <w:rsid w:val="005F568C"/>
    <w:rsid w:val="005F592C"/>
    <w:rsid w:val="005F5F64"/>
    <w:rsid w:val="005F650A"/>
    <w:rsid w:val="005F715A"/>
    <w:rsid w:val="00600B28"/>
    <w:rsid w:val="00600F5E"/>
    <w:rsid w:val="0060267A"/>
    <w:rsid w:val="00603708"/>
    <w:rsid w:val="00604D7F"/>
    <w:rsid w:val="00605947"/>
    <w:rsid w:val="00605D19"/>
    <w:rsid w:val="006061D3"/>
    <w:rsid w:val="00606EE9"/>
    <w:rsid w:val="00607395"/>
    <w:rsid w:val="006104D9"/>
    <w:rsid w:val="00610B87"/>
    <w:rsid w:val="00610CB6"/>
    <w:rsid w:val="00611E2F"/>
    <w:rsid w:val="00611FA1"/>
    <w:rsid w:val="006138E5"/>
    <w:rsid w:val="00613DFA"/>
    <w:rsid w:val="00614F9D"/>
    <w:rsid w:val="00615A58"/>
    <w:rsid w:val="006167CE"/>
    <w:rsid w:val="00616F54"/>
    <w:rsid w:val="00617A05"/>
    <w:rsid w:val="00617D03"/>
    <w:rsid w:val="00617FB5"/>
    <w:rsid w:val="006207E3"/>
    <w:rsid w:val="006215C5"/>
    <w:rsid w:val="00621F9B"/>
    <w:rsid w:val="006228B5"/>
    <w:rsid w:val="006237D5"/>
    <w:rsid w:val="006241AD"/>
    <w:rsid w:val="006243B2"/>
    <w:rsid w:val="0062512A"/>
    <w:rsid w:val="00626891"/>
    <w:rsid w:val="00626EF4"/>
    <w:rsid w:val="0062705A"/>
    <w:rsid w:val="00627210"/>
    <w:rsid w:val="00627F82"/>
    <w:rsid w:val="00630083"/>
    <w:rsid w:val="00630236"/>
    <w:rsid w:val="00630A02"/>
    <w:rsid w:val="006325C1"/>
    <w:rsid w:val="00633480"/>
    <w:rsid w:val="00633481"/>
    <w:rsid w:val="006347C9"/>
    <w:rsid w:val="00635A99"/>
    <w:rsid w:val="006367D5"/>
    <w:rsid w:val="00636BAE"/>
    <w:rsid w:val="006370E0"/>
    <w:rsid w:val="0063778C"/>
    <w:rsid w:val="00637D4B"/>
    <w:rsid w:val="00641453"/>
    <w:rsid w:val="006416B7"/>
    <w:rsid w:val="006417F2"/>
    <w:rsid w:val="00643AC9"/>
    <w:rsid w:val="006450B3"/>
    <w:rsid w:val="00646430"/>
    <w:rsid w:val="00647199"/>
    <w:rsid w:val="00647651"/>
    <w:rsid w:val="00650417"/>
    <w:rsid w:val="006524C8"/>
    <w:rsid w:val="006526D7"/>
    <w:rsid w:val="0065321E"/>
    <w:rsid w:val="006532C2"/>
    <w:rsid w:val="006536FF"/>
    <w:rsid w:val="00653B8D"/>
    <w:rsid w:val="00653F0B"/>
    <w:rsid w:val="00654493"/>
    <w:rsid w:val="00654FB0"/>
    <w:rsid w:val="00655772"/>
    <w:rsid w:val="00655BAB"/>
    <w:rsid w:val="00655ED5"/>
    <w:rsid w:val="0065649A"/>
    <w:rsid w:val="00656A57"/>
    <w:rsid w:val="00661193"/>
    <w:rsid w:val="006611D0"/>
    <w:rsid w:val="006618BA"/>
    <w:rsid w:val="00661A20"/>
    <w:rsid w:val="00661EA8"/>
    <w:rsid w:val="0066206E"/>
    <w:rsid w:val="00662293"/>
    <w:rsid w:val="00664190"/>
    <w:rsid w:val="00664274"/>
    <w:rsid w:val="0066485B"/>
    <w:rsid w:val="00665DB7"/>
    <w:rsid w:val="0066630B"/>
    <w:rsid w:val="0067368A"/>
    <w:rsid w:val="00673FB8"/>
    <w:rsid w:val="00674D28"/>
    <w:rsid w:val="006756DD"/>
    <w:rsid w:val="00676BC8"/>
    <w:rsid w:val="00676E3F"/>
    <w:rsid w:val="006808A0"/>
    <w:rsid w:val="00680AA3"/>
    <w:rsid w:val="00680DF3"/>
    <w:rsid w:val="006819A0"/>
    <w:rsid w:val="00681AF2"/>
    <w:rsid w:val="00681C46"/>
    <w:rsid w:val="006824CA"/>
    <w:rsid w:val="00685255"/>
    <w:rsid w:val="006865FD"/>
    <w:rsid w:val="00686E54"/>
    <w:rsid w:val="0068703F"/>
    <w:rsid w:val="006872CA"/>
    <w:rsid w:val="006874ED"/>
    <w:rsid w:val="00687665"/>
    <w:rsid w:val="00687B59"/>
    <w:rsid w:val="00687DD3"/>
    <w:rsid w:val="00690B65"/>
    <w:rsid w:val="00690DDF"/>
    <w:rsid w:val="00691D36"/>
    <w:rsid w:val="006926DC"/>
    <w:rsid w:val="00693A81"/>
    <w:rsid w:val="00694BE3"/>
    <w:rsid w:val="00694EF2"/>
    <w:rsid w:val="006953A8"/>
    <w:rsid w:val="006955A0"/>
    <w:rsid w:val="00696105"/>
    <w:rsid w:val="00696875"/>
    <w:rsid w:val="00697ECB"/>
    <w:rsid w:val="006A0116"/>
    <w:rsid w:val="006A14B0"/>
    <w:rsid w:val="006A160C"/>
    <w:rsid w:val="006A1A8E"/>
    <w:rsid w:val="006A3750"/>
    <w:rsid w:val="006A523A"/>
    <w:rsid w:val="006A6A5A"/>
    <w:rsid w:val="006A6AAE"/>
    <w:rsid w:val="006A6B54"/>
    <w:rsid w:val="006B07EF"/>
    <w:rsid w:val="006B0B6A"/>
    <w:rsid w:val="006B1794"/>
    <w:rsid w:val="006B1D9D"/>
    <w:rsid w:val="006B31CC"/>
    <w:rsid w:val="006B386F"/>
    <w:rsid w:val="006B3BC0"/>
    <w:rsid w:val="006B440F"/>
    <w:rsid w:val="006B4657"/>
    <w:rsid w:val="006B4783"/>
    <w:rsid w:val="006B51F4"/>
    <w:rsid w:val="006B51F7"/>
    <w:rsid w:val="006B5E96"/>
    <w:rsid w:val="006B626E"/>
    <w:rsid w:val="006B64A1"/>
    <w:rsid w:val="006B657A"/>
    <w:rsid w:val="006B6872"/>
    <w:rsid w:val="006B6E13"/>
    <w:rsid w:val="006B6F92"/>
    <w:rsid w:val="006B7095"/>
    <w:rsid w:val="006B754A"/>
    <w:rsid w:val="006B7788"/>
    <w:rsid w:val="006B7FE2"/>
    <w:rsid w:val="006C0166"/>
    <w:rsid w:val="006C1625"/>
    <w:rsid w:val="006C1F7E"/>
    <w:rsid w:val="006C3266"/>
    <w:rsid w:val="006C4071"/>
    <w:rsid w:val="006C4C8B"/>
    <w:rsid w:val="006C5737"/>
    <w:rsid w:val="006C5A29"/>
    <w:rsid w:val="006C6CC1"/>
    <w:rsid w:val="006C73F5"/>
    <w:rsid w:val="006C7711"/>
    <w:rsid w:val="006C7D20"/>
    <w:rsid w:val="006D0BED"/>
    <w:rsid w:val="006D1011"/>
    <w:rsid w:val="006D109A"/>
    <w:rsid w:val="006D3900"/>
    <w:rsid w:val="006D46BA"/>
    <w:rsid w:val="006D48F8"/>
    <w:rsid w:val="006D5A2D"/>
    <w:rsid w:val="006D5B02"/>
    <w:rsid w:val="006D644D"/>
    <w:rsid w:val="006D657A"/>
    <w:rsid w:val="006D6B9A"/>
    <w:rsid w:val="006D6BF9"/>
    <w:rsid w:val="006D6F12"/>
    <w:rsid w:val="006D7559"/>
    <w:rsid w:val="006D75BF"/>
    <w:rsid w:val="006D765F"/>
    <w:rsid w:val="006E0E95"/>
    <w:rsid w:val="006E19B8"/>
    <w:rsid w:val="006E2466"/>
    <w:rsid w:val="006E32DF"/>
    <w:rsid w:val="006E3498"/>
    <w:rsid w:val="006E3CB0"/>
    <w:rsid w:val="006E4135"/>
    <w:rsid w:val="006E4559"/>
    <w:rsid w:val="006E51AF"/>
    <w:rsid w:val="006E5BA1"/>
    <w:rsid w:val="006E61A6"/>
    <w:rsid w:val="006E63C5"/>
    <w:rsid w:val="006E692F"/>
    <w:rsid w:val="006E6954"/>
    <w:rsid w:val="006F056C"/>
    <w:rsid w:val="006F154C"/>
    <w:rsid w:val="006F1614"/>
    <w:rsid w:val="006F1662"/>
    <w:rsid w:val="006F1EFC"/>
    <w:rsid w:val="006F2E64"/>
    <w:rsid w:val="006F3421"/>
    <w:rsid w:val="006F35F7"/>
    <w:rsid w:val="006F421A"/>
    <w:rsid w:val="006F4BE4"/>
    <w:rsid w:val="006F4FB8"/>
    <w:rsid w:val="006F51FB"/>
    <w:rsid w:val="006F57B8"/>
    <w:rsid w:val="006F5FAE"/>
    <w:rsid w:val="006F7683"/>
    <w:rsid w:val="006F77C3"/>
    <w:rsid w:val="006F7842"/>
    <w:rsid w:val="00700594"/>
    <w:rsid w:val="00700A4F"/>
    <w:rsid w:val="00700DD0"/>
    <w:rsid w:val="00700E21"/>
    <w:rsid w:val="0070116E"/>
    <w:rsid w:val="007027FE"/>
    <w:rsid w:val="00702B7C"/>
    <w:rsid w:val="00702E12"/>
    <w:rsid w:val="00702FE5"/>
    <w:rsid w:val="0070308B"/>
    <w:rsid w:val="007038C6"/>
    <w:rsid w:val="007045B9"/>
    <w:rsid w:val="00705071"/>
    <w:rsid w:val="0070582F"/>
    <w:rsid w:val="007061CB"/>
    <w:rsid w:val="007076E9"/>
    <w:rsid w:val="007076FD"/>
    <w:rsid w:val="00710AC6"/>
    <w:rsid w:val="0071288D"/>
    <w:rsid w:val="00712EB6"/>
    <w:rsid w:val="0071355A"/>
    <w:rsid w:val="007136D7"/>
    <w:rsid w:val="0071433B"/>
    <w:rsid w:val="00714A0B"/>
    <w:rsid w:val="007154E1"/>
    <w:rsid w:val="007167C3"/>
    <w:rsid w:val="00720B36"/>
    <w:rsid w:val="00720D31"/>
    <w:rsid w:val="00720D87"/>
    <w:rsid w:val="00721719"/>
    <w:rsid w:val="0072194A"/>
    <w:rsid w:val="00721999"/>
    <w:rsid w:val="00721B30"/>
    <w:rsid w:val="00722978"/>
    <w:rsid w:val="00722C63"/>
    <w:rsid w:val="00723B03"/>
    <w:rsid w:val="00723CB4"/>
    <w:rsid w:val="00723D4B"/>
    <w:rsid w:val="00724135"/>
    <w:rsid w:val="00725652"/>
    <w:rsid w:val="00725A48"/>
    <w:rsid w:val="00725FEB"/>
    <w:rsid w:val="0072625C"/>
    <w:rsid w:val="00727FDC"/>
    <w:rsid w:val="00732000"/>
    <w:rsid w:val="0073260A"/>
    <w:rsid w:val="00732BD3"/>
    <w:rsid w:val="00732D04"/>
    <w:rsid w:val="00732DE4"/>
    <w:rsid w:val="00735ED1"/>
    <w:rsid w:val="007365DB"/>
    <w:rsid w:val="00737000"/>
    <w:rsid w:val="00740AEA"/>
    <w:rsid w:val="0074176D"/>
    <w:rsid w:val="00741FB0"/>
    <w:rsid w:val="0074367E"/>
    <w:rsid w:val="0074373E"/>
    <w:rsid w:val="007438F6"/>
    <w:rsid w:val="0074471C"/>
    <w:rsid w:val="00744E8B"/>
    <w:rsid w:val="007450AC"/>
    <w:rsid w:val="00745C9B"/>
    <w:rsid w:val="00745F72"/>
    <w:rsid w:val="007461A4"/>
    <w:rsid w:val="00746787"/>
    <w:rsid w:val="00746F35"/>
    <w:rsid w:val="007475FD"/>
    <w:rsid w:val="00750338"/>
    <w:rsid w:val="007506A0"/>
    <w:rsid w:val="007525CA"/>
    <w:rsid w:val="00752803"/>
    <w:rsid w:val="007528C2"/>
    <w:rsid w:val="00752B40"/>
    <w:rsid w:val="00753B76"/>
    <w:rsid w:val="00754481"/>
    <w:rsid w:val="007544A1"/>
    <w:rsid w:val="00754947"/>
    <w:rsid w:val="00755D34"/>
    <w:rsid w:val="0075654F"/>
    <w:rsid w:val="00756CBC"/>
    <w:rsid w:val="00756CD7"/>
    <w:rsid w:val="00757440"/>
    <w:rsid w:val="007579C9"/>
    <w:rsid w:val="00757B20"/>
    <w:rsid w:val="007601F1"/>
    <w:rsid w:val="00760AAB"/>
    <w:rsid w:val="00760E8E"/>
    <w:rsid w:val="00761E60"/>
    <w:rsid w:val="007626E1"/>
    <w:rsid w:val="007635A8"/>
    <w:rsid w:val="0076368B"/>
    <w:rsid w:val="0076415A"/>
    <w:rsid w:val="00765369"/>
    <w:rsid w:val="00765A1D"/>
    <w:rsid w:val="00766B5F"/>
    <w:rsid w:val="00767E8E"/>
    <w:rsid w:val="00770EE4"/>
    <w:rsid w:val="00772038"/>
    <w:rsid w:val="00772338"/>
    <w:rsid w:val="007724AF"/>
    <w:rsid w:val="00774018"/>
    <w:rsid w:val="007740A5"/>
    <w:rsid w:val="00774B3F"/>
    <w:rsid w:val="00776157"/>
    <w:rsid w:val="007772BB"/>
    <w:rsid w:val="0077782D"/>
    <w:rsid w:val="00777DB9"/>
    <w:rsid w:val="00777E78"/>
    <w:rsid w:val="00780736"/>
    <w:rsid w:val="007815D9"/>
    <w:rsid w:val="0078339D"/>
    <w:rsid w:val="00783BC8"/>
    <w:rsid w:val="007856D2"/>
    <w:rsid w:val="00785FBA"/>
    <w:rsid w:val="007860E7"/>
    <w:rsid w:val="00786333"/>
    <w:rsid w:val="007867EF"/>
    <w:rsid w:val="00787763"/>
    <w:rsid w:val="0078790B"/>
    <w:rsid w:val="00787C7B"/>
    <w:rsid w:val="007918B7"/>
    <w:rsid w:val="007919E5"/>
    <w:rsid w:val="00794BFC"/>
    <w:rsid w:val="007954D9"/>
    <w:rsid w:val="007970D6"/>
    <w:rsid w:val="007A038D"/>
    <w:rsid w:val="007A0994"/>
    <w:rsid w:val="007A0CBE"/>
    <w:rsid w:val="007A1474"/>
    <w:rsid w:val="007A1FD1"/>
    <w:rsid w:val="007A250D"/>
    <w:rsid w:val="007A27EE"/>
    <w:rsid w:val="007A3195"/>
    <w:rsid w:val="007A3643"/>
    <w:rsid w:val="007A3A30"/>
    <w:rsid w:val="007A4B70"/>
    <w:rsid w:val="007A4CFB"/>
    <w:rsid w:val="007A521D"/>
    <w:rsid w:val="007A5588"/>
    <w:rsid w:val="007A5F04"/>
    <w:rsid w:val="007A652B"/>
    <w:rsid w:val="007A6683"/>
    <w:rsid w:val="007A7079"/>
    <w:rsid w:val="007A7097"/>
    <w:rsid w:val="007A7180"/>
    <w:rsid w:val="007A7787"/>
    <w:rsid w:val="007B0247"/>
    <w:rsid w:val="007B18D7"/>
    <w:rsid w:val="007B20E7"/>
    <w:rsid w:val="007B234B"/>
    <w:rsid w:val="007B4B22"/>
    <w:rsid w:val="007B522F"/>
    <w:rsid w:val="007B5E8E"/>
    <w:rsid w:val="007B64E8"/>
    <w:rsid w:val="007B65B0"/>
    <w:rsid w:val="007B68D2"/>
    <w:rsid w:val="007B6DD9"/>
    <w:rsid w:val="007B6F51"/>
    <w:rsid w:val="007B7E94"/>
    <w:rsid w:val="007B7EEE"/>
    <w:rsid w:val="007C03DF"/>
    <w:rsid w:val="007C21F0"/>
    <w:rsid w:val="007C233A"/>
    <w:rsid w:val="007C32FE"/>
    <w:rsid w:val="007C3540"/>
    <w:rsid w:val="007C400C"/>
    <w:rsid w:val="007C45D7"/>
    <w:rsid w:val="007C5311"/>
    <w:rsid w:val="007C5F4A"/>
    <w:rsid w:val="007C69B8"/>
    <w:rsid w:val="007D0989"/>
    <w:rsid w:val="007D0A3F"/>
    <w:rsid w:val="007D24B2"/>
    <w:rsid w:val="007D29DA"/>
    <w:rsid w:val="007D3666"/>
    <w:rsid w:val="007D48D1"/>
    <w:rsid w:val="007D4ACA"/>
    <w:rsid w:val="007D4E78"/>
    <w:rsid w:val="007D58DA"/>
    <w:rsid w:val="007E0878"/>
    <w:rsid w:val="007E29F7"/>
    <w:rsid w:val="007E33C2"/>
    <w:rsid w:val="007E3D16"/>
    <w:rsid w:val="007E44DA"/>
    <w:rsid w:val="007E545E"/>
    <w:rsid w:val="007E5B9E"/>
    <w:rsid w:val="007E6038"/>
    <w:rsid w:val="007E6462"/>
    <w:rsid w:val="007E65AE"/>
    <w:rsid w:val="007E68B5"/>
    <w:rsid w:val="007E6B1B"/>
    <w:rsid w:val="007E7093"/>
    <w:rsid w:val="007E7BF6"/>
    <w:rsid w:val="007F2577"/>
    <w:rsid w:val="007F30C7"/>
    <w:rsid w:val="007F4AC6"/>
    <w:rsid w:val="007F5562"/>
    <w:rsid w:val="007F5AD8"/>
    <w:rsid w:val="007F625E"/>
    <w:rsid w:val="007F72F2"/>
    <w:rsid w:val="007F7F9C"/>
    <w:rsid w:val="008001ED"/>
    <w:rsid w:val="00800F3C"/>
    <w:rsid w:val="0080106D"/>
    <w:rsid w:val="008016A4"/>
    <w:rsid w:val="00801AB2"/>
    <w:rsid w:val="00802FD1"/>
    <w:rsid w:val="00804B5A"/>
    <w:rsid w:val="0080540A"/>
    <w:rsid w:val="008059ED"/>
    <w:rsid w:val="00806358"/>
    <w:rsid w:val="008064DC"/>
    <w:rsid w:val="00806B16"/>
    <w:rsid w:val="008071B2"/>
    <w:rsid w:val="00807CFA"/>
    <w:rsid w:val="00810792"/>
    <w:rsid w:val="00811470"/>
    <w:rsid w:val="00811F89"/>
    <w:rsid w:val="00813A11"/>
    <w:rsid w:val="00814BA9"/>
    <w:rsid w:val="00814C71"/>
    <w:rsid w:val="00814CB9"/>
    <w:rsid w:val="0081559F"/>
    <w:rsid w:val="008155BF"/>
    <w:rsid w:val="008160A5"/>
    <w:rsid w:val="0081774D"/>
    <w:rsid w:val="00821829"/>
    <w:rsid w:val="008229DF"/>
    <w:rsid w:val="00823C4B"/>
    <w:rsid w:val="00823E71"/>
    <w:rsid w:val="00824737"/>
    <w:rsid w:val="00824A10"/>
    <w:rsid w:val="008252D0"/>
    <w:rsid w:val="00827FA3"/>
    <w:rsid w:val="008300D9"/>
    <w:rsid w:val="008302D5"/>
    <w:rsid w:val="00830873"/>
    <w:rsid w:val="0083095F"/>
    <w:rsid w:val="00831144"/>
    <w:rsid w:val="00832788"/>
    <w:rsid w:val="008331D9"/>
    <w:rsid w:val="00833866"/>
    <w:rsid w:val="0083399A"/>
    <w:rsid w:val="0083440C"/>
    <w:rsid w:val="008345DC"/>
    <w:rsid w:val="0083567D"/>
    <w:rsid w:val="00835EAB"/>
    <w:rsid w:val="0083722E"/>
    <w:rsid w:val="008378E9"/>
    <w:rsid w:val="00840090"/>
    <w:rsid w:val="00840895"/>
    <w:rsid w:val="00840CF4"/>
    <w:rsid w:val="008414E4"/>
    <w:rsid w:val="00843897"/>
    <w:rsid w:val="00843F90"/>
    <w:rsid w:val="00844077"/>
    <w:rsid w:val="008443C8"/>
    <w:rsid w:val="008448D4"/>
    <w:rsid w:val="00844F94"/>
    <w:rsid w:val="00845212"/>
    <w:rsid w:val="008456A6"/>
    <w:rsid w:val="0084681B"/>
    <w:rsid w:val="00847F0D"/>
    <w:rsid w:val="00847F8B"/>
    <w:rsid w:val="00853739"/>
    <w:rsid w:val="008539E3"/>
    <w:rsid w:val="00853ECC"/>
    <w:rsid w:val="00854277"/>
    <w:rsid w:val="0085634D"/>
    <w:rsid w:val="00856430"/>
    <w:rsid w:val="00860072"/>
    <w:rsid w:val="00860917"/>
    <w:rsid w:val="00861786"/>
    <w:rsid w:val="00861CEB"/>
    <w:rsid w:val="00862626"/>
    <w:rsid w:val="008634E2"/>
    <w:rsid w:val="00863856"/>
    <w:rsid w:val="00863DD1"/>
    <w:rsid w:val="00865937"/>
    <w:rsid w:val="00866333"/>
    <w:rsid w:val="00871B0B"/>
    <w:rsid w:val="00872B43"/>
    <w:rsid w:val="00872FF6"/>
    <w:rsid w:val="008735B0"/>
    <w:rsid w:val="008749CC"/>
    <w:rsid w:val="00874FA9"/>
    <w:rsid w:val="00875908"/>
    <w:rsid w:val="00875E44"/>
    <w:rsid w:val="00876EF8"/>
    <w:rsid w:val="00876F4D"/>
    <w:rsid w:val="00877478"/>
    <w:rsid w:val="00880A3A"/>
    <w:rsid w:val="00880D69"/>
    <w:rsid w:val="00880EE7"/>
    <w:rsid w:val="00883053"/>
    <w:rsid w:val="00883376"/>
    <w:rsid w:val="0088420D"/>
    <w:rsid w:val="008846D9"/>
    <w:rsid w:val="00884768"/>
    <w:rsid w:val="00885F83"/>
    <w:rsid w:val="008864A6"/>
    <w:rsid w:val="00887324"/>
    <w:rsid w:val="008874DC"/>
    <w:rsid w:val="008900C0"/>
    <w:rsid w:val="0089112C"/>
    <w:rsid w:val="00891BD4"/>
    <w:rsid w:val="00892911"/>
    <w:rsid w:val="0089313F"/>
    <w:rsid w:val="0089318D"/>
    <w:rsid w:val="00894785"/>
    <w:rsid w:val="00894D2B"/>
    <w:rsid w:val="00895A7C"/>
    <w:rsid w:val="00895AD4"/>
    <w:rsid w:val="008A03AE"/>
    <w:rsid w:val="008A0518"/>
    <w:rsid w:val="008A1545"/>
    <w:rsid w:val="008A288A"/>
    <w:rsid w:val="008A35F1"/>
    <w:rsid w:val="008A3901"/>
    <w:rsid w:val="008A3AB0"/>
    <w:rsid w:val="008A3F3B"/>
    <w:rsid w:val="008A4832"/>
    <w:rsid w:val="008A4D36"/>
    <w:rsid w:val="008A5472"/>
    <w:rsid w:val="008A5B37"/>
    <w:rsid w:val="008A6086"/>
    <w:rsid w:val="008A6CDA"/>
    <w:rsid w:val="008A70F8"/>
    <w:rsid w:val="008A7A2E"/>
    <w:rsid w:val="008A7AA2"/>
    <w:rsid w:val="008B0C8B"/>
    <w:rsid w:val="008B11C2"/>
    <w:rsid w:val="008B14AE"/>
    <w:rsid w:val="008B16BD"/>
    <w:rsid w:val="008B1854"/>
    <w:rsid w:val="008B1E51"/>
    <w:rsid w:val="008B383A"/>
    <w:rsid w:val="008B3C9D"/>
    <w:rsid w:val="008B474E"/>
    <w:rsid w:val="008B5FB9"/>
    <w:rsid w:val="008B6D8B"/>
    <w:rsid w:val="008B7680"/>
    <w:rsid w:val="008B76F1"/>
    <w:rsid w:val="008B7EF2"/>
    <w:rsid w:val="008C0244"/>
    <w:rsid w:val="008C0E22"/>
    <w:rsid w:val="008C3204"/>
    <w:rsid w:val="008C33CF"/>
    <w:rsid w:val="008C356F"/>
    <w:rsid w:val="008C4D6A"/>
    <w:rsid w:val="008C53C3"/>
    <w:rsid w:val="008C5F76"/>
    <w:rsid w:val="008D078E"/>
    <w:rsid w:val="008D0865"/>
    <w:rsid w:val="008D27D3"/>
    <w:rsid w:val="008D27E8"/>
    <w:rsid w:val="008D2F02"/>
    <w:rsid w:val="008D2F49"/>
    <w:rsid w:val="008D4072"/>
    <w:rsid w:val="008D5833"/>
    <w:rsid w:val="008D5C5B"/>
    <w:rsid w:val="008D5EAA"/>
    <w:rsid w:val="008D73E3"/>
    <w:rsid w:val="008D75FA"/>
    <w:rsid w:val="008E060E"/>
    <w:rsid w:val="008E0DB6"/>
    <w:rsid w:val="008E2DD3"/>
    <w:rsid w:val="008E3B5D"/>
    <w:rsid w:val="008E4141"/>
    <w:rsid w:val="008E4BA8"/>
    <w:rsid w:val="008E4D41"/>
    <w:rsid w:val="008E53D3"/>
    <w:rsid w:val="008E7D41"/>
    <w:rsid w:val="008F21D8"/>
    <w:rsid w:val="008F30A9"/>
    <w:rsid w:val="008F41CE"/>
    <w:rsid w:val="008F41F3"/>
    <w:rsid w:val="008F4425"/>
    <w:rsid w:val="008F4C24"/>
    <w:rsid w:val="008F581A"/>
    <w:rsid w:val="008F58CC"/>
    <w:rsid w:val="008F5C4F"/>
    <w:rsid w:val="008F61D2"/>
    <w:rsid w:val="008F6426"/>
    <w:rsid w:val="008F6F61"/>
    <w:rsid w:val="008F7074"/>
    <w:rsid w:val="008F7462"/>
    <w:rsid w:val="009001A6"/>
    <w:rsid w:val="00901E57"/>
    <w:rsid w:val="00902978"/>
    <w:rsid w:val="00903368"/>
    <w:rsid w:val="009033BE"/>
    <w:rsid w:val="009034CB"/>
    <w:rsid w:val="009040A3"/>
    <w:rsid w:val="00904C6E"/>
    <w:rsid w:val="0090581A"/>
    <w:rsid w:val="0090626B"/>
    <w:rsid w:val="00906E9D"/>
    <w:rsid w:val="00910817"/>
    <w:rsid w:val="00911B42"/>
    <w:rsid w:val="009133AC"/>
    <w:rsid w:val="009134CB"/>
    <w:rsid w:val="009138AD"/>
    <w:rsid w:val="00914C7F"/>
    <w:rsid w:val="00914D8B"/>
    <w:rsid w:val="00915303"/>
    <w:rsid w:val="0091597D"/>
    <w:rsid w:val="009162BB"/>
    <w:rsid w:val="0091670C"/>
    <w:rsid w:val="009169A0"/>
    <w:rsid w:val="00916A24"/>
    <w:rsid w:val="00916B29"/>
    <w:rsid w:val="00917B2E"/>
    <w:rsid w:val="00917C1D"/>
    <w:rsid w:val="00917FEA"/>
    <w:rsid w:val="00920E8D"/>
    <w:rsid w:val="00921A99"/>
    <w:rsid w:val="009229C1"/>
    <w:rsid w:val="00922D89"/>
    <w:rsid w:val="00923898"/>
    <w:rsid w:val="00923C27"/>
    <w:rsid w:val="00925301"/>
    <w:rsid w:val="00926241"/>
    <w:rsid w:val="00926F5C"/>
    <w:rsid w:val="009272F6"/>
    <w:rsid w:val="0092741C"/>
    <w:rsid w:val="00927E07"/>
    <w:rsid w:val="00930970"/>
    <w:rsid w:val="00930B86"/>
    <w:rsid w:val="00930FC5"/>
    <w:rsid w:val="009313DD"/>
    <w:rsid w:val="0093224D"/>
    <w:rsid w:val="00932285"/>
    <w:rsid w:val="00932602"/>
    <w:rsid w:val="009327E5"/>
    <w:rsid w:val="0093373E"/>
    <w:rsid w:val="00933A19"/>
    <w:rsid w:val="009346B8"/>
    <w:rsid w:val="00934B6C"/>
    <w:rsid w:val="009357D6"/>
    <w:rsid w:val="00935B4A"/>
    <w:rsid w:val="00935FCB"/>
    <w:rsid w:val="009369CA"/>
    <w:rsid w:val="009375DA"/>
    <w:rsid w:val="00937CD5"/>
    <w:rsid w:val="00937E15"/>
    <w:rsid w:val="0094051E"/>
    <w:rsid w:val="00940AFC"/>
    <w:rsid w:val="00940F4A"/>
    <w:rsid w:val="0094208F"/>
    <w:rsid w:val="00943229"/>
    <w:rsid w:val="0094372B"/>
    <w:rsid w:val="00944318"/>
    <w:rsid w:val="00944A49"/>
    <w:rsid w:val="009461E5"/>
    <w:rsid w:val="009461EC"/>
    <w:rsid w:val="0094631A"/>
    <w:rsid w:val="00946BEF"/>
    <w:rsid w:val="009503BD"/>
    <w:rsid w:val="009508BB"/>
    <w:rsid w:val="00950D18"/>
    <w:rsid w:val="00951B8B"/>
    <w:rsid w:val="00952B83"/>
    <w:rsid w:val="00953A98"/>
    <w:rsid w:val="00953F00"/>
    <w:rsid w:val="00954423"/>
    <w:rsid w:val="00954C6D"/>
    <w:rsid w:val="00955992"/>
    <w:rsid w:val="00955C29"/>
    <w:rsid w:val="00956656"/>
    <w:rsid w:val="00956CC5"/>
    <w:rsid w:val="009578F5"/>
    <w:rsid w:val="009619C3"/>
    <w:rsid w:val="009623C5"/>
    <w:rsid w:val="00962444"/>
    <w:rsid w:val="00963733"/>
    <w:rsid w:val="00966BFC"/>
    <w:rsid w:val="00970341"/>
    <w:rsid w:val="00973099"/>
    <w:rsid w:val="0097330A"/>
    <w:rsid w:val="00973902"/>
    <w:rsid w:val="009746E1"/>
    <w:rsid w:val="00974BA6"/>
    <w:rsid w:val="009819D3"/>
    <w:rsid w:val="00983604"/>
    <w:rsid w:val="00983CD2"/>
    <w:rsid w:val="00984F3F"/>
    <w:rsid w:val="0098611C"/>
    <w:rsid w:val="00986BB0"/>
    <w:rsid w:val="00986D13"/>
    <w:rsid w:val="00987324"/>
    <w:rsid w:val="00987635"/>
    <w:rsid w:val="00987ACF"/>
    <w:rsid w:val="00990794"/>
    <w:rsid w:val="009920C5"/>
    <w:rsid w:val="0099234F"/>
    <w:rsid w:val="00994F62"/>
    <w:rsid w:val="00995D67"/>
    <w:rsid w:val="00995F5D"/>
    <w:rsid w:val="00996470"/>
    <w:rsid w:val="00996822"/>
    <w:rsid w:val="009970BB"/>
    <w:rsid w:val="00997744"/>
    <w:rsid w:val="009A0E7B"/>
    <w:rsid w:val="009A1265"/>
    <w:rsid w:val="009A1C4D"/>
    <w:rsid w:val="009A28ED"/>
    <w:rsid w:val="009A2CA9"/>
    <w:rsid w:val="009A4096"/>
    <w:rsid w:val="009A5EF4"/>
    <w:rsid w:val="009A6160"/>
    <w:rsid w:val="009A625A"/>
    <w:rsid w:val="009B1DE7"/>
    <w:rsid w:val="009B2FDB"/>
    <w:rsid w:val="009B30D0"/>
    <w:rsid w:val="009B36ED"/>
    <w:rsid w:val="009B5D2D"/>
    <w:rsid w:val="009B7156"/>
    <w:rsid w:val="009B73A2"/>
    <w:rsid w:val="009C1CDF"/>
    <w:rsid w:val="009C2FE0"/>
    <w:rsid w:val="009C3F3F"/>
    <w:rsid w:val="009C3FBA"/>
    <w:rsid w:val="009C4489"/>
    <w:rsid w:val="009C4E2F"/>
    <w:rsid w:val="009C5787"/>
    <w:rsid w:val="009C5826"/>
    <w:rsid w:val="009C5B8B"/>
    <w:rsid w:val="009C674B"/>
    <w:rsid w:val="009C74F4"/>
    <w:rsid w:val="009C7D97"/>
    <w:rsid w:val="009D087C"/>
    <w:rsid w:val="009D1549"/>
    <w:rsid w:val="009D3986"/>
    <w:rsid w:val="009D3B34"/>
    <w:rsid w:val="009D3BD3"/>
    <w:rsid w:val="009D5D86"/>
    <w:rsid w:val="009D6256"/>
    <w:rsid w:val="009D651C"/>
    <w:rsid w:val="009D6683"/>
    <w:rsid w:val="009D6AC3"/>
    <w:rsid w:val="009D6C55"/>
    <w:rsid w:val="009D6EBA"/>
    <w:rsid w:val="009D7AA2"/>
    <w:rsid w:val="009E057E"/>
    <w:rsid w:val="009E3286"/>
    <w:rsid w:val="009E3A21"/>
    <w:rsid w:val="009E6DAF"/>
    <w:rsid w:val="009E7886"/>
    <w:rsid w:val="009F11AB"/>
    <w:rsid w:val="009F15B4"/>
    <w:rsid w:val="009F254C"/>
    <w:rsid w:val="009F26FC"/>
    <w:rsid w:val="009F3802"/>
    <w:rsid w:val="009F38C0"/>
    <w:rsid w:val="009F3984"/>
    <w:rsid w:val="009F3E1E"/>
    <w:rsid w:val="009F3E7B"/>
    <w:rsid w:val="009F46DC"/>
    <w:rsid w:val="009F5071"/>
    <w:rsid w:val="009F58DD"/>
    <w:rsid w:val="009F5D86"/>
    <w:rsid w:val="009F6DFF"/>
    <w:rsid w:val="009F75EC"/>
    <w:rsid w:val="009F768E"/>
    <w:rsid w:val="009F7F0C"/>
    <w:rsid w:val="009F7F1B"/>
    <w:rsid w:val="00A00040"/>
    <w:rsid w:val="00A00CC5"/>
    <w:rsid w:val="00A01B9B"/>
    <w:rsid w:val="00A01DA6"/>
    <w:rsid w:val="00A024A1"/>
    <w:rsid w:val="00A02F33"/>
    <w:rsid w:val="00A02FCC"/>
    <w:rsid w:val="00A03620"/>
    <w:rsid w:val="00A03BF0"/>
    <w:rsid w:val="00A040F3"/>
    <w:rsid w:val="00A0450B"/>
    <w:rsid w:val="00A045B9"/>
    <w:rsid w:val="00A0477A"/>
    <w:rsid w:val="00A04DA8"/>
    <w:rsid w:val="00A07078"/>
    <w:rsid w:val="00A07937"/>
    <w:rsid w:val="00A07CF2"/>
    <w:rsid w:val="00A07D05"/>
    <w:rsid w:val="00A07DB3"/>
    <w:rsid w:val="00A07DBE"/>
    <w:rsid w:val="00A116F4"/>
    <w:rsid w:val="00A13359"/>
    <w:rsid w:val="00A14114"/>
    <w:rsid w:val="00A14137"/>
    <w:rsid w:val="00A14460"/>
    <w:rsid w:val="00A146BC"/>
    <w:rsid w:val="00A146D6"/>
    <w:rsid w:val="00A15EB5"/>
    <w:rsid w:val="00A21823"/>
    <w:rsid w:val="00A22266"/>
    <w:rsid w:val="00A22792"/>
    <w:rsid w:val="00A22A07"/>
    <w:rsid w:val="00A22F39"/>
    <w:rsid w:val="00A244A6"/>
    <w:rsid w:val="00A2534D"/>
    <w:rsid w:val="00A25357"/>
    <w:rsid w:val="00A25A42"/>
    <w:rsid w:val="00A26125"/>
    <w:rsid w:val="00A26F22"/>
    <w:rsid w:val="00A26F37"/>
    <w:rsid w:val="00A2700F"/>
    <w:rsid w:val="00A270E5"/>
    <w:rsid w:val="00A276E3"/>
    <w:rsid w:val="00A27B7D"/>
    <w:rsid w:val="00A320FD"/>
    <w:rsid w:val="00A32423"/>
    <w:rsid w:val="00A32950"/>
    <w:rsid w:val="00A34371"/>
    <w:rsid w:val="00A350F8"/>
    <w:rsid w:val="00A3516A"/>
    <w:rsid w:val="00A3545B"/>
    <w:rsid w:val="00A36229"/>
    <w:rsid w:val="00A37319"/>
    <w:rsid w:val="00A374E5"/>
    <w:rsid w:val="00A401AC"/>
    <w:rsid w:val="00A41C9D"/>
    <w:rsid w:val="00A42DB2"/>
    <w:rsid w:val="00A42F40"/>
    <w:rsid w:val="00A43231"/>
    <w:rsid w:val="00A4664C"/>
    <w:rsid w:val="00A47042"/>
    <w:rsid w:val="00A47575"/>
    <w:rsid w:val="00A47EFE"/>
    <w:rsid w:val="00A504E1"/>
    <w:rsid w:val="00A5080B"/>
    <w:rsid w:val="00A50E32"/>
    <w:rsid w:val="00A52252"/>
    <w:rsid w:val="00A52E26"/>
    <w:rsid w:val="00A53C03"/>
    <w:rsid w:val="00A53EFE"/>
    <w:rsid w:val="00A54323"/>
    <w:rsid w:val="00A5582C"/>
    <w:rsid w:val="00A576DA"/>
    <w:rsid w:val="00A615E9"/>
    <w:rsid w:val="00A615EA"/>
    <w:rsid w:val="00A61D34"/>
    <w:rsid w:val="00A6284A"/>
    <w:rsid w:val="00A63CD6"/>
    <w:rsid w:val="00A63D8B"/>
    <w:rsid w:val="00A64A8F"/>
    <w:rsid w:val="00A64C5C"/>
    <w:rsid w:val="00A65440"/>
    <w:rsid w:val="00A65D9E"/>
    <w:rsid w:val="00A65EEE"/>
    <w:rsid w:val="00A67AB3"/>
    <w:rsid w:val="00A67BE7"/>
    <w:rsid w:val="00A71971"/>
    <w:rsid w:val="00A71C57"/>
    <w:rsid w:val="00A71CD9"/>
    <w:rsid w:val="00A71D6A"/>
    <w:rsid w:val="00A73B3F"/>
    <w:rsid w:val="00A74FF3"/>
    <w:rsid w:val="00A7524F"/>
    <w:rsid w:val="00A76356"/>
    <w:rsid w:val="00A7688A"/>
    <w:rsid w:val="00A76E4B"/>
    <w:rsid w:val="00A772C7"/>
    <w:rsid w:val="00A7764F"/>
    <w:rsid w:val="00A8026F"/>
    <w:rsid w:val="00A80562"/>
    <w:rsid w:val="00A82290"/>
    <w:rsid w:val="00A83D9E"/>
    <w:rsid w:val="00A83E06"/>
    <w:rsid w:val="00A842FE"/>
    <w:rsid w:val="00A8462B"/>
    <w:rsid w:val="00A8657B"/>
    <w:rsid w:val="00A866AE"/>
    <w:rsid w:val="00A87275"/>
    <w:rsid w:val="00A875C8"/>
    <w:rsid w:val="00A90399"/>
    <w:rsid w:val="00A90CD2"/>
    <w:rsid w:val="00A9192E"/>
    <w:rsid w:val="00A93B08"/>
    <w:rsid w:val="00A942DF"/>
    <w:rsid w:val="00A944CE"/>
    <w:rsid w:val="00A94508"/>
    <w:rsid w:val="00A94733"/>
    <w:rsid w:val="00A94CAD"/>
    <w:rsid w:val="00A95239"/>
    <w:rsid w:val="00A96825"/>
    <w:rsid w:val="00A96DED"/>
    <w:rsid w:val="00A976CF"/>
    <w:rsid w:val="00AA066C"/>
    <w:rsid w:val="00AA07C7"/>
    <w:rsid w:val="00AA3091"/>
    <w:rsid w:val="00AA3D1C"/>
    <w:rsid w:val="00AA44C6"/>
    <w:rsid w:val="00AA47C3"/>
    <w:rsid w:val="00AA6717"/>
    <w:rsid w:val="00AA695F"/>
    <w:rsid w:val="00AA6D18"/>
    <w:rsid w:val="00AA7196"/>
    <w:rsid w:val="00AB000E"/>
    <w:rsid w:val="00AB0029"/>
    <w:rsid w:val="00AB0B78"/>
    <w:rsid w:val="00AB22B8"/>
    <w:rsid w:val="00AB2304"/>
    <w:rsid w:val="00AB24A5"/>
    <w:rsid w:val="00AB2789"/>
    <w:rsid w:val="00AB2930"/>
    <w:rsid w:val="00AB386D"/>
    <w:rsid w:val="00AB3D1E"/>
    <w:rsid w:val="00AB4C62"/>
    <w:rsid w:val="00AB517C"/>
    <w:rsid w:val="00AB5AAC"/>
    <w:rsid w:val="00AB5CFB"/>
    <w:rsid w:val="00AB606A"/>
    <w:rsid w:val="00AB771F"/>
    <w:rsid w:val="00AB7AF6"/>
    <w:rsid w:val="00AC0AB9"/>
    <w:rsid w:val="00AC1AB1"/>
    <w:rsid w:val="00AC3A53"/>
    <w:rsid w:val="00AC4BE2"/>
    <w:rsid w:val="00AC52CD"/>
    <w:rsid w:val="00AC5766"/>
    <w:rsid w:val="00AC579B"/>
    <w:rsid w:val="00AC5F69"/>
    <w:rsid w:val="00AC637F"/>
    <w:rsid w:val="00AC6B98"/>
    <w:rsid w:val="00AC74BF"/>
    <w:rsid w:val="00AD1BFB"/>
    <w:rsid w:val="00AD2D14"/>
    <w:rsid w:val="00AD2FB0"/>
    <w:rsid w:val="00AD3BA6"/>
    <w:rsid w:val="00AD7131"/>
    <w:rsid w:val="00AD7CFC"/>
    <w:rsid w:val="00AD7E1B"/>
    <w:rsid w:val="00AD7F7E"/>
    <w:rsid w:val="00AE00FA"/>
    <w:rsid w:val="00AE149F"/>
    <w:rsid w:val="00AE2E45"/>
    <w:rsid w:val="00AE38D5"/>
    <w:rsid w:val="00AE39E1"/>
    <w:rsid w:val="00AE440D"/>
    <w:rsid w:val="00AE4655"/>
    <w:rsid w:val="00AE53F6"/>
    <w:rsid w:val="00AE56DD"/>
    <w:rsid w:val="00AE5F57"/>
    <w:rsid w:val="00AF04B4"/>
    <w:rsid w:val="00AF0963"/>
    <w:rsid w:val="00AF126A"/>
    <w:rsid w:val="00AF20FD"/>
    <w:rsid w:val="00AF21CA"/>
    <w:rsid w:val="00AF26B9"/>
    <w:rsid w:val="00AF3870"/>
    <w:rsid w:val="00AF3AFE"/>
    <w:rsid w:val="00AF4651"/>
    <w:rsid w:val="00AF49DD"/>
    <w:rsid w:val="00AF5492"/>
    <w:rsid w:val="00AF61D9"/>
    <w:rsid w:val="00AF63BE"/>
    <w:rsid w:val="00AF7DC4"/>
    <w:rsid w:val="00B0094A"/>
    <w:rsid w:val="00B00F52"/>
    <w:rsid w:val="00B00FAD"/>
    <w:rsid w:val="00B0146B"/>
    <w:rsid w:val="00B01D59"/>
    <w:rsid w:val="00B01E1B"/>
    <w:rsid w:val="00B026CB"/>
    <w:rsid w:val="00B02924"/>
    <w:rsid w:val="00B0323E"/>
    <w:rsid w:val="00B034EB"/>
    <w:rsid w:val="00B03920"/>
    <w:rsid w:val="00B041F7"/>
    <w:rsid w:val="00B04901"/>
    <w:rsid w:val="00B0582B"/>
    <w:rsid w:val="00B0669A"/>
    <w:rsid w:val="00B0750C"/>
    <w:rsid w:val="00B07C1E"/>
    <w:rsid w:val="00B07D81"/>
    <w:rsid w:val="00B102D9"/>
    <w:rsid w:val="00B10A03"/>
    <w:rsid w:val="00B110CA"/>
    <w:rsid w:val="00B11349"/>
    <w:rsid w:val="00B119CB"/>
    <w:rsid w:val="00B11A0B"/>
    <w:rsid w:val="00B11D8C"/>
    <w:rsid w:val="00B11E63"/>
    <w:rsid w:val="00B123D6"/>
    <w:rsid w:val="00B140B0"/>
    <w:rsid w:val="00B14133"/>
    <w:rsid w:val="00B14DF3"/>
    <w:rsid w:val="00B153CB"/>
    <w:rsid w:val="00B15850"/>
    <w:rsid w:val="00B1629E"/>
    <w:rsid w:val="00B167E2"/>
    <w:rsid w:val="00B16D79"/>
    <w:rsid w:val="00B2033C"/>
    <w:rsid w:val="00B2050D"/>
    <w:rsid w:val="00B205B4"/>
    <w:rsid w:val="00B20A8D"/>
    <w:rsid w:val="00B212DD"/>
    <w:rsid w:val="00B21D91"/>
    <w:rsid w:val="00B225CB"/>
    <w:rsid w:val="00B22D9D"/>
    <w:rsid w:val="00B231D7"/>
    <w:rsid w:val="00B23B0A"/>
    <w:rsid w:val="00B24F6B"/>
    <w:rsid w:val="00B2500D"/>
    <w:rsid w:val="00B25BCB"/>
    <w:rsid w:val="00B266E4"/>
    <w:rsid w:val="00B26AA6"/>
    <w:rsid w:val="00B30D13"/>
    <w:rsid w:val="00B32383"/>
    <w:rsid w:val="00B33081"/>
    <w:rsid w:val="00B34C13"/>
    <w:rsid w:val="00B34DCF"/>
    <w:rsid w:val="00B34E63"/>
    <w:rsid w:val="00B34E64"/>
    <w:rsid w:val="00B35723"/>
    <w:rsid w:val="00B363EC"/>
    <w:rsid w:val="00B36537"/>
    <w:rsid w:val="00B37398"/>
    <w:rsid w:val="00B37C40"/>
    <w:rsid w:val="00B40523"/>
    <w:rsid w:val="00B43845"/>
    <w:rsid w:val="00B46246"/>
    <w:rsid w:val="00B46F0D"/>
    <w:rsid w:val="00B47E0C"/>
    <w:rsid w:val="00B502E1"/>
    <w:rsid w:val="00B51362"/>
    <w:rsid w:val="00B523B7"/>
    <w:rsid w:val="00B528F3"/>
    <w:rsid w:val="00B55D5B"/>
    <w:rsid w:val="00B57221"/>
    <w:rsid w:val="00B57997"/>
    <w:rsid w:val="00B57E83"/>
    <w:rsid w:val="00B610DF"/>
    <w:rsid w:val="00B61925"/>
    <w:rsid w:val="00B61D3B"/>
    <w:rsid w:val="00B6223E"/>
    <w:rsid w:val="00B6341D"/>
    <w:rsid w:val="00B63792"/>
    <w:rsid w:val="00B63BA9"/>
    <w:rsid w:val="00B64639"/>
    <w:rsid w:val="00B6531B"/>
    <w:rsid w:val="00B65CCC"/>
    <w:rsid w:val="00B65E97"/>
    <w:rsid w:val="00B66033"/>
    <w:rsid w:val="00B66C6A"/>
    <w:rsid w:val="00B67597"/>
    <w:rsid w:val="00B67DE3"/>
    <w:rsid w:val="00B72C3E"/>
    <w:rsid w:val="00B72F5E"/>
    <w:rsid w:val="00B73101"/>
    <w:rsid w:val="00B73B1F"/>
    <w:rsid w:val="00B73D5C"/>
    <w:rsid w:val="00B7436A"/>
    <w:rsid w:val="00B74C6F"/>
    <w:rsid w:val="00B7532F"/>
    <w:rsid w:val="00B772B0"/>
    <w:rsid w:val="00B777DE"/>
    <w:rsid w:val="00B778D4"/>
    <w:rsid w:val="00B77C99"/>
    <w:rsid w:val="00B80B25"/>
    <w:rsid w:val="00B82559"/>
    <w:rsid w:val="00B82C70"/>
    <w:rsid w:val="00B82D70"/>
    <w:rsid w:val="00B83B96"/>
    <w:rsid w:val="00B8448E"/>
    <w:rsid w:val="00B84CAD"/>
    <w:rsid w:val="00B85C9C"/>
    <w:rsid w:val="00B86145"/>
    <w:rsid w:val="00B86CFD"/>
    <w:rsid w:val="00B87460"/>
    <w:rsid w:val="00B909F7"/>
    <w:rsid w:val="00B90F4D"/>
    <w:rsid w:val="00B91CC8"/>
    <w:rsid w:val="00B91CE6"/>
    <w:rsid w:val="00B92443"/>
    <w:rsid w:val="00B92C46"/>
    <w:rsid w:val="00B9338C"/>
    <w:rsid w:val="00B941C7"/>
    <w:rsid w:val="00B9469C"/>
    <w:rsid w:val="00B94987"/>
    <w:rsid w:val="00B94F9F"/>
    <w:rsid w:val="00B95B65"/>
    <w:rsid w:val="00B967EC"/>
    <w:rsid w:val="00B974BB"/>
    <w:rsid w:val="00BA0256"/>
    <w:rsid w:val="00BA03AE"/>
    <w:rsid w:val="00BA0DD6"/>
    <w:rsid w:val="00BA36F0"/>
    <w:rsid w:val="00BA3D97"/>
    <w:rsid w:val="00BA4935"/>
    <w:rsid w:val="00BA4B03"/>
    <w:rsid w:val="00BA6D55"/>
    <w:rsid w:val="00BA7587"/>
    <w:rsid w:val="00BB054E"/>
    <w:rsid w:val="00BB05D7"/>
    <w:rsid w:val="00BB0E51"/>
    <w:rsid w:val="00BB121A"/>
    <w:rsid w:val="00BB257D"/>
    <w:rsid w:val="00BB34EB"/>
    <w:rsid w:val="00BB39C3"/>
    <w:rsid w:val="00BB3ACC"/>
    <w:rsid w:val="00BB3CA6"/>
    <w:rsid w:val="00BB3E5C"/>
    <w:rsid w:val="00BB5D6E"/>
    <w:rsid w:val="00BB645C"/>
    <w:rsid w:val="00BB651C"/>
    <w:rsid w:val="00BB7110"/>
    <w:rsid w:val="00BB72A7"/>
    <w:rsid w:val="00BB7E6D"/>
    <w:rsid w:val="00BB7F3F"/>
    <w:rsid w:val="00BC0CCB"/>
    <w:rsid w:val="00BC17F0"/>
    <w:rsid w:val="00BC286C"/>
    <w:rsid w:val="00BC3C3E"/>
    <w:rsid w:val="00BC44E5"/>
    <w:rsid w:val="00BC4A7B"/>
    <w:rsid w:val="00BC55CD"/>
    <w:rsid w:val="00BC563D"/>
    <w:rsid w:val="00BC592B"/>
    <w:rsid w:val="00BC71C9"/>
    <w:rsid w:val="00BC72DF"/>
    <w:rsid w:val="00BC7B59"/>
    <w:rsid w:val="00BC7D75"/>
    <w:rsid w:val="00BD0B83"/>
    <w:rsid w:val="00BD0CD5"/>
    <w:rsid w:val="00BD192F"/>
    <w:rsid w:val="00BD2518"/>
    <w:rsid w:val="00BD2A42"/>
    <w:rsid w:val="00BD2D91"/>
    <w:rsid w:val="00BD57F6"/>
    <w:rsid w:val="00BD5923"/>
    <w:rsid w:val="00BD6D22"/>
    <w:rsid w:val="00BD6DB1"/>
    <w:rsid w:val="00BE0F74"/>
    <w:rsid w:val="00BE1551"/>
    <w:rsid w:val="00BE213D"/>
    <w:rsid w:val="00BE3ED6"/>
    <w:rsid w:val="00BE4431"/>
    <w:rsid w:val="00BE52A7"/>
    <w:rsid w:val="00BE5751"/>
    <w:rsid w:val="00BE57CB"/>
    <w:rsid w:val="00BE5D3D"/>
    <w:rsid w:val="00BE611E"/>
    <w:rsid w:val="00BE62D6"/>
    <w:rsid w:val="00BE7B9B"/>
    <w:rsid w:val="00BE7DF9"/>
    <w:rsid w:val="00BE7E8D"/>
    <w:rsid w:val="00BF0B4E"/>
    <w:rsid w:val="00BF0BD4"/>
    <w:rsid w:val="00BF0C1A"/>
    <w:rsid w:val="00BF1D47"/>
    <w:rsid w:val="00BF1DE1"/>
    <w:rsid w:val="00BF3273"/>
    <w:rsid w:val="00BF3813"/>
    <w:rsid w:val="00BF3C0A"/>
    <w:rsid w:val="00BF5056"/>
    <w:rsid w:val="00BF6559"/>
    <w:rsid w:val="00BF71BD"/>
    <w:rsid w:val="00BF79DD"/>
    <w:rsid w:val="00BF7AC7"/>
    <w:rsid w:val="00C00117"/>
    <w:rsid w:val="00C015EF"/>
    <w:rsid w:val="00C0201E"/>
    <w:rsid w:val="00C02230"/>
    <w:rsid w:val="00C02549"/>
    <w:rsid w:val="00C02BDC"/>
    <w:rsid w:val="00C0309E"/>
    <w:rsid w:val="00C03E17"/>
    <w:rsid w:val="00C03FCB"/>
    <w:rsid w:val="00C04470"/>
    <w:rsid w:val="00C071A4"/>
    <w:rsid w:val="00C07FCF"/>
    <w:rsid w:val="00C10A15"/>
    <w:rsid w:val="00C11F58"/>
    <w:rsid w:val="00C128E0"/>
    <w:rsid w:val="00C1354B"/>
    <w:rsid w:val="00C13F31"/>
    <w:rsid w:val="00C15971"/>
    <w:rsid w:val="00C1691A"/>
    <w:rsid w:val="00C16D84"/>
    <w:rsid w:val="00C17565"/>
    <w:rsid w:val="00C208CA"/>
    <w:rsid w:val="00C21CE0"/>
    <w:rsid w:val="00C221BE"/>
    <w:rsid w:val="00C2223B"/>
    <w:rsid w:val="00C22250"/>
    <w:rsid w:val="00C22386"/>
    <w:rsid w:val="00C2284E"/>
    <w:rsid w:val="00C2290E"/>
    <w:rsid w:val="00C23348"/>
    <w:rsid w:val="00C23A12"/>
    <w:rsid w:val="00C246C3"/>
    <w:rsid w:val="00C246FD"/>
    <w:rsid w:val="00C247D5"/>
    <w:rsid w:val="00C24F65"/>
    <w:rsid w:val="00C24FF0"/>
    <w:rsid w:val="00C25025"/>
    <w:rsid w:val="00C256DC"/>
    <w:rsid w:val="00C25CAA"/>
    <w:rsid w:val="00C26906"/>
    <w:rsid w:val="00C26C58"/>
    <w:rsid w:val="00C27195"/>
    <w:rsid w:val="00C30D56"/>
    <w:rsid w:val="00C31053"/>
    <w:rsid w:val="00C326FF"/>
    <w:rsid w:val="00C33021"/>
    <w:rsid w:val="00C33488"/>
    <w:rsid w:val="00C33CC4"/>
    <w:rsid w:val="00C34909"/>
    <w:rsid w:val="00C34EB9"/>
    <w:rsid w:val="00C353F7"/>
    <w:rsid w:val="00C356D0"/>
    <w:rsid w:val="00C35892"/>
    <w:rsid w:val="00C36F39"/>
    <w:rsid w:val="00C37169"/>
    <w:rsid w:val="00C41043"/>
    <w:rsid w:val="00C416F5"/>
    <w:rsid w:val="00C4226A"/>
    <w:rsid w:val="00C43691"/>
    <w:rsid w:val="00C45179"/>
    <w:rsid w:val="00C45384"/>
    <w:rsid w:val="00C47510"/>
    <w:rsid w:val="00C47B4F"/>
    <w:rsid w:val="00C509FD"/>
    <w:rsid w:val="00C50BE1"/>
    <w:rsid w:val="00C5125F"/>
    <w:rsid w:val="00C52EB2"/>
    <w:rsid w:val="00C53869"/>
    <w:rsid w:val="00C53A9A"/>
    <w:rsid w:val="00C542D7"/>
    <w:rsid w:val="00C54906"/>
    <w:rsid w:val="00C55456"/>
    <w:rsid w:val="00C555A7"/>
    <w:rsid w:val="00C55885"/>
    <w:rsid w:val="00C55AFE"/>
    <w:rsid w:val="00C574EE"/>
    <w:rsid w:val="00C5794A"/>
    <w:rsid w:val="00C579D5"/>
    <w:rsid w:val="00C6212F"/>
    <w:rsid w:val="00C62465"/>
    <w:rsid w:val="00C63026"/>
    <w:rsid w:val="00C63053"/>
    <w:rsid w:val="00C632CF"/>
    <w:rsid w:val="00C63DAF"/>
    <w:rsid w:val="00C6517A"/>
    <w:rsid w:val="00C660CA"/>
    <w:rsid w:val="00C6683F"/>
    <w:rsid w:val="00C67707"/>
    <w:rsid w:val="00C677F0"/>
    <w:rsid w:val="00C67901"/>
    <w:rsid w:val="00C71044"/>
    <w:rsid w:val="00C72357"/>
    <w:rsid w:val="00C727B5"/>
    <w:rsid w:val="00C72A8C"/>
    <w:rsid w:val="00C72DE8"/>
    <w:rsid w:val="00C736CC"/>
    <w:rsid w:val="00C73EC8"/>
    <w:rsid w:val="00C752CA"/>
    <w:rsid w:val="00C75436"/>
    <w:rsid w:val="00C75984"/>
    <w:rsid w:val="00C762C1"/>
    <w:rsid w:val="00C76EDF"/>
    <w:rsid w:val="00C8017F"/>
    <w:rsid w:val="00C80827"/>
    <w:rsid w:val="00C8092D"/>
    <w:rsid w:val="00C80C65"/>
    <w:rsid w:val="00C810A9"/>
    <w:rsid w:val="00C82130"/>
    <w:rsid w:val="00C824B0"/>
    <w:rsid w:val="00C83A50"/>
    <w:rsid w:val="00C83B68"/>
    <w:rsid w:val="00C83BF7"/>
    <w:rsid w:val="00C84C8F"/>
    <w:rsid w:val="00C84D6A"/>
    <w:rsid w:val="00C8563D"/>
    <w:rsid w:val="00C859B5"/>
    <w:rsid w:val="00C86088"/>
    <w:rsid w:val="00C86186"/>
    <w:rsid w:val="00C866B3"/>
    <w:rsid w:val="00C866CE"/>
    <w:rsid w:val="00C870B8"/>
    <w:rsid w:val="00C87100"/>
    <w:rsid w:val="00C87169"/>
    <w:rsid w:val="00C87224"/>
    <w:rsid w:val="00C87EF0"/>
    <w:rsid w:val="00C902FF"/>
    <w:rsid w:val="00C90361"/>
    <w:rsid w:val="00C90FD4"/>
    <w:rsid w:val="00C911FE"/>
    <w:rsid w:val="00C91966"/>
    <w:rsid w:val="00C91B59"/>
    <w:rsid w:val="00C928D3"/>
    <w:rsid w:val="00C929EB"/>
    <w:rsid w:val="00C92A07"/>
    <w:rsid w:val="00C92B76"/>
    <w:rsid w:val="00C941AB"/>
    <w:rsid w:val="00C949D7"/>
    <w:rsid w:val="00C9519A"/>
    <w:rsid w:val="00C95384"/>
    <w:rsid w:val="00C95CB0"/>
    <w:rsid w:val="00C96000"/>
    <w:rsid w:val="00C966E0"/>
    <w:rsid w:val="00C9718E"/>
    <w:rsid w:val="00C975E4"/>
    <w:rsid w:val="00C97860"/>
    <w:rsid w:val="00C97F45"/>
    <w:rsid w:val="00CA16A4"/>
    <w:rsid w:val="00CA24F2"/>
    <w:rsid w:val="00CA2E7E"/>
    <w:rsid w:val="00CA47D0"/>
    <w:rsid w:val="00CA523E"/>
    <w:rsid w:val="00CA5594"/>
    <w:rsid w:val="00CA5A2A"/>
    <w:rsid w:val="00CA5AF3"/>
    <w:rsid w:val="00CA7351"/>
    <w:rsid w:val="00CA7D69"/>
    <w:rsid w:val="00CB0797"/>
    <w:rsid w:val="00CB227A"/>
    <w:rsid w:val="00CB2D65"/>
    <w:rsid w:val="00CB39A5"/>
    <w:rsid w:val="00CB3A2A"/>
    <w:rsid w:val="00CB3B8F"/>
    <w:rsid w:val="00CB5243"/>
    <w:rsid w:val="00CB59BF"/>
    <w:rsid w:val="00CB5C7F"/>
    <w:rsid w:val="00CB5D11"/>
    <w:rsid w:val="00CB5D2A"/>
    <w:rsid w:val="00CB7665"/>
    <w:rsid w:val="00CB7E6A"/>
    <w:rsid w:val="00CC04FC"/>
    <w:rsid w:val="00CC092E"/>
    <w:rsid w:val="00CC110C"/>
    <w:rsid w:val="00CC23B5"/>
    <w:rsid w:val="00CC3E38"/>
    <w:rsid w:val="00CC402D"/>
    <w:rsid w:val="00CC4D9A"/>
    <w:rsid w:val="00CC4E7A"/>
    <w:rsid w:val="00CC57BF"/>
    <w:rsid w:val="00CC63C1"/>
    <w:rsid w:val="00CC6F95"/>
    <w:rsid w:val="00CD3994"/>
    <w:rsid w:val="00CD3B78"/>
    <w:rsid w:val="00CD42C7"/>
    <w:rsid w:val="00CD5094"/>
    <w:rsid w:val="00CD596D"/>
    <w:rsid w:val="00CD59CB"/>
    <w:rsid w:val="00CD6DD1"/>
    <w:rsid w:val="00CD6E4A"/>
    <w:rsid w:val="00CD7915"/>
    <w:rsid w:val="00CE0026"/>
    <w:rsid w:val="00CE1039"/>
    <w:rsid w:val="00CE1E2F"/>
    <w:rsid w:val="00CE1EF2"/>
    <w:rsid w:val="00CE23C5"/>
    <w:rsid w:val="00CE271F"/>
    <w:rsid w:val="00CE35E5"/>
    <w:rsid w:val="00CE3DC6"/>
    <w:rsid w:val="00CE3E2F"/>
    <w:rsid w:val="00CE59E7"/>
    <w:rsid w:val="00CE62A7"/>
    <w:rsid w:val="00CE671A"/>
    <w:rsid w:val="00CE67DB"/>
    <w:rsid w:val="00CF0101"/>
    <w:rsid w:val="00CF0ADE"/>
    <w:rsid w:val="00CF290B"/>
    <w:rsid w:val="00CF2D9C"/>
    <w:rsid w:val="00CF31F0"/>
    <w:rsid w:val="00CF5BD0"/>
    <w:rsid w:val="00CF6C4C"/>
    <w:rsid w:val="00CF7BF6"/>
    <w:rsid w:val="00D0021D"/>
    <w:rsid w:val="00D003DC"/>
    <w:rsid w:val="00D0434B"/>
    <w:rsid w:val="00D04E8D"/>
    <w:rsid w:val="00D0512C"/>
    <w:rsid w:val="00D055CD"/>
    <w:rsid w:val="00D05ADB"/>
    <w:rsid w:val="00D05B02"/>
    <w:rsid w:val="00D05C56"/>
    <w:rsid w:val="00D05C85"/>
    <w:rsid w:val="00D05EA1"/>
    <w:rsid w:val="00D06078"/>
    <w:rsid w:val="00D0695E"/>
    <w:rsid w:val="00D06A83"/>
    <w:rsid w:val="00D070D8"/>
    <w:rsid w:val="00D104AA"/>
    <w:rsid w:val="00D108E1"/>
    <w:rsid w:val="00D10D3B"/>
    <w:rsid w:val="00D111CB"/>
    <w:rsid w:val="00D11257"/>
    <w:rsid w:val="00D11925"/>
    <w:rsid w:val="00D1300D"/>
    <w:rsid w:val="00D133EF"/>
    <w:rsid w:val="00D13C50"/>
    <w:rsid w:val="00D15874"/>
    <w:rsid w:val="00D1655C"/>
    <w:rsid w:val="00D1720A"/>
    <w:rsid w:val="00D174E9"/>
    <w:rsid w:val="00D17777"/>
    <w:rsid w:val="00D179CF"/>
    <w:rsid w:val="00D17A54"/>
    <w:rsid w:val="00D21D0E"/>
    <w:rsid w:val="00D22106"/>
    <w:rsid w:val="00D2462B"/>
    <w:rsid w:val="00D255FF"/>
    <w:rsid w:val="00D26C88"/>
    <w:rsid w:val="00D27255"/>
    <w:rsid w:val="00D275B1"/>
    <w:rsid w:val="00D2780B"/>
    <w:rsid w:val="00D27B0C"/>
    <w:rsid w:val="00D27BAC"/>
    <w:rsid w:val="00D300AD"/>
    <w:rsid w:val="00D302EB"/>
    <w:rsid w:val="00D318D3"/>
    <w:rsid w:val="00D31F2E"/>
    <w:rsid w:val="00D32038"/>
    <w:rsid w:val="00D331E4"/>
    <w:rsid w:val="00D34484"/>
    <w:rsid w:val="00D349CE"/>
    <w:rsid w:val="00D35272"/>
    <w:rsid w:val="00D352F9"/>
    <w:rsid w:val="00D360C7"/>
    <w:rsid w:val="00D36BE4"/>
    <w:rsid w:val="00D404BB"/>
    <w:rsid w:val="00D40ACC"/>
    <w:rsid w:val="00D4145F"/>
    <w:rsid w:val="00D41BA2"/>
    <w:rsid w:val="00D422F0"/>
    <w:rsid w:val="00D428B5"/>
    <w:rsid w:val="00D42970"/>
    <w:rsid w:val="00D42AF0"/>
    <w:rsid w:val="00D4315D"/>
    <w:rsid w:val="00D43358"/>
    <w:rsid w:val="00D449F8"/>
    <w:rsid w:val="00D454E9"/>
    <w:rsid w:val="00D457CB"/>
    <w:rsid w:val="00D50193"/>
    <w:rsid w:val="00D527F5"/>
    <w:rsid w:val="00D528AC"/>
    <w:rsid w:val="00D52C0D"/>
    <w:rsid w:val="00D53113"/>
    <w:rsid w:val="00D5407C"/>
    <w:rsid w:val="00D5439B"/>
    <w:rsid w:val="00D54831"/>
    <w:rsid w:val="00D56EF2"/>
    <w:rsid w:val="00D57A4C"/>
    <w:rsid w:val="00D60681"/>
    <w:rsid w:val="00D6117F"/>
    <w:rsid w:val="00D61670"/>
    <w:rsid w:val="00D627BE"/>
    <w:rsid w:val="00D62D28"/>
    <w:rsid w:val="00D66652"/>
    <w:rsid w:val="00D66789"/>
    <w:rsid w:val="00D66E00"/>
    <w:rsid w:val="00D66FA8"/>
    <w:rsid w:val="00D66FB1"/>
    <w:rsid w:val="00D7042B"/>
    <w:rsid w:val="00D714E9"/>
    <w:rsid w:val="00D71800"/>
    <w:rsid w:val="00D7182A"/>
    <w:rsid w:val="00D72076"/>
    <w:rsid w:val="00D726C6"/>
    <w:rsid w:val="00D7280F"/>
    <w:rsid w:val="00D737B6"/>
    <w:rsid w:val="00D73A34"/>
    <w:rsid w:val="00D76B26"/>
    <w:rsid w:val="00D77608"/>
    <w:rsid w:val="00D8090A"/>
    <w:rsid w:val="00D809C5"/>
    <w:rsid w:val="00D81061"/>
    <w:rsid w:val="00D8144E"/>
    <w:rsid w:val="00D81945"/>
    <w:rsid w:val="00D81C6F"/>
    <w:rsid w:val="00D821FD"/>
    <w:rsid w:val="00D82EE4"/>
    <w:rsid w:val="00D82F22"/>
    <w:rsid w:val="00D83CE3"/>
    <w:rsid w:val="00D83E85"/>
    <w:rsid w:val="00D84C26"/>
    <w:rsid w:val="00D85FAF"/>
    <w:rsid w:val="00D86500"/>
    <w:rsid w:val="00D869F5"/>
    <w:rsid w:val="00D91D11"/>
    <w:rsid w:val="00D92E81"/>
    <w:rsid w:val="00D93B36"/>
    <w:rsid w:val="00D93CF0"/>
    <w:rsid w:val="00D93DAE"/>
    <w:rsid w:val="00D93E2C"/>
    <w:rsid w:val="00D94168"/>
    <w:rsid w:val="00D94C24"/>
    <w:rsid w:val="00D95701"/>
    <w:rsid w:val="00D95730"/>
    <w:rsid w:val="00D971D9"/>
    <w:rsid w:val="00D9730C"/>
    <w:rsid w:val="00D977AC"/>
    <w:rsid w:val="00DA0B67"/>
    <w:rsid w:val="00DA2040"/>
    <w:rsid w:val="00DA277A"/>
    <w:rsid w:val="00DA29E4"/>
    <w:rsid w:val="00DA3614"/>
    <w:rsid w:val="00DA418C"/>
    <w:rsid w:val="00DA465A"/>
    <w:rsid w:val="00DA56A3"/>
    <w:rsid w:val="00DA5B24"/>
    <w:rsid w:val="00DA6082"/>
    <w:rsid w:val="00DA62F0"/>
    <w:rsid w:val="00DA6350"/>
    <w:rsid w:val="00DA69D0"/>
    <w:rsid w:val="00DA6A59"/>
    <w:rsid w:val="00DA6CD9"/>
    <w:rsid w:val="00DA70A6"/>
    <w:rsid w:val="00DA70B2"/>
    <w:rsid w:val="00DA7AE3"/>
    <w:rsid w:val="00DB0B03"/>
    <w:rsid w:val="00DB0C59"/>
    <w:rsid w:val="00DB0D27"/>
    <w:rsid w:val="00DB105F"/>
    <w:rsid w:val="00DB14E4"/>
    <w:rsid w:val="00DB1CF3"/>
    <w:rsid w:val="00DB2A42"/>
    <w:rsid w:val="00DB34C4"/>
    <w:rsid w:val="00DB3A21"/>
    <w:rsid w:val="00DB507C"/>
    <w:rsid w:val="00DB5A9F"/>
    <w:rsid w:val="00DB6011"/>
    <w:rsid w:val="00DB68F8"/>
    <w:rsid w:val="00DB7074"/>
    <w:rsid w:val="00DC0264"/>
    <w:rsid w:val="00DC053C"/>
    <w:rsid w:val="00DC0B08"/>
    <w:rsid w:val="00DC1488"/>
    <w:rsid w:val="00DC15A6"/>
    <w:rsid w:val="00DC1F3E"/>
    <w:rsid w:val="00DC240B"/>
    <w:rsid w:val="00DC346F"/>
    <w:rsid w:val="00DC3569"/>
    <w:rsid w:val="00DC3CC8"/>
    <w:rsid w:val="00DC4707"/>
    <w:rsid w:val="00DC4715"/>
    <w:rsid w:val="00DC4795"/>
    <w:rsid w:val="00DC5085"/>
    <w:rsid w:val="00DC51B5"/>
    <w:rsid w:val="00DC52C1"/>
    <w:rsid w:val="00DC6F5A"/>
    <w:rsid w:val="00DC70B1"/>
    <w:rsid w:val="00DC728C"/>
    <w:rsid w:val="00DC72B8"/>
    <w:rsid w:val="00DC7307"/>
    <w:rsid w:val="00DC7591"/>
    <w:rsid w:val="00DC75FB"/>
    <w:rsid w:val="00DD01C1"/>
    <w:rsid w:val="00DD0726"/>
    <w:rsid w:val="00DD275F"/>
    <w:rsid w:val="00DD424A"/>
    <w:rsid w:val="00DD4CA2"/>
    <w:rsid w:val="00DD4F1E"/>
    <w:rsid w:val="00DD4F7C"/>
    <w:rsid w:val="00DD510F"/>
    <w:rsid w:val="00DD578F"/>
    <w:rsid w:val="00DD5E27"/>
    <w:rsid w:val="00DD62E2"/>
    <w:rsid w:val="00DD62FE"/>
    <w:rsid w:val="00DD665E"/>
    <w:rsid w:val="00DD6CA4"/>
    <w:rsid w:val="00DD70C0"/>
    <w:rsid w:val="00DD7316"/>
    <w:rsid w:val="00DE11F1"/>
    <w:rsid w:val="00DE1757"/>
    <w:rsid w:val="00DE17F4"/>
    <w:rsid w:val="00DE1B1F"/>
    <w:rsid w:val="00DE1C1A"/>
    <w:rsid w:val="00DE3420"/>
    <w:rsid w:val="00DE473F"/>
    <w:rsid w:val="00DE5AFA"/>
    <w:rsid w:val="00DE652C"/>
    <w:rsid w:val="00DE69E5"/>
    <w:rsid w:val="00DE6DD2"/>
    <w:rsid w:val="00DE6E62"/>
    <w:rsid w:val="00DE7716"/>
    <w:rsid w:val="00DE785F"/>
    <w:rsid w:val="00DE7945"/>
    <w:rsid w:val="00DF101C"/>
    <w:rsid w:val="00DF2A20"/>
    <w:rsid w:val="00DF31D2"/>
    <w:rsid w:val="00DF3BA3"/>
    <w:rsid w:val="00DF45E6"/>
    <w:rsid w:val="00DF4B8F"/>
    <w:rsid w:val="00DF67A7"/>
    <w:rsid w:val="00DF6E5E"/>
    <w:rsid w:val="00DF725E"/>
    <w:rsid w:val="00E00C9F"/>
    <w:rsid w:val="00E01544"/>
    <w:rsid w:val="00E016CD"/>
    <w:rsid w:val="00E02635"/>
    <w:rsid w:val="00E03525"/>
    <w:rsid w:val="00E041D2"/>
    <w:rsid w:val="00E04615"/>
    <w:rsid w:val="00E04A89"/>
    <w:rsid w:val="00E04A8A"/>
    <w:rsid w:val="00E05DC3"/>
    <w:rsid w:val="00E10BF5"/>
    <w:rsid w:val="00E110F8"/>
    <w:rsid w:val="00E11D35"/>
    <w:rsid w:val="00E123C2"/>
    <w:rsid w:val="00E13B08"/>
    <w:rsid w:val="00E13D80"/>
    <w:rsid w:val="00E14AFF"/>
    <w:rsid w:val="00E14B6B"/>
    <w:rsid w:val="00E14D8E"/>
    <w:rsid w:val="00E14E1C"/>
    <w:rsid w:val="00E155CD"/>
    <w:rsid w:val="00E15DF2"/>
    <w:rsid w:val="00E1625F"/>
    <w:rsid w:val="00E169B4"/>
    <w:rsid w:val="00E16D68"/>
    <w:rsid w:val="00E17FEF"/>
    <w:rsid w:val="00E21BDD"/>
    <w:rsid w:val="00E22EA9"/>
    <w:rsid w:val="00E23653"/>
    <w:rsid w:val="00E2414E"/>
    <w:rsid w:val="00E24B80"/>
    <w:rsid w:val="00E254B8"/>
    <w:rsid w:val="00E2551F"/>
    <w:rsid w:val="00E2559F"/>
    <w:rsid w:val="00E2589A"/>
    <w:rsid w:val="00E2624C"/>
    <w:rsid w:val="00E2762D"/>
    <w:rsid w:val="00E302DF"/>
    <w:rsid w:val="00E314FA"/>
    <w:rsid w:val="00E31CFD"/>
    <w:rsid w:val="00E32DC4"/>
    <w:rsid w:val="00E3525E"/>
    <w:rsid w:val="00E35A31"/>
    <w:rsid w:val="00E36A98"/>
    <w:rsid w:val="00E3706A"/>
    <w:rsid w:val="00E370DC"/>
    <w:rsid w:val="00E37242"/>
    <w:rsid w:val="00E40554"/>
    <w:rsid w:val="00E420B8"/>
    <w:rsid w:val="00E42CEB"/>
    <w:rsid w:val="00E437EE"/>
    <w:rsid w:val="00E43A8B"/>
    <w:rsid w:val="00E43DD3"/>
    <w:rsid w:val="00E46B8D"/>
    <w:rsid w:val="00E46DB5"/>
    <w:rsid w:val="00E46E4B"/>
    <w:rsid w:val="00E47195"/>
    <w:rsid w:val="00E47760"/>
    <w:rsid w:val="00E50A6D"/>
    <w:rsid w:val="00E51041"/>
    <w:rsid w:val="00E51E27"/>
    <w:rsid w:val="00E52A68"/>
    <w:rsid w:val="00E53464"/>
    <w:rsid w:val="00E53C91"/>
    <w:rsid w:val="00E54FE4"/>
    <w:rsid w:val="00E55F2B"/>
    <w:rsid w:val="00E56704"/>
    <w:rsid w:val="00E60296"/>
    <w:rsid w:val="00E60597"/>
    <w:rsid w:val="00E619F0"/>
    <w:rsid w:val="00E6298E"/>
    <w:rsid w:val="00E6369A"/>
    <w:rsid w:val="00E63CBC"/>
    <w:rsid w:val="00E64531"/>
    <w:rsid w:val="00E6467D"/>
    <w:rsid w:val="00E64A3C"/>
    <w:rsid w:val="00E65A70"/>
    <w:rsid w:val="00E669F4"/>
    <w:rsid w:val="00E6705B"/>
    <w:rsid w:val="00E67502"/>
    <w:rsid w:val="00E67676"/>
    <w:rsid w:val="00E677D1"/>
    <w:rsid w:val="00E7106A"/>
    <w:rsid w:val="00E7153E"/>
    <w:rsid w:val="00E731DD"/>
    <w:rsid w:val="00E73227"/>
    <w:rsid w:val="00E73FAF"/>
    <w:rsid w:val="00E74573"/>
    <w:rsid w:val="00E748CA"/>
    <w:rsid w:val="00E80772"/>
    <w:rsid w:val="00E80A6F"/>
    <w:rsid w:val="00E80E74"/>
    <w:rsid w:val="00E80FE2"/>
    <w:rsid w:val="00E81038"/>
    <w:rsid w:val="00E81DDE"/>
    <w:rsid w:val="00E820F9"/>
    <w:rsid w:val="00E82B3A"/>
    <w:rsid w:val="00E82B51"/>
    <w:rsid w:val="00E82EC5"/>
    <w:rsid w:val="00E8325A"/>
    <w:rsid w:val="00E84F03"/>
    <w:rsid w:val="00E85CB6"/>
    <w:rsid w:val="00E86673"/>
    <w:rsid w:val="00E8684E"/>
    <w:rsid w:val="00E86A7E"/>
    <w:rsid w:val="00E86E35"/>
    <w:rsid w:val="00E86ED5"/>
    <w:rsid w:val="00E8700B"/>
    <w:rsid w:val="00E8733D"/>
    <w:rsid w:val="00E8783D"/>
    <w:rsid w:val="00E90C24"/>
    <w:rsid w:val="00E91200"/>
    <w:rsid w:val="00E91682"/>
    <w:rsid w:val="00E922BD"/>
    <w:rsid w:val="00E929F5"/>
    <w:rsid w:val="00E92EDD"/>
    <w:rsid w:val="00E938E6"/>
    <w:rsid w:val="00E94244"/>
    <w:rsid w:val="00E94554"/>
    <w:rsid w:val="00E949FA"/>
    <w:rsid w:val="00E9526F"/>
    <w:rsid w:val="00E95F41"/>
    <w:rsid w:val="00E960AC"/>
    <w:rsid w:val="00E967D8"/>
    <w:rsid w:val="00E96D69"/>
    <w:rsid w:val="00E97BE0"/>
    <w:rsid w:val="00EA0261"/>
    <w:rsid w:val="00EA0F67"/>
    <w:rsid w:val="00EA2EEA"/>
    <w:rsid w:val="00EA3212"/>
    <w:rsid w:val="00EA3A8C"/>
    <w:rsid w:val="00EA3D5D"/>
    <w:rsid w:val="00EA45EC"/>
    <w:rsid w:val="00EA570C"/>
    <w:rsid w:val="00EA68A0"/>
    <w:rsid w:val="00EA78C7"/>
    <w:rsid w:val="00EB1578"/>
    <w:rsid w:val="00EB1931"/>
    <w:rsid w:val="00EB2740"/>
    <w:rsid w:val="00EB3B79"/>
    <w:rsid w:val="00EB4A1B"/>
    <w:rsid w:val="00EB527C"/>
    <w:rsid w:val="00EB5328"/>
    <w:rsid w:val="00EB566F"/>
    <w:rsid w:val="00EB5B3A"/>
    <w:rsid w:val="00EB6A1C"/>
    <w:rsid w:val="00EB6E30"/>
    <w:rsid w:val="00EB708C"/>
    <w:rsid w:val="00EB7547"/>
    <w:rsid w:val="00EC0530"/>
    <w:rsid w:val="00EC0834"/>
    <w:rsid w:val="00EC224B"/>
    <w:rsid w:val="00EC2E81"/>
    <w:rsid w:val="00EC2EC0"/>
    <w:rsid w:val="00EC367A"/>
    <w:rsid w:val="00EC3BEE"/>
    <w:rsid w:val="00EC4316"/>
    <w:rsid w:val="00EC45FF"/>
    <w:rsid w:val="00EC5C9A"/>
    <w:rsid w:val="00EC5DE9"/>
    <w:rsid w:val="00EC611F"/>
    <w:rsid w:val="00EC6646"/>
    <w:rsid w:val="00EC7D2F"/>
    <w:rsid w:val="00ED0540"/>
    <w:rsid w:val="00ED0749"/>
    <w:rsid w:val="00ED1031"/>
    <w:rsid w:val="00ED30B5"/>
    <w:rsid w:val="00ED3785"/>
    <w:rsid w:val="00ED4042"/>
    <w:rsid w:val="00ED44C1"/>
    <w:rsid w:val="00ED50E3"/>
    <w:rsid w:val="00ED5501"/>
    <w:rsid w:val="00ED5E93"/>
    <w:rsid w:val="00ED6177"/>
    <w:rsid w:val="00ED638F"/>
    <w:rsid w:val="00ED7DB9"/>
    <w:rsid w:val="00ED7E5F"/>
    <w:rsid w:val="00EE02C8"/>
    <w:rsid w:val="00EE13AF"/>
    <w:rsid w:val="00EE17DA"/>
    <w:rsid w:val="00EE17F8"/>
    <w:rsid w:val="00EE1AC6"/>
    <w:rsid w:val="00EE23F6"/>
    <w:rsid w:val="00EE27B8"/>
    <w:rsid w:val="00EE27BC"/>
    <w:rsid w:val="00EE2B21"/>
    <w:rsid w:val="00EE3088"/>
    <w:rsid w:val="00EE3D4C"/>
    <w:rsid w:val="00EE51FD"/>
    <w:rsid w:val="00EE63F3"/>
    <w:rsid w:val="00EE6F24"/>
    <w:rsid w:val="00EE77BB"/>
    <w:rsid w:val="00EE78B4"/>
    <w:rsid w:val="00EE7E5A"/>
    <w:rsid w:val="00EF02CC"/>
    <w:rsid w:val="00EF16F4"/>
    <w:rsid w:val="00EF1D8B"/>
    <w:rsid w:val="00EF1E26"/>
    <w:rsid w:val="00EF20AA"/>
    <w:rsid w:val="00EF28D6"/>
    <w:rsid w:val="00EF2976"/>
    <w:rsid w:val="00EF3008"/>
    <w:rsid w:val="00EF42C6"/>
    <w:rsid w:val="00F00077"/>
    <w:rsid w:val="00F001B9"/>
    <w:rsid w:val="00F01925"/>
    <w:rsid w:val="00F01A9D"/>
    <w:rsid w:val="00F01B40"/>
    <w:rsid w:val="00F01C4B"/>
    <w:rsid w:val="00F024BF"/>
    <w:rsid w:val="00F03617"/>
    <w:rsid w:val="00F03B9B"/>
    <w:rsid w:val="00F03D79"/>
    <w:rsid w:val="00F04D90"/>
    <w:rsid w:val="00F05D2D"/>
    <w:rsid w:val="00F07458"/>
    <w:rsid w:val="00F078C7"/>
    <w:rsid w:val="00F10AD3"/>
    <w:rsid w:val="00F11BC0"/>
    <w:rsid w:val="00F1267B"/>
    <w:rsid w:val="00F12CD7"/>
    <w:rsid w:val="00F13330"/>
    <w:rsid w:val="00F134F1"/>
    <w:rsid w:val="00F13831"/>
    <w:rsid w:val="00F1446C"/>
    <w:rsid w:val="00F14CDA"/>
    <w:rsid w:val="00F1525D"/>
    <w:rsid w:val="00F15454"/>
    <w:rsid w:val="00F1567C"/>
    <w:rsid w:val="00F1768A"/>
    <w:rsid w:val="00F178B3"/>
    <w:rsid w:val="00F20F70"/>
    <w:rsid w:val="00F2259E"/>
    <w:rsid w:val="00F22641"/>
    <w:rsid w:val="00F2316E"/>
    <w:rsid w:val="00F24526"/>
    <w:rsid w:val="00F24932"/>
    <w:rsid w:val="00F2504D"/>
    <w:rsid w:val="00F26259"/>
    <w:rsid w:val="00F26463"/>
    <w:rsid w:val="00F274C9"/>
    <w:rsid w:val="00F302A9"/>
    <w:rsid w:val="00F30560"/>
    <w:rsid w:val="00F30C60"/>
    <w:rsid w:val="00F30F0C"/>
    <w:rsid w:val="00F31498"/>
    <w:rsid w:val="00F31FCA"/>
    <w:rsid w:val="00F320FC"/>
    <w:rsid w:val="00F33235"/>
    <w:rsid w:val="00F3339B"/>
    <w:rsid w:val="00F344B9"/>
    <w:rsid w:val="00F3469B"/>
    <w:rsid w:val="00F35BCE"/>
    <w:rsid w:val="00F3643C"/>
    <w:rsid w:val="00F368B5"/>
    <w:rsid w:val="00F3706F"/>
    <w:rsid w:val="00F37D59"/>
    <w:rsid w:val="00F41D08"/>
    <w:rsid w:val="00F426C9"/>
    <w:rsid w:val="00F435D1"/>
    <w:rsid w:val="00F44DCF"/>
    <w:rsid w:val="00F44DF7"/>
    <w:rsid w:val="00F44EF0"/>
    <w:rsid w:val="00F44F19"/>
    <w:rsid w:val="00F4590F"/>
    <w:rsid w:val="00F46450"/>
    <w:rsid w:val="00F46913"/>
    <w:rsid w:val="00F46F48"/>
    <w:rsid w:val="00F47419"/>
    <w:rsid w:val="00F47BF7"/>
    <w:rsid w:val="00F5109D"/>
    <w:rsid w:val="00F5312E"/>
    <w:rsid w:val="00F53178"/>
    <w:rsid w:val="00F53324"/>
    <w:rsid w:val="00F54402"/>
    <w:rsid w:val="00F555B8"/>
    <w:rsid w:val="00F55F8B"/>
    <w:rsid w:val="00F56BBF"/>
    <w:rsid w:val="00F57214"/>
    <w:rsid w:val="00F57A6D"/>
    <w:rsid w:val="00F609C3"/>
    <w:rsid w:val="00F629EA"/>
    <w:rsid w:val="00F62E74"/>
    <w:rsid w:val="00F63141"/>
    <w:rsid w:val="00F637CE"/>
    <w:rsid w:val="00F641FC"/>
    <w:rsid w:val="00F65424"/>
    <w:rsid w:val="00F658B9"/>
    <w:rsid w:val="00F65934"/>
    <w:rsid w:val="00F65CAE"/>
    <w:rsid w:val="00F66589"/>
    <w:rsid w:val="00F667F1"/>
    <w:rsid w:val="00F66F3B"/>
    <w:rsid w:val="00F67AA7"/>
    <w:rsid w:val="00F67ECE"/>
    <w:rsid w:val="00F7023C"/>
    <w:rsid w:val="00F70741"/>
    <w:rsid w:val="00F70DFC"/>
    <w:rsid w:val="00F70F3B"/>
    <w:rsid w:val="00F750BA"/>
    <w:rsid w:val="00F75158"/>
    <w:rsid w:val="00F75EA8"/>
    <w:rsid w:val="00F763F6"/>
    <w:rsid w:val="00F764B2"/>
    <w:rsid w:val="00F7721B"/>
    <w:rsid w:val="00F775C9"/>
    <w:rsid w:val="00F7786E"/>
    <w:rsid w:val="00F80EF9"/>
    <w:rsid w:val="00F81BF0"/>
    <w:rsid w:val="00F82967"/>
    <w:rsid w:val="00F83481"/>
    <w:rsid w:val="00F83526"/>
    <w:rsid w:val="00F8363F"/>
    <w:rsid w:val="00F83BE3"/>
    <w:rsid w:val="00F84789"/>
    <w:rsid w:val="00F84FD3"/>
    <w:rsid w:val="00F852A5"/>
    <w:rsid w:val="00F854E4"/>
    <w:rsid w:val="00F875A4"/>
    <w:rsid w:val="00F87921"/>
    <w:rsid w:val="00F87B51"/>
    <w:rsid w:val="00F87F89"/>
    <w:rsid w:val="00F87FFE"/>
    <w:rsid w:val="00F90430"/>
    <w:rsid w:val="00F90841"/>
    <w:rsid w:val="00F90C2E"/>
    <w:rsid w:val="00F9165C"/>
    <w:rsid w:val="00F92A5E"/>
    <w:rsid w:val="00F92AD1"/>
    <w:rsid w:val="00F92B57"/>
    <w:rsid w:val="00F92D94"/>
    <w:rsid w:val="00F92F43"/>
    <w:rsid w:val="00F9339F"/>
    <w:rsid w:val="00F93D1C"/>
    <w:rsid w:val="00F93DF9"/>
    <w:rsid w:val="00F9546E"/>
    <w:rsid w:val="00FA01C0"/>
    <w:rsid w:val="00FA174D"/>
    <w:rsid w:val="00FA1924"/>
    <w:rsid w:val="00FA2D31"/>
    <w:rsid w:val="00FA3398"/>
    <w:rsid w:val="00FA4AF1"/>
    <w:rsid w:val="00FA6583"/>
    <w:rsid w:val="00FA68E7"/>
    <w:rsid w:val="00FA690B"/>
    <w:rsid w:val="00FA6AE0"/>
    <w:rsid w:val="00FA734B"/>
    <w:rsid w:val="00FA7365"/>
    <w:rsid w:val="00FA784C"/>
    <w:rsid w:val="00FA79E3"/>
    <w:rsid w:val="00FB01AA"/>
    <w:rsid w:val="00FB0B61"/>
    <w:rsid w:val="00FB0CCC"/>
    <w:rsid w:val="00FB1991"/>
    <w:rsid w:val="00FB1A9E"/>
    <w:rsid w:val="00FB1D24"/>
    <w:rsid w:val="00FB3956"/>
    <w:rsid w:val="00FB4F42"/>
    <w:rsid w:val="00FB67B2"/>
    <w:rsid w:val="00FB757B"/>
    <w:rsid w:val="00FC133E"/>
    <w:rsid w:val="00FC19E7"/>
    <w:rsid w:val="00FC310A"/>
    <w:rsid w:val="00FC38B2"/>
    <w:rsid w:val="00FC3F39"/>
    <w:rsid w:val="00FC401E"/>
    <w:rsid w:val="00FC6019"/>
    <w:rsid w:val="00FC6251"/>
    <w:rsid w:val="00FC6A5E"/>
    <w:rsid w:val="00FC6AE0"/>
    <w:rsid w:val="00FC741F"/>
    <w:rsid w:val="00FD0D89"/>
    <w:rsid w:val="00FD0F67"/>
    <w:rsid w:val="00FD205A"/>
    <w:rsid w:val="00FD2479"/>
    <w:rsid w:val="00FD2AB5"/>
    <w:rsid w:val="00FD2EEE"/>
    <w:rsid w:val="00FD318B"/>
    <w:rsid w:val="00FD4BB6"/>
    <w:rsid w:val="00FD5007"/>
    <w:rsid w:val="00FD517A"/>
    <w:rsid w:val="00FD6F83"/>
    <w:rsid w:val="00FD7230"/>
    <w:rsid w:val="00FD7F83"/>
    <w:rsid w:val="00FE0DD0"/>
    <w:rsid w:val="00FE153E"/>
    <w:rsid w:val="00FE1AAF"/>
    <w:rsid w:val="00FE23A7"/>
    <w:rsid w:val="00FE2616"/>
    <w:rsid w:val="00FE2EE9"/>
    <w:rsid w:val="00FE3266"/>
    <w:rsid w:val="00FE5107"/>
    <w:rsid w:val="00FE5416"/>
    <w:rsid w:val="00FE5751"/>
    <w:rsid w:val="00FE5D18"/>
    <w:rsid w:val="00FE5D5D"/>
    <w:rsid w:val="00FE7472"/>
    <w:rsid w:val="00FE77FA"/>
    <w:rsid w:val="00FE79BF"/>
    <w:rsid w:val="00FF06E0"/>
    <w:rsid w:val="00FF13C4"/>
    <w:rsid w:val="00FF1D56"/>
    <w:rsid w:val="00FF1F42"/>
    <w:rsid w:val="00FF23E4"/>
    <w:rsid w:val="00FF3721"/>
    <w:rsid w:val="00FF4979"/>
    <w:rsid w:val="00FF5106"/>
    <w:rsid w:val="00FF5932"/>
    <w:rsid w:val="00FF5C1B"/>
    <w:rsid w:val="00FF6064"/>
    <w:rsid w:val="00FF699D"/>
    <w:rsid w:val="00FF6D39"/>
    <w:rsid w:val="01317706"/>
    <w:rsid w:val="04AD8631"/>
    <w:rsid w:val="05801580"/>
    <w:rsid w:val="05CF6CA6"/>
    <w:rsid w:val="095BB215"/>
    <w:rsid w:val="0A5A563F"/>
    <w:rsid w:val="0B476190"/>
    <w:rsid w:val="0C99C138"/>
    <w:rsid w:val="0CA39234"/>
    <w:rsid w:val="0E11FC5C"/>
    <w:rsid w:val="0F83D045"/>
    <w:rsid w:val="10BC6790"/>
    <w:rsid w:val="1192965C"/>
    <w:rsid w:val="13117795"/>
    <w:rsid w:val="1482FCF5"/>
    <w:rsid w:val="163CCC3A"/>
    <w:rsid w:val="1677222E"/>
    <w:rsid w:val="17EC2EB2"/>
    <w:rsid w:val="184A2180"/>
    <w:rsid w:val="1AFDDBFE"/>
    <w:rsid w:val="1BE8BB30"/>
    <w:rsid w:val="1D1B29D7"/>
    <w:rsid w:val="1DE46847"/>
    <w:rsid w:val="1E50EA4F"/>
    <w:rsid w:val="21A54F11"/>
    <w:rsid w:val="226A6CE6"/>
    <w:rsid w:val="233F672C"/>
    <w:rsid w:val="24F27C9E"/>
    <w:rsid w:val="25C3E3DA"/>
    <w:rsid w:val="289437B1"/>
    <w:rsid w:val="29833A94"/>
    <w:rsid w:val="29AEB0ED"/>
    <w:rsid w:val="2A186299"/>
    <w:rsid w:val="2A1C3445"/>
    <w:rsid w:val="2AA14A24"/>
    <w:rsid w:val="2BBAE7B5"/>
    <w:rsid w:val="2C03F8E4"/>
    <w:rsid w:val="2C2D0944"/>
    <w:rsid w:val="343E1EA9"/>
    <w:rsid w:val="348D3328"/>
    <w:rsid w:val="34C02800"/>
    <w:rsid w:val="353B21BE"/>
    <w:rsid w:val="3656881A"/>
    <w:rsid w:val="36776575"/>
    <w:rsid w:val="384157E1"/>
    <w:rsid w:val="38D1D6F7"/>
    <w:rsid w:val="39313F4B"/>
    <w:rsid w:val="3A8F6D91"/>
    <w:rsid w:val="3C2FD912"/>
    <w:rsid w:val="3D7B776A"/>
    <w:rsid w:val="409FD165"/>
    <w:rsid w:val="44359B7E"/>
    <w:rsid w:val="49405145"/>
    <w:rsid w:val="4B8A8447"/>
    <w:rsid w:val="4D30DCC7"/>
    <w:rsid w:val="4E58B9EA"/>
    <w:rsid w:val="50058187"/>
    <w:rsid w:val="5024CAA0"/>
    <w:rsid w:val="51F36A8E"/>
    <w:rsid w:val="5255CC24"/>
    <w:rsid w:val="53534A4C"/>
    <w:rsid w:val="5A3C786E"/>
    <w:rsid w:val="5A5779C4"/>
    <w:rsid w:val="5F2B28E2"/>
    <w:rsid w:val="62EA9A15"/>
    <w:rsid w:val="63165FBE"/>
    <w:rsid w:val="637CF25C"/>
    <w:rsid w:val="64EDF013"/>
    <w:rsid w:val="652714EC"/>
    <w:rsid w:val="656AC3B5"/>
    <w:rsid w:val="6896030D"/>
    <w:rsid w:val="6A6F0919"/>
    <w:rsid w:val="6B2FDE25"/>
    <w:rsid w:val="6C6979A6"/>
    <w:rsid w:val="6D939492"/>
    <w:rsid w:val="6F40FDEF"/>
    <w:rsid w:val="6F8A0F96"/>
    <w:rsid w:val="730CA637"/>
    <w:rsid w:val="7474A8BE"/>
    <w:rsid w:val="7535211E"/>
    <w:rsid w:val="77682BCD"/>
    <w:rsid w:val="77E72CD9"/>
    <w:rsid w:val="7840E82D"/>
    <w:rsid w:val="7F700F1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63193B14-9D6F-400A-992C-EB899C96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3BE"/>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99"/>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0C48C8"/>
    <w:rPr>
      <w:color w:val="0000FF"/>
      <w:u w:val="single"/>
    </w:rPr>
  </w:style>
  <w:style w:type="character" w:styleId="CommentReference">
    <w:name w:val="annotation reference"/>
    <w:basedOn w:val="DefaultParagraphFont"/>
    <w:uiPriority w:val="99"/>
    <w:semiHidden/>
    <w:unhideWhenUsed/>
    <w:rsid w:val="000C48C8"/>
    <w:rPr>
      <w:sz w:val="16"/>
      <w:szCs w:val="16"/>
    </w:rPr>
  </w:style>
  <w:style w:type="paragraph" w:styleId="CommentText">
    <w:name w:val="annotation text"/>
    <w:basedOn w:val="Normal"/>
    <w:link w:val="CommentTextChar"/>
    <w:uiPriority w:val="99"/>
    <w:unhideWhenUsed/>
    <w:rsid w:val="000C48C8"/>
    <w:rPr>
      <w:sz w:val="20"/>
      <w:szCs w:val="20"/>
    </w:rPr>
  </w:style>
  <w:style w:type="character" w:customStyle="1" w:styleId="CommentTextChar">
    <w:name w:val="Comment Text Char"/>
    <w:basedOn w:val="DefaultParagraphFont"/>
    <w:link w:val="CommentText"/>
    <w:uiPriority w:val="99"/>
    <w:rsid w:val="000C48C8"/>
    <w:rPr>
      <w:sz w:val="20"/>
      <w:szCs w:val="20"/>
    </w:rPr>
  </w:style>
  <w:style w:type="character" w:styleId="Mention">
    <w:name w:val="Mention"/>
    <w:basedOn w:val="DefaultParagraphFont"/>
    <w:uiPriority w:val="99"/>
    <w:unhideWhenUsed/>
    <w:rsid w:val="000C48C8"/>
    <w:rPr>
      <w:color w:val="2B579A"/>
      <w:shd w:val="clear" w:color="auto" w:fill="E1DFDD"/>
    </w:rPr>
  </w:style>
  <w:style w:type="paragraph" w:styleId="FootnoteText">
    <w:name w:val="footnote text"/>
    <w:basedOn w:val="Normal"/>
    <w:link w:val="FootnoteTextChar"/>
    <w:uiPriority w:val="99"/>
    <w:unhideWhenUsed/>
    <w:rsid w:val="000C48C8"/>
    <w:rPr>
      <w:sz w:val="20"/>
      <w:szCs w:val="20"/>
    </w:rPr>
  </w:style>
  <w:style w:type="character" w:customStyle="1" w:styleId="FootnoteTextChar">
    <w:name w:val="Footnote Text Char"/>
    <w:basedOn w:val="DefaultParagraphFont"/>
    <w:link w:val="FootnoteText"/>
    <w:uiPriority w:val="99"/>
    <w:rsid w:val="000C48C8"/>
    <w:rPr>
      <w:sz w:val="20"/>
      <w:szCs w:val="20"/>
    </w:rPr>
  </w:style>
  <w:style w:type="character" w:styleId="FootnoteReference">
    <w:name w:val="footnote reference"/>
    <w:basedOn w:val="DefaultParagraphFont"/>
    <w:uiPriority w:val="99"/>
    <w:unhideWhenUsed/>
    <w:rsid w:val="000C48C8"/>
    <w:rPr>
      <w:vertAlign w:val="superscript"/>
    </w:rPr>
  </w:style>
  <w:style w:type="character" w:styleId="UnresolvedMention">
    <w:name w:val="Unresolved Mention"/>
    <w:basedOn w:val="DefaultParagraphFont"/>
    <w:uiPriority w:val="99"/>
    <w:semiHidden/>
    <w:unhideWhenUsed/>
    <w:rsid w:val="007B6D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5C7F"/>
    <w:rPr>
      <w:b/>
      <w:bCs/>
    </w:rPr>
  </w:style>
  <w:style w:type="character" w:customStyle="1" w:styleId="CommentSubjectChar">
    <w:name w:val="Comment Subject Char"/>
    <w:basedOn w:val="CommentTextChar"/>
    <w:link w:val="CommentSubject"/>
    <w:uiPriority w:val="99"/>
    <w:semiHidden/>
    <w:rsid w:val="00CB5C7F"/>
    <w:rPr>
      <w:b/>
      <w:bCs/>
      <w:sz w:val="20"/>
      <w:szCs w:val="20"/>
    </w:rPr>
  </w:style>
  <w:style w:type="paragraph" w:styleId="Revision">
    <w:name w:val="Revision"/>
    <w:hidden/>
    <w:uiPriority w:val="99"/>
    <w:semiHidden/>
    <w:rsid w:val="004B3255"/>
  </w:style>
  <w:style w:type="paragraph" w:styleId="NormalWeb">
    <w:name w:val="Normal (Web)"/>
    <w:basedOn w:val="Normal"/>
    <w:uiPriority w:val="99"/>
    <w:unhideWhenUsed/>
    <w:rsid w:val="009A0E7B"/>
    <w:pPr>
      <w:spacing w:before="100" w:beforeAutospacing="1" w:after="100" w:afterAutospacing="1"/>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C97F45"/>
    <w:rPr>
      <w:color w:val="96607D" w:themeColor="followedHyperlink"/>
      <w:u w:val="single"/>
    </w:rPr>
  </w:style>
  <w:style w:type="character" w:customStyle="1" w:styleId="normaltextrun">
    <w:name w:val="normaltextrun"/>
    <w:basedOn w:val="DefaultParagraphFont"/>
    <w:rsid w:val="00402609"/>
  </w:style>
  <w:style w:type="character" w:customStyle="1" w:styleId="eop">
    <w:name w:val="eop"/>
    <w:basedOn w:val="DefaultParagraphFont"/>
    <w:rsid w:val="00402609"/>
  </w:style>
  <w:style w:type="table" w:styleId="TableGridLight">
    <w:name w:val="Grid Table Light"/>
    <w:basedOn w:val="TableNormal"/>
    <w:uiPriority w:val="40"/>
    <w:rsid w:val="00402609"/>
    <w:rPr>
      <w:rFonts w:ascii="Times New Roman" w:eastAsia="Times New Roman" w:hAnsi="Times New Roman" w:cs="Times New Roman"/>
      <w:kern w:val="0"/>
      <w:sz w:val="20"/>
      <w:szCs w:val="2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rsid w:val="008A70F8"/>
    <w:pPr>
      <w:widowControl w:val="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8A70F8"/>
    <w:pPr>
      <w:spacing w:before="80" w:after="80"/>
    </w:pPr>
    <w:rPr>
      <w:rFonts w:eastAsiaTheme="minorEastAsia"/>
      <w:kern w:val="0"/>
      <w:sz w:val="20"/>
      <w:szCs w:val="20"/>
      <w:lang w:bidi="en-US"/>
      <w14:ligatures w14:val="none"/>
    </w:rPr>
  </w:style>
  <w:style w:type="paragraph" w:styleId="BodyTextIndent3">
    <w:name w:val="Body Text Indent 3"/>
    <w:basedOn w:val="Normal"/>
    <w:link w:val="BodyTextIndent3Char"/>
    <w:unhideWhenUsed/>
    <w:rsid w:val="001D4DAA"/>
    <w:pPr>
      <w:widowControl w:val="0"/>
      <w:spacing w:after="120"/>
      <w:ind w:left="360"/>
    </w:pPr>
    <w:rPr>
      <w:rFonts w:ascii="Times New Roman" w:eastAsia="Times New Roman" w:hAnsi="Times New Roman" w:cs="Times New Roman"/>
      <w:snapToGrid w:val="0"/>
      <w:kern w:val="0"/>
      <w:sz w:val="16"/>
      <w:szCs w:val="16"/>
      <w14:ligatures w14:val="none"/>
    </w:rPr>
  </w:style>
  <w:style w:type="character" w:customStyle="1" w:styleId="BodyTextIndent3Char">
    <w:name w:val="Body Text Indent 3 Char"/>
    <w:basedOn w:val="DefaultParagraphFont"/>
    <w:link w:val="BodyTextIndent3"/>
    <w:rsid w:val="001D4DAA"/>
    <w:rPr>
      <w:rFonts w:ascii="Times New Roman" w:eastAsia="Times New Roman" w:hAnsi="Times New Roman" w:cs="Times New Roman"/>
      <w:snapToGrid w:val="0"/>
      <w:kern w:val="0"/>
      <w:sz w:val="16"/>
      <w:szCs w:val="16"/>
      <w14:ligatures w14:val="none"/>
    </w:rPr>
  </w:style>
  <w:style w:type="paragraph" w:customStyle="1" w:styleId="BulletedList">
    <w:name w:val="Bulleted List"/>
    <w:basedOn w:val="ListParagraph"/>
    <w:qFormat/>
    <w:rsid w:val="00ED30B5"/>
    <w:pPr>
      <w:numPr>
        <w:numId w:val="18"/>
      </w:numPr>
      <w:tabs>
        <w:tab w:val="num" w:pos="360"/>
      </w:tabs>
      <w:spacing w:before="200" w:after="200"/>
      <w:ind w:firstLine="0"/>
    </w:pPr>
    <w:rPr>
      <w:rFonts w:eastAsiaTheme="minorEastAsia"/>
      <w:kern w:val="0"/>
      <w:sz w:val="22"/>
      <w:lang w:bidi="en-US"/>
      <w14:ligatures w14:val="none"/>
    </w:rPr>
  </w:style>
  <w:style w:type="paragraph" w:styleId="BodyText">
    <w:name w:val="Body Text"/>
    <w:basedOn w:val="Normal"/>
    <w:link w:val="BodyTextChar"/>
    <w:uiPriority w:val="99"/>
    <w:semiHidden/>
    <w:unhideWhenUsed/>
    <w:rsid w:val="00C91966"/>
    <w:pPr>
      <w:spacing w:after="120"/>
    </w:pPr>
  </w:style>
  <w:style w:type="character" w:customStyle="1" w:styleId="BodyTextChar">
    <w:name w:val="Body Text Char"/>
    <w:basedOn w:val="DefaultParagraphFont"/>
    <w:link w:val="BodyText"/>
    <w:uiPriority w:val="99"/>
    <w:semiHidden/>
    <w:rsid w:val="00C91966"/>
  </w:style>
  <w:style w:type="paragraph" w:customStyle="1" w:styleId="paragraph">
    <w:name w:val="paragraph"/>
    <w:basedOn w:val="Normal"/>
    <w:uiPriority w:val="1"/>
    <w:rsid w:val="25C3E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58674">
      <w:bodyDiv w:val="1"/>
      <w:marLeft w:val="0"/>
      <w:marRight w:val="0"/>
      <w:marTop w:val="0"/>
      <w:marBottom w:val="0"/>
      <w:divBdr>
        <w:top w:val="none" w:sz="0" w:space="0" w:color="auto"/>
        <w:left w:val="none" w:sz="0" w:space="0" w:color="auto"/>
        <w:bottom w:val="none" w:sz="0" w:space="0" w:color="auto"/>
        <w:right w:val="none" w:sz="0" w:space="0" w:color="auto"/>
      </w:divBdr>
    </w:div>
    <w:div w:id="33622712">
      <w:bodyDiv w:val="1"/>
      <w:marLeft w:val="0"/>
      <w:marRight w:val="0"/>
      <w:marTop w:val="0"/>
      <w:marBottom w:val="0"/>
      <w:divBdr>
        <w:top w:val="none" w:sz="0" w:space="0" w:color="auto"/>
        <w:left w:val="none" w:sz="0" w:space="0" w:color="auto"/>
        <w:bottom w:val="none" w:sz="0" w:space="0" w:color="auto"/>
        <w:right w:val="none" w:sz="0" w:space="0" w:color="auto"/>
      </w:divBdr>
      <w:divsChild>
        <w:div w:id="116485388">
          <w:marLeft w:val="0"/>
          <w:marRight w:val="0"/>
          <w:marTop w:val="0"/>
          <w:marBottom w:val="0"/>
          <w:divBdr>
            <w:top w:val="none" w:sz="0" w:space="0" w:color="auto"/>
            <w:left w:val="none" w:sz="0" w:space="0" w:color="auto"/>
            <w:bottom w:val="none" w:sz="0" w:space="0" w:color="auto"/>
            <w:right w:val="none" w:sz="0" w:space="0" w:color="auto"/>
          </w:divBdr>
        </w:div>
        <w:div w:id="814956872">
          <w:marLeft w:val="0"/>
          <w:marRight w:val="0"/>
          <w:marTop w:val="0"/>
          <w:marBottom w:val="0"/>
          <w:divBdr>
            <w:top w:val="none" w:sz="0" w:space="0" w:color="auto"/>
            <w:left w:val="none" w:sz="0" w:space="0" w:color="auto"/>
            <w:bottom w:val="none" w:sz="0" w:space="0" w:color="auto"/>
            <w:right w:val="none" w:sz="0" w:space="0" w:color="auto"/>
          </w:divBdr>
        </w:div>
      </w:divsChild>
    </w:div>
    <w:div w:id="308679123">
      <w:bodyDiv w:val="1"/>
      <w:marLeft w:val="0"/>
      <w:marRight w:val="0"/>
      <w:marTop w:val="0"/>
      <w:marBottom w:val="0"/>
      <w:divBdr>
        <w:top w:val="none" w:sz="0" w:space="0" w:color="auto"/>
        <w:left w:val="none" w:sz="0" w:space="0" w:color="auto"/>
        <w:bottom w:val="none" w:sz="0" w:space="0" w:color="auto"/>
        <w:right w:val="none" w:sz="0" w:space="0" w:color="auto"/>
      </w:divBdr>
    </w:div>
    <w:div w:id="344745606">
      <w:bodyDiv w:val="1"/>
      <w:marLeft w:val="0"/>
      <w:marRight w:val="0"/>
      <w:marTop w:val="0"/>
      <w:marBottom w:val="0"/>
      <w:divBdr>
        <w:top w:val="none" w:sz="0" w:space="0" w:color="auto"/>
        <w:left w:val="none" w:sz="0" w:space="0" w:color="auto"/>
        <w:bottom w:val="none" w:sz="0" w:space="0" w:color="auto"/>
        <w:right w:val="none" w:sz="0" w:space="0" w:color="auto"/>
      </w:divBdr>
    </w:div>
    <w:div w:id="440609580">
      <w:bodyDiv w:val="1"/>
      <w:marLeft w:val="0"/>
      <w:marRight w:val="0"/>
      <w:marTop w:val="0"/>
      <w:marBottom w:val="0"/>
      <w:divBdr>
        <w:top w:val="none" w:sz="0" w:space="0" w:color="auto"/>
        <w:left w:val="none" w:sz="0" w:space="0" w:color="auto"/>
        <w:bottom w:val="none" w:sz="0" w:space="0" w:color="auto"/>
        <w:right w:val="none" w:sz="0" w:space="0" w:color="auto"/>
      </w:divBdr>
      <w:divsChild>
        <w:div w:id="796096565">
          <w:marLeft w:val="0"/>
          <w:marRight w:val="0"/>
          <w:marTop w:val="0"/>
          <w:marBottom w:val="0"/>
          <w:divBdr>
            <w:top w:val="none" w:sz="0" w:space="0" w:color="auto"/>
            <w:left w:val="none" w:sz="0" w:space="0" w:color="auto"/>
            <w:bottom w:val="none" w:sz="0" w:space="0" w:color="auto"/>
            <w:right w:val="none" w:sz="0" w:space="0" w:color="auto"/>
          </w:divBdr>
          <w:divsChild>
            <w:div w:id="1079252007">
              <w:marLeft w:val="0"/>
              <w:marRight w:val="0"/>
              <w:marTop w:val="0"/>
              <w:marBottom w:val="0"/>
              <w:divBdr>
                <w:top w:val="none" w:sz="0" w:space="0" w:color="auto"/>
                <w:left w:val="none" w:sz="0" w:space="0" w:color="auto"/>
                <w:bottom w:val="none" w:sz="0" w:space="0" w:color="auto"/>
                <w:right w:val="none" w:sz="0" w:space="0" w:color="auto"/>
              </w:divBdr>
            </w:div>
          </w:divsChild>
        </w:div>
        <w:div w:id="973481141">
          <w:marLeft w:val="0"/>
          <w:marRight w:val="0"/>
          <w:marTop w:val="0"/>
          <w:marBottom w:val="0"/>
          <w:divBdr>
            <w:top w:val="none" w:sz="0" w:space="0" w:color="auto"/>
            <w:left w:val="none" w:sz="0" w:space="0" w:color="auto"/>
            <w:bottom w:val="none" w:sz="0" w:space="0" w:color="auto"/>
            <w:right w:val="none" w:sz="0" w:space="0" w:color="auto"/>
          </w:divBdr>
          <w:divsChild>
            <w:div w:id="175003555">
              <w:marLeft w:val="0"/>
              <w:marRight w:val="0"/>
              <w:marTop w:val="0"/>
              <w:marBottom w:val="0"/>
              <w:divBdr>
                <w:top w:val="none" w:sz="0" w:space="0" w:color="auto"/>
                <w:left w:val="none" w:sz="0" w:space="0" w:color="auto"/>
                <w:bottom w:val="none" w:sz="0" w:space="0" w:color="auto"/>
                <w:right w:val="none" w:sz="0" w:space="0" w:color="auto"/>
              </w:divBdr>
            </w:div>
          </w:divsChild>
        </w:div>
        <w:div w:id="989403289">
          <w:marLeft w:val="0"/>
          <w:marRight w:val="0"/>
          <w:marTop w:val="0"/>
          <w:marBottom w:val="0"/>
          <w:divBdr>
            <w:top w:val="none" w:sz="0" w:space="0" w:color="auto"/>
            <w:left w:val="none" w:sz="0" w:space="0" w:color="auto"/>
            <w:bottom w:val="none" w:sz="0" w:space="0" w:color="auto"/>
            <w:right w:val="none" w:sz="0" w:space="0" w:color="auto"/>
          </w:divBdr>
          <w:divsChild>
            <w:div w:id="1476871372">
              <w:marLeft w:val="0"/>
              <w:marRight w:val="0"/>
              <w:marTop w:val="0"/>
              <w:marBottom w:val="0"/>
              <w:divBdr>
                <w:top w:val="none" w:sz="0" w:space="0" w:color="auto"/>
                <w:left w:val="none" w:sz="0" w:space="0" w:color="auto"/>
                <w:bottom w:val="none" w:sz="0" w:space="0" w:color="auto"/>
                <w:right w:val="none" w:sz="0" w:space="0" w:color="auto"/>
              </w:divBdr>
            </w:div>
            <w:div w:id="1542592485">
              <w:marLeft w:val="0"/>
              <w:marRight w:val="0"/>
              <w:marTop w:val="0"/>
              <w:marBottom w:val="0"/>
              <w:divBdr>
                <w:top w:val="none" w:sz="0" w:space="0" w:color="auto"/>
                <w:left w:val="none" w:sz="0" w:space="0" w:color="auto"/>
                <w:bottom w:val="none" w:sz="0" w:space="0" w:color="auto"/>
                <w:right w:val="none" w:sz="0" w:space="0" w:color="auto"/>
              </w:divBdr>
            </w:div>
          </w:divsChild>
        </w:div>
        <w:div w:id="1235628249">
          <w:marLeft w:val="0"/>
          <w:marRight w:val="0"/>
          <w:marTop w:val="0"/>
          <w:marBottom w:val="0"/>
          <w:divBdr>
            <w:top w:val="none" w:sz="0" w:space="0" w:color="auto"/>
            <w:left w:val="none" w:sz="0" w:space="0" w:color="auto"/>
            <w:bottom w:val="none" w:sz="0" w:space="0" w:color="auto"/>
            <w:right w:val="none" w:sz="0" w:space="0" w:color="auto"/>
          </w:divBdr>
          <w:divsChild>
            <w:div w:id="911962293">
              <w:marLeft w:val="0"/>
              <w:marRight w:val="0"/>
              <w:marTop w:val="0"/>
              <w:marBottom w:val="0"/>
              <w:divBdr>
                <w:top w:val="none" w:sz="0" w:space="0" w:color="auto"/>
                <w:left w:val="none" w:sz="0" w:space="0" w:color="auto"/>
                <w:bottom w:val="none" w:sz="0" w:space="0" w:color="auto"/>
                <w:right w:val="none" w:sz="0" w:space="0" w:color="auto"/>
              </w:divBdr>
            </w:div>
            <w:div w:id="1864006069">
              <w:marLeft w:val="0"/>
              <w:marRight w:val="0"/>
              <w:marTop w:val="0"/>
              <w:marBottom w:val="0"/>
              <w:divBdr>
                <w:top w:val="none" w:sz="0" w:space="0" w:color="auto"/>
                <w:left w:val="none" w:sz="0" w:space="0" w:color="auto"/>
                <w:bottom w:val="none" w:sz="0" w:space="0" w:color="auto"/>
                <w:right w:val="none" w:sz="0" w:space="0" w:color="auto"/>
              </w:divBdr>
            </w:div>
          </w:divsChild>
        </w:div>
        <w:div w:id="1311981370">
          <w:marLeft w:val="0"/>
          <w:marRight w:val="0"/>
          <w:marTop w:val="0"/>
          <w:marBottom w:val="0"/>
          <w:divBdr>
            <w:top w:val="none" w:sz="0" w:space="0" w:color="auto"/>
            <w:left w:val="none" w:sz="0" w:space="0" w:color="auto"/>
            <w:bottom w:val="none" w:sz="0" w:space="0" w:color="auto"/>
            <w:right w:val="none" w:sz="0" w:space="0" w:color="auto"/>
          </w:divBdr>
          <w:divsChild>
            <w:div w:id="59868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47096">
      <w:bodyDiv w:val="1"/>
      <w:marLeft w:val="0"/>
      <w:marRight w:val="0"/>
      <w:marTop w:val="0"/>
      <w:marBottom w:val="0"/>
      <w:divBdr>
        <w:top w:val="none" w:sz="0" w:space="0" w:color="auto"/>
        <w:left w:val="none" w:sz="0" w:space="0" w:color="auto"/>
        <w:bottom w:val="none" w:sz="0" w:space="0" w:color="auto"/>
        <w:right w:val="none" w:sz="0" w:space="0" w:color="auto"/>
      </w:divBdr>
    </w:div>
    <w:div w:id="810054630">
      <w:bodyDiv w:val="1"/>
      <w:marLeft w:val="0"/>
      <w:marRight w:val="0"/>
      <w:marTop w:val="0"/>
      <w:marBottom w:val="0"/>
      <w:divBdr>
        <w:top w:val="none" w:sz="0" w:space="0" w:color="auto"/>
        <w:left w:val="none" w:sz="0" w:space="0" w:color="auto"/>
        <w:bottom w:val="none" w:sz="0" w:space="0" w:color="auto"/>
        <w:right w:val="none" w:sz="0" w:space="0" w:color="auto"/>
      </w:divBdr>
    </w:div>
    <w:div w:id="1044254718">
      <w:bodyDiv w:val="1"/>
      <w:marLeft w:val="0"/>
      <w:marRight w:val="0"/>
      <w:marTop w:val="0"/>
      <w:marBottom w:val="0"/>
      <w:divBdr>
        <w:top w:val="none" w:sz="0" w:space="0" w:color="auto"/>
        <w:left w:val="none" w:sz="0" w:space="0" w:color="auto"/>
        <w:bottom w:val="none" w:sz="0" w:space="0" w:color="auto"/>
        <w:right w:val="none" w:sz="0" w:space="0" w:color="auto"/>
      </w:divBdr>
      <w:divsChild>
        <w:div w:id="238559069">
          <w:marLeft w:val="0"/>
          <w:marRight w:val="0"/>
          <w:marTop w:val="0"/>
          <w:marBottom w:val="0"/>
          <w:divBdr>
            <w:top w:val="none" w:sz="0" w:space="0" w:color="auto"/>
            <w:left w:val="none" w:sz="0" w:space="0" w:color="auto"/>
            <w:bottom w:val="none" w:sz="0" w:space="0" w:color="auto"/>
            <w:right w:val="none" w:sz="0" w:space="0" w:color="auto"/>
          </w:divBdr>
        </w:div>
        <w:div w:id="1772896374">
          <w:marLeft w:val="0"/>
          <w:marRight w:val="0"/>
          <w:marTop w:val="0"/>
          <w:marBottom w:val="0"/>
          <w:divBdr>
            <w:top w:val="none" w:sz="0" w:space="0" w:color="auto"/>
            <w:left w:val="none" w:sz="0" w:space="0" w:color="auto"/>
            <w:bottom w:val="none" w:sz="0" w:space="0" w:color="auto"/>
            <w:right w:val="none" w:sz="0" w:space="0" w:color="auto"/>
          </w:divBdr>
        </w:div>
      </w:divsChild>
    </w:div>
    <w:div w:id="1081828010">
      <w:bodyDiv w:val="1"/>
      <w:marLeft w:val="0"/>
      <w:marRight w:val="0"/>
      <w:marTop w:val="0"/>
      <w:marBottom w:val="0"/>
      <w:divBdr>
        <w:top w:val="none" w:sz="0" w:space="0" w:color="auto"/>
        <w:left w:val="none" w:sz="0" w:space="0" w:color="auto"/>
        <w:bottom w:val="none" w:sz="0" w:space="0" w:color="auto"/>
        <w:right w:val="none" w:sz="0" w:space="0" w:color="auto"/>
      </w:divBdr>
      <w:divsChild>
        <w:div w:id="261843718">
          <w:marLeft w:val="0"/>
          <w:marRight w:val="0"/>
          <w:marTop w:val="0"/>
          <w:marBottom w:val="0"/>
          <w:divBdr>
            <w:top w:val="none" w:sz="0" w:space="0" w:color="auto"/>
            <w:left w:val="none" w:sz="0" w:space="0" w:color="auto"/>
            <w:bottom w:val="none" w:sz="0" w:space="0" w:color="auto"/>
            <w:right w:val="none" w:sz="0" w:space="0" w:color="auto"/>
          </w:divBdr>
        </w:div>
        <w:div w:id="2001959336">
          <w:marLeft w:val="0"/>
          <w:marRight w:val="0"/>
          <w:marTop w:val="0"/>
          <w:marBottom w:val="0"/>
          <w:divBdr>
            <w:top w:val="none" w:sz="0" w:space="0" w:color="auto"/>
            <w:left w:val="none" w:sz="0" w:space="0" w:color="auto"/>
            <w:bottom w:val="none" w:sz="0" w:space="0" w:color="auto"/>
            <w:right w:val="none" w:sz="0" w:space="0" w:color="auto"/>
          </w:divBdr>
        </w:div>
      </w:divsChild>
    </w:div>
    <w:div w:id="1387101564">
      <w:bodyDiv w:val="1"/>
      <w:marLeft w:val="0"/>
      <w:marRight w:val="0"/>
      <w:marTop w:val="0"/>
      <w:marBottom w:val="0"/>
      <w:divBdr>
        <w:top w:val="none" w:sz="0" w:space="0" w:color="auto"/>
        <w:left w:val="none" w:sz="0" w:space="0" w:color="auto"/>
        <w:bottom w:val="none" w:sz="0" w:space="0" w:color="auto"/>
        <w:right w:val="none" w:sz="0" w:space="0" w:color="auto"/>
      </w:divBdr>
    </w:div>
    <w:div w:id="1396858023">
      <w:bodyDiv w:val="1"/>
      <w:marLeft w:val="0"/>
      <w:marRight w:val="0"/>
      <w:marTop w:val="0"/>
      <w:marBottom w:val="0"/>
      <w:divBdr>
        <w:top w:val="none" w:sz="0" w:space="0" w:color="auto"/>
        <w:left w:val="none" w:sz="0" w:space="0" w:color="auto"/>
        <w:bottom w:val="none" w:sz="0" w:space="0" w:color="auto"/>
        <w:right w:val="none" w:sz="0" w:space="0" w:color="auto"/>
      </w:divBdr>
    </w:div>
    <w:div w:id="1455979074">
      <w:bodyDiv w:val="1"/>
      <w:marLeft w:val="0"/>
      <w:marRight w:val="0"/>
      <w:marTop w:val="0"/>
      <w:marBottom w:val="0"/>
      <w:divBdr>
        <w:top w:val="none" w:sz="0" w:space="0" w:color="auto"/>
        <w:left w:val="none" w:sz="0" w:space="0" w:color="auto"/>
        <w:bottom w:val="none" w:sz="0" w:space="0" w:color="auto"/>
        <w:right w:val="none" w:sz="0" w:space="0" w:color="auto"/>
      </w:divBdr>
    </w:div>
    <w:div w:id="1506242239">
      <w:bodyDiv w:val="1"/>
      <w:marLeft w:val="0"/>
      <w:marRight w:val="0"/>
      <w:marTop w:val="0"/>
      <w:marBottom w:val="0"/>
      <w:divBdr>
        <w:top w:val="none" w:sz="0" w:space="0" w:color="auto"/>
        <w:left w:val="none" w:sz="0" w:space="0" w:color="auto"/>
        <w:bottom w:val="none" w:sz="0" w:space="0" w:color="auto"/>
        <w:right w:val="none" w:sz="0" w:space="0" w:color="auto"/>
      </w:divBdr>
      <w:divsChild>
        <w:div w:id="1507670646">
          <w:marLeft w:val="0"/>
          <w:marRight w:val="0"/>
          <w:marTop w:val="0"/>
          <w:marBottom w:val="0"/>
          <w:divBdr>
            <w:top w:val="none" w:sz="0" w:space="0" w:color="auto"/>
            <w:left w:val="none" w:sz="0" w:space="0" w:color="auto"/>
            <w:bottom w:val="none" w:sz="0" w:space="0" w:color="auto"/>
            <w:right w:val="none" w:sz="0" w:space="0" w:color="auto"/>
          </w:divBdr>
        </w:div>
        <w:div w:id="1554922309">
          <w:marLeft w:val="0"/>
          <w:marRight w:val="0"/>
          <w:marTop w:val="0"/>
          <w:marBottom w:val="0"/>
          <w:divBdr>
            <w:top w:val="none" w:sz="0" w:space="0" w:color="auto"/>
            <w:left w:val="none" w:sz="0" w:space="0" w:color="auto"/>
            <w:bottom w:val="none" w:sz="0" w:space="0" w:color="auto"/>
            <w:right w:val="none" w:sz="0" w:space="0" w:color="auto"/>
          </w:divBdr>
        </w:div>
      </w:divsChild>
    </w:div>
    <w:div w:id="1635914179">
      <w:bodyDiv w:val="1"/>
      <w:marLeft w:val="0"/>
      <w:marRight w:val="0"/>
      <w:marTop w:val="0"/>
      <w:marBottom w:val="0"/>
      <w:divBdr>
        <w:top w:val="none" w:sz="0" w:space="0" w:color="auto"/>
        <w:left w:val="none" w:sz="0" w:space="0" w:color="auto"/>
        <w:bottom w:val="none" w:sz="0" w:space="0" w:color="auto"/>
        <w:right w:val="none" w:sz="0" w:space="0" w:color="auto"/>
      </w:divBdr>
      <w:divsChild>
        <w:div w:id="98179863">
          <w:marLeft w:val="0"/>
          <w:marRight w:val="0"/>
          <w:marTop w:val="0"/>
          <w:marBottom w:val="0"/>
          <w:divBdr>
            <w:top w:val="none" w:sz="0" w:space="0" w:color="auto"/>
            <w:left w:val="none" w:sz="0" w:space="0" w:color="auto"/>
            <w:bottom w:val="none" w:sz="0" w:space="0" w:color="auto"/>
            <w:right w:val="none" w:sz="0" w:space="0" w:color="auto"/>
          </w:divBdr>
        </w:div>
        <w:div w:id="1094983595">
          <w:marLeft w:val="0"/>
          <w:marRight w:val="0"/>
          <w:marTop w:val="0"/>
          <w:marBottom w:val="0"/>
          <w:divBdr>
            <w:top w:val="none" w:sz="0" w:space="0" w:color="auto"/>
            <w:left w:val="none" w:sz="0" w:space="0" w:color="auto"/>
            <w:bottom w:val="none" w:sz="0" w:space="0" w:color="auto"/>
            <w:right w:val="none" w:sz="0" w:space="0" w:color="auto"/>
          </w:divBdr>
        </w:div>
      </w:divsChild>
    </w:div>
    <w:div w:id="1784807819">
      <w:bodyDiv w:val="1"/>
      <w:marLeft w:val="0"/>
      <w:marRight w:val="0"/>
      <w:marTop w:val="0"/>
      <w:marBottom w:val="0"/>
      <w:divBdr>
        <w:top w:val="none" w:sz="0" w:space="0" w:color="auto"/>
        <w:left w:val="none" w:sz="0" w:space="0" w:color="auto"/>
        <w:bottom w:val="none" w:sz="0" w:space="0" w:color="auto"/>
        <w:right w:val="none" w:sz="0" w:space="0" w:color="auto"/>
      </w:divBdr>
      <w:divsChild>
        <w:div w:id="857237591">
          <w:marLeft w:val="0"/>
          <w:marRight w:val="0"/>
          <w:marTop w:val="0"/>
          <w:marBottom w:val="0"/>
          <w:divBdr>
            <w:top w:val="none" w:sz="0" w:space="0" w:color="auto"/>
            <w:left w:val="none" w:sz="0" w:space="0" w:color="auto"/>
            <w:bottom w:val="none" w:sz="0" w:space="0" w:color="auto"/>
            <w:right w:val="none" w:sz="0" w:space="0" w:color="auto"/>
          </w:divBdr>
        </w:div>
        <w:div w:id="1847935372">
          <w:marLeft w:val="0"/>
          <w:marRight w:val="0"/>
          <w:marTop w:val="0"/>
          <w:marBottom w:val="0"/>
          <w:divBdr>
            <w:top w:val="none" w:sz="0" w:space="0" w:color="auto"/>
            <w:left w:val="none" w:sz="0" w:space="0" w:color="auto"/>
            <w:bottom w:val="none" w:sz="0" w:space="0" w:color="auto"/>
            <w:right w:val="none" w:sz="0" w:space="0" w:color="auto"/>
          </w:divBdr>
        </w:div>
      </w:divsChild>
    </w:div>
    <w:div w:id="1835877142">
      <w:bodyDiv w:val="1"/>
      <w:marLeft w:val="0"/>
      <w:marRight w:val="0"/>
      <w:marTop w:val="0"/>
      <w:marBottom w:val="0"/>
      <w:divBdr>
        <w:top w:val="none" w:sz="0" w:space="0" w:color="auto"/>
        <w:left w:val="none" w:sz="0" w:space="0" w:color="auto"/>
        <w:bottom w:val="none" w:sz="0" w:space="0" w:color="auto"/>
        <w:right w:val="none" w:sz="0" w:space="0" w:color="auto"/>
      </w:divBdr>
    </w:div>
    <w:div w:id="1921131192">
      <w:bodyDiv w:val="1"/>
      <w:marLeft w:val="0"/>
      <w:marRight w:val="0"/>
      <w:marTop w:val="0"/>
      <w:marBottom w:val="0"/>
      <w:divBdr>
        <w:top w:val="none" w:sz="0" w:space="0" w:color="auto"/>
        <w:left w:val="none" w:sz="0" w:space="0" w:color="auto"/>
        <w:bottom w:val="none" w:sz="0" w:space="0" w:color="auto"/>
        <w:right w:val="none" w:sz="0" w:space="0" w:color="auto"/>
      </w:divBdr>
    </w:div>
    <w:div w:id="2027515135">
      <w:bodyDiv w:val="1"/>
      <w:marLeft w:val="0"/>
      <w:marRight w:val="0"/>
      <w:marTop w:val="0"/>
      <w:marBottom w:val="0"/>
      <w:divBdr>
        <w:top w:val="none" w:sz="0" w:space="0" w:color="auto"/>
        <w:left w:val="none" w:sz="0" w:space="0" w:color="auto"/>
        <w:bottom w:val="none" w:sz="0" w:space="0" w:color="auto"/>
        <w:right w:val="none" w:sz="0" w:space="0" w:color="auto"/>
      </w:divBdr>
    </w:div>
    <w:div w:id="214584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yperlink" Target="https://app.powerbigov.us/view?r=eyJrIjoiODkyNWYwYmEtNjQ1Mi00MzczLTk0NzYtZDZkNzMzMTU5YmE2IiwidCI6IjNlODYxZDE2LTQ4YjctNGEwZS05ODA2LThjMDRkODFiN2IyYSJ9" TargetMode="External"/><Relationship Id="rId3" Type="http://schemas.openxmlformats.org/officeDocument/2006/relationships/customXml" Target="../customXml/item3.xml"/><Relationship Id="rId21" Type="http://schemas.openxmlformats.org/officeDocument/2006/relationships/hyperlink" Target="https://www.doe.mass.edu/charter/performance-criteria.doc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s://app.powerbigov.us/view?r=eyJrIjoiOWMyMzU4MDctNTQ4ZC00ZDZlLThkOGQtMmMxN2JjMWUxMzNlIiwidCI6IjNlODYxZDE2LTQ4YjctNGEwZS05ODA2LThjMDRkODFiN2IyYSJ9"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doe.mass.edu/charter/governance/board-amendment-guidelines.docx" TargetMode="External"/><Relationship Id="rId29" Type="http://schemas.openxmlformats.org/officeDocument/2006/relationships/hyperlink" Target="https://www.mass.gov/info-details/open-meeting-law-trainin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rofiles.doe.mass.edu/search/search.aspx?leftNavId=11238" TargetMode="External"/><Relationship Id="rId5" Type="http://schemas.openxmlformats.org/officeDocument/2006/relationships/numbering" Target="numbering.xml"/><Relationship Id="rId15" Type="http://schemas.openxmlformats.org/officeDocument/2006/relationships/hyperlink" Target="https://www.doe.mass.edu/bese/docs/fy2025/2024-10/item7.docx" TargetMode="External"/><Relationship Id="rId23" Type="http://schemas.openxmlformats.org/officeDocument/2006/relationships/hyperlink" Target="https://app.powerbigov.us/view?r=eyJrIjoiMjA5YjZiNDktYWU5MC00ODYwLWE3MjEtY2E1MzNmMzQ2ZDE2IiwidCI6IjNlODYxZDE2LTQ4YjctNGEwZS05ODA2LThjMDRkODFiN2IyYSJ9" TargetMode="External"/><Relationship Id="rId28" Type="http://schemas.openxmlformats.org/officeDocument/2006/relationships/hyperlink" Target="mailto:charterschools@mass.gov"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bese/docs/fy2025/2024-10/item7.2-schedule.docx" TargetMode="External"/><Relationship Id="rId22" Type="http://schemas.openxmlformats.org/officeDocument/2006/relationships/hyperlink" Target="https://www.doe.mass.edu/lawsregs/603cmr1.html?section=04" TargetMode="External"/><Relationship Id="rId27" Type="http://schemas.openxmlformats.org/officeDocument/2006/relationships/hyperlink" Target="https://app.powerbigov.us/view?r=eyJrIjoiNTBmODliMTYtNGZiYi00ODc4LWFlYTEtZmQ4ZDY5MzlhYTk2IiwidCI6IjNlODYxZDE2LTQ4YjctNGEwZS05ODA2LThjMDRkODFiN2IyYSJ9"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charter/enrollment/fy2026/pre-enrollment-guide.docx" TargetMode="External"/><Relationship Id="rId2" Type="http://schemas.openxmlformats.org/officeDocument/2006/relationships/hyperlink" Target="https://www.doe.mass.edu/charter/performance-criteria.docx" TargetMode="External"/><Relationship Id="rId1" Type="http://schemas.openxmlformats.org/officeDocument/2006/relationships/hyperlink" Target="https://www.doe.mass.edu/charter/enrollment/CapIncrease/" TargetMode="External"/><Relationship Id="rId4" Type="http://schemas.openxmlformats.org/officeDocument/2006/relationships/hyperlink" Target="https://www.doe.mass.edu/bese/docs/fy2019/2019-06/item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e2eea06df76dcc23dda9cddc093e98c7">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8207e8fa47fef17129f3b82376bd64f3"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dcd57df-05e8-4749-9cc8-5afe3dcd00a5" xsi:nil="true"/>
    <lcf76f155ced4ddcb4097134ff3c332f xmlns="b4f9eb54-60b0-4ef1-b507-fba3c7eb8bf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2.xml><?xml version="1.0" encoding="utf-8"?>
<ds:datastoreItem xmlns:ds="http://schemas.openxmlformats.org/officeDocument/2006/customXml" ds:itemID="{A49B4A58-4E74-4FB1-A97A-5DE1F5CD7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fdcd57df-05e8-4749-9cc8-5afe3dcd00a5"/>
    <ds:schemaRef ds:uri="b4f9eb54-60b0-4ef1-b507-fba3c7eb8bf0"/>
  </ds:schemaRefs>
</ds:datastoreItem>
</file>

<file path=customXml/itemProps4.xml><?xml version="1.0" encoding="utf-8"?>
<ds:datastoreItem xmlns:ds="http://schemas.openxmlformats.org/officeDocument/2006/customXml" ds:itemID="{3D07A341-9E8B-42BC-AEA6-54E0F793D40D}">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8230</Words>
  <Characters>46916</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Charter Schools: Amendments to Maximum Enrollment (Advanced Math and Science Academy Charter School, Edward M. Kennedy Academy for Health Careers: A Horace Mann Charter Public School, KIPP Academy Lynn Charter School, Pioneer Valley Chinese Immersion Char</vt:lpstr>
    </vt:vector>
  </TitlesOfParts>
  <Company/>
  <LinksUpToDate>false</LinksUpToDate>
  <CharactersWithSpaces>55036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Schools: Amendments to Maximum Enrollment (Advanced Math and Science Academy Charter School, Edward M. Kennedy Academy for Health Careers: A Horace Mann Charter Public School, KIPP Academy Lynn Charter School, Pioneer Valley Chinese Immersion Charter School, South Shore Charter Public School) and Region (Pioneer Valley Performing Arts Charter Public School) </dc:title>
  <dc:subject/>
  <dc:creator>DESE</dc:creator>
  <cp:keywords/>
  <dc:description/>
  <cp:lastModifiedBy>Zou, Dong (EOE)</cp:lastModifiedBy>
  <cp:revision>28</cp:revision>
  <cp:lastPrinted>2025-01-20T12:42:00Z</cp:lastPrinted>
  <dcterms:created xsi:type="dcterms:W3CDTF">2025-02-19T03:52:00Z</dcterms:created>
  <dcterms:modified xsi:type="dcterms:W3CDTF">2025-02-28T19:46:00Z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2025 12:00AM</vt:lpwstr>
  </property>
</Properties>
</file>