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CC92" w14:textId="77777777" w:rsidR="006801FE" w:rsidRDefault="006801FE" w:rsidP="008E31FA"/>
    <w:p w14:paraId="1E3EEBC9" w14:textId="2E9A7FB9" w:rsidR="006801FE" w:rsidRDefault="00116990" w:rsidP="008E31FA">
      <w:r>
        <w:rPr>
          <w:noProof/>
        </w:rPr>
        <w:drawing>
          <wp:inline distT="0" distB="0" distL="0" distR="0" wp14:anchorId="7822B299" wp14:editId="47524481">
            <wp:extent cx="3571585" cy="752475"/>
            <wp:effectExtent l="0" t="0" r="0" b="0"/>
            <wp:docPr id="6" name="Picture 6" descr="dese: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e: Massachusetts Department of Elementary and Secondary Educat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781" cy="755045"/>
                    </a:xfrm>
                    <a:prstGeom prst="rect">
                      <a:avLst/>
                    </a:prstGeom>
                  </pic:spPr>
                </pic:pic>
              </a:graphicData>
            </a:graphic>
          </wp:inline>
        </w:drawing>
      </w:r>
    </w:p>
    <w:p w14:paraId="13AA691A" w14:textId="77777777" w:rsidR="008E31FA" w:rsidRDefault="008E31FA" w:rsidP="008E31FA"/>
    <w:p w14:paraId="6EE84353" w14:textId="29BDD430" w:rsidR="006801FE" w:rsidRDefault="006801FE" w:rsidP="008E31FA"/>
    <w:p w14:paraId="7281F857" w14:textId="22737798" w:rsidR="00050025" w:rsidRDefault="00050025" w:rsidP="008E31FA"/>
    <w:p w14:paraId="42BFCFB2" w14:textId="77777777" w:rsidR="00050025" w:rsidRDefault="00050025" w:rsidP="008E31FA"/>
    <w:p w14:paraId="4ABE27B1" w14:textId="77777777" w:rsidR="00050025" w:rsidRDefault="00050025" w:rsidP="00614545">
      <w:pPr>
        <w:pStyle w:val="Title"/>
        <w:rPr>
          <w:bCs/>
          <w:szCs w:val="40"/>
        </w:rPr>
      </w:pPr>
    </w:p>
    <w:p w14:paraId="5F6BC807" w14:textId="01F35586" w:rsidR="006801FE" w:rsidRPr="006524F0" w:rsidRDefault="00A837C0" w:rsidP="00614545">
      <w:pPr>
        <w:pStyle w:val="Title"/>
        <w:rPr>
          <w:b w:val="0"/>
          <w:bCs/>
          <w:szCs w:val="40"/>
        </w:rPr>
      </w:pPr>
      <w:r>
        <w:rPr>
          <w:bCs/>
          <w:szCs w:val="40"/>
        </w:rPr>
        <w:t>Accountability Plan Guidelines</w:t>
      </w:r>
      <w:r w:rsidR="000E4CA9">
        <w:rPr>
          <w:bCs/>
          <w:szCs w:val="40"/>
        </w:rPr>
        <w:t xml:space="preserve"> For Alternative Charter Schools</w:t>
      </w:r>
    </w:p>
    <w:p w14:paraId="44E59E91" w14:textId="1B51220F" w:rsidR="006D5A5D" w:rsidRPr="00016B98" w:rsidRDefault="00A837C0" w:rsidP="00614545">
      <w:pPr>
        <w:pStyle w:val="Subtitle"/>
      </w:pPr>
      <w:r>
        <w:t>202</w:t>
      </w:r>
      <w:r w:rsidR="00446725">
        <w:t>4</w:t>
      </w:r>
    </w:p>
    <w:p w14:paraId="3800FB57" w14:textId="77777777" w:rsidR="00606FA3" w:rsidRPr="00016B98" w:rsidRDefault="00606FA3" w:rsidP="00606FA3">
      <w:pPr>
        <w:spacing w:after="0"/>
      </w:pPr>
    </w:p>
    <w:p w14:paraId="18B70A35" w14:textId="3FE19955" w:rsidR="00606FA3" w:rsidRPr="00016B98" w:rsidRDefault="00606FA3" w:rsidP="00606FA3">
      <w:pPr>
        <w:spacing w:after="0"/>
      </w:pPr>
    </w:p>
    <w:p w14:paraId="410F3F50" w14:textId="3E7CD540" w:rsidR="00606FA3" w:rsidRDefault="00606FA3" w:rsidP="00606FA3">
      <w:pPr>
        <w:spacing w:after="0"/>
      </w:pPr>
    </w:p>
    <w:p w14:paraId="00FCB26A" w14:textId="77777777" w:rsidR="00606FA3" w:rsidRDefault="00606FA3" w:rsidP="00606FA3">
      <w:pPr>
        <w:spacing w:after="0"/>
      </w:pPr>
    </w:p>
    <w:p w14:paraId="0FEF0C74" w14:textId="77777777" w:rsidR="00606FA3" w:rsidRDefault="00606FA3" w:rsidP="00606FA3">
      <w:pPr>
        <w:spacing w:after="0"/>
      </w:pPr>
    </w:p>
    <w:p w14:paraId="2FA95FCA" w14:textId="77777777" w:rsidR="00606FA3" w:rsidRDefault="00606FA3" w:rsidP="00606FA3">
      <w:pPr>
        <w:spacing w:after="0"/>
      </w:pPr>
    </w:p>
    <w:p w14:paraId="0FCC903E" w14:textId="77777777" w:rsidR="00606FA3" w:rsidRDefault="00606FA3" w:rsidP="00606FA3">
      <w:pPr>
        <w:spacing w:after="0"/>
      </w:pPr>
    </w:p>
    <w:p w14:paraId="35C6556B" w14:textId="77777777" w:rsidR="00606FA3" w:rsidRDefault="00606FA3" w:rsidP="00606FA3">
      <w:pPr>
        <w:spacing w:after="0"/>
      </w:pPr>
    </w:p>
    <w:p w14:paraId="14C7BADF" w14:textId="77777777" w:rsidR="00606FA3" w:rsidRDefault="00606FA3" w:rsidP="00606FA3">
      <w:pPr>
        <w:spacing w:after="0"/>
      </w:pPr>
    </w:p>
    <w:p w14:paraId="4D58BE0D" w14:textId="77777777" w:rsidR="00606FA3" w:rsidRDefault="00606FA3" w:rsidP="00606FA3">
      <w:pPr>
        <w:spacing w:after="0"/>
      </w:pPr>
    </w:p>
    <w:p w14:paraId="607FC5AC" w14:textId="77777777" w:rsidR="00606FA3" w:rsidRDefault="00606FA3" w:rsidP="00606FA3">
      <w:pPr>
        <w:spacing w:after="0"/>
      </w:pPr>
    </w:p>
    <w:p w14:paraId="20CF463B" w14:textId="77777777" w:rsidR="00606FA3" w:rsidRDefault="00606FA3" w:rsidP="00606FA3">
      <w:pPr>
        <w:spacing w:after="0"/>
      </w:pPr>
    </w:p>
    <w:p w14:paraId="4AC60ABE" w14:textId="77777777" w:rsidR="00606FA3" w:rsidRDefault="00606FA3" w:rsidP="00606FA3">
      <w:pPr>
        <w:spacing w:after="0"/>
      </w:pPr>
    </w:p>
    <w:p w14:paraId="2A96F58A" w14:textId="77777777" w:rsidR="00606FA3" w:rsidRDefault="00606FA3" w:rsidP="00606FA3">
      <w:pPr>
        <w:spacing w:after="0"/>
      </w:pPr>
    </w:p>
    <w:p w14:paraId="7C5672CA" w14:textId="77777777" w:rsidR="00606FA3" w:rsidRDefault="00606FA3" w:rsidP="00606FA3">
      <w:pPr>
        <w:spacing w:after="0"/>
      </w:pPr>
    </w:p>
    <w:p w14:paraId="1B7EB069" w14:textId="77777777" w:rsidR="00606FA3" w:rsidRDefault="00606FA3" w:rsidP="00606FA3">
      <w:pPr>
        <w:spacing w:after="0"/>
      </w:pPr>
    </w:p>
    <w:p w14:paraId="66427DE4" w14:textId="2E4E51EE" w:rsidR="00606FA3" w:rsidRDefault="00606FA3" w:rsidP="00606FA3">
      <w:pPr>
        <w:spacing w:after="0"/>
      </w:pPr>
    </w:p>
    <w:p w14:paraId="07E959CA" w14:textId="77777777" w:rsidR="00E739CB" w:rsidRDefault="00E739CB" w:rsidP="00606FA3">
      <w:pPr>
        <w:spacing w:after="0"/>
      </w:pPr>
    </w:p>
    <w:p w14:paraId="44ED97B1" w14:textId="77777777" w:rsidR="00E1696B" w:rsidRDefault="00E1696B" w:rsidP="00606FA3">
      <w:pPr>
        <w:spacing w:after="0"/>
        <w:rPr>
          <w:b/>
        </w:rPr>
      </w:pPr>
    </w:p>
    <w:p w14:paraId="1FE47430" w14:textId="7406D385" w:rsidR="00606FA3" w:rsidRPr="00606FA3" w:rsidRDefault="00606FA3" w:rsidP="00606FA3">
      <w:pPr>
        <w:spacing w:after="0"/>
        <w:rPr>
          <w:b/>
        </w:rPr>
      </w:pPr>
      <w:r w:rsidRPr="00606FA3">
        <w:rPr>
          <w:b/>
        </w:rPr>
        <w:t>Massachusetts Department of Elementary and Secondary Education</w:t>
      </w:r>
    </w:p>
    <w:p w14:paraId="1A4A1F8B" w14:textId="5DF6362A" w:rsidR="00606FA3" w:rsidRDefault="00446725" w:rsidP="00606FA3">
      <w:pPr>
        <w:spacing w:after="0"/>
      </w:pPr>
      <w:r>
        <w:t>135 Santilli Highway</w:t>
      </w:r>
    </w:p>
    <w:p w14:paraId="28A8E3A0" w14:textId="52C1ED79" w:rsidR="00606FA3" w:rsidRDefault="00446725" w:rsidP="00606FA3">
      <w:pPr>
        <w:spacing w:after="0"/>
      </w:pPr>
      <w:r>
        <w:t>Everett</w:t>
      </w:r>
      <w:r w:rsidR="00606FA3">
        <w:t>, MA  021</w:t>
      </w:r>
      <w:r w:rsidR="00287CA4">
        <w:t>4</w:t>
      </w:r>
      <w:r>
        <w:t>9</w:t>
      </w:r>
    </w:p>
    <w:p w14:paraId="657AD567" w14:textId="48666114" w:rsidR="00A55FAC" w:rsidRDefault="00606FA3" w:rsidP="00606FA3">
      <w:pPr>
        <w:spacing w:after="0"/>
        <w:rPr>
          <w:color w:val="FFFFFF" w:themeColor="background1"/>
          <w:spacing w:val="15"/>
          <w:szCs w:val="22"/>
        </w:rPr>
      </w:pPr>
      <w:r>
        <w:t>Phone: (781) 338-3227</w:t>
      </w:r>
      <w:r w:rsidR="00A55FAC">
        <w:br w:type="page"/>
      </w:r>
    </w:p>
    <w:p w14:paraId="3459CD53" w14:textId="14A90F63" w:rsidR="006D5D2F" w:rsidRDefault="00917E14" w:rsidP="00917E14">
      <w:pPr>
        <w:pStyle w:val="Table"/>
        <w:tabs>
          <w:tab w:val="left" w:pos="5773"/>
          <w:tab w:val="left" w:pos="8152"/>
        </w:tabs>
      </w:pPr>
      <w:r>
        <w:lastRenderedPageBreak/>
        <w:tab/>
      </w:r>
    </w:p>
    <w:p w14:paraId="34C0049C" w14:textId="77777777" w:rsidR="00AB6F35" w:rsidRDefault="00AB6F35" w:rsidP="00917E14">
      <w:pPr>
        <w:pStyle w:val="Table"/>
        <w:tabs>
          <w:tab w:val="left" w:pos="5773"/>
          <w:tab w:val="left" w:pos="8152"/>
        </w:tabs>
      </w:pPr>
    </w:p>
    <w:p w14:paraId="7426BB1F" w14:textId="52A0F700" w:rsidR="006D5D2F" w:rsidRDefault="00FF1025" w:rsidP="00FF1025">
      <w:pPr>
        <w:pStyle w:val="Table"/>
        <w:jc w:val="center"/>
      </w:pPr>
      <w:r>
        <w:rPr>
          <w:noProof/>
        </w:rPr>
        <w:drawing>
          <wp:inline distT="0" distB="0" distL="0" distR="0" wp14:anchorId="04308E66" wp14:editId="7C79CA8B">
            <wp:extent cx="2486548" cy="523875"/>
            <wp:effectExtent l="0" t="0" r="9525" b="0"/>
            <wp:docPr id="7" name="Picture 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S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538" cy="539885"/>
                    </a:xfrm>
                    <a:prstGeom prst="rect">
                      <a:avLst/>
                    </a:prstGeom>
                  </pic:spPr>
                </pic:pic>
              </a:graphicData>
            </a:graphic>
          </wp:inline>
        </w:drawing>
      </w:r>
    </w:p>
    <w:p w14:paraId="0CE58987" w14:textId="77777777" w:rsidR="006D5D2F" w:rsidRDefault="006D5D2F" w:rsidP="006D5D2F">
      <w:pPr>
        <w:pStyle w:val="Table"/>
        <w:jc w:val="center"/>
      </w:pPr>
    </w:p>
    <w:p w14:paraId="5CD9BDDB" w14:textId="77777777" w:rsidR="006D5D2F" w:rsidRDefault="006D5D2F" w:rsidP="006D5D2F">
      <w:pPr>
        <w:pStyle w:val="Table"/>
        <w:jc w:val="center"/>
      </w:pPr>
    </w:p>
    <w:p w14:paraId="28557525" w14:textId="77777777" w:rsidR="006D5D2F" w:rsidRDefault="006D5D2F" w:rsidP="006D5D2F">
      <w:pPr>
        <w:pStyle w:val="Table"/>
        <w:jc w:val="center"/>
      </w:pPr>
    </w:p>
    <w:p w14:paraId="717BC635" w14:textId="77777777" w:rsidR="006D5D2F" w:rsidRDefault="006D5D2F" w:rsidP="006D5D2F">
      <w:pPr>
        <w:pStyle w:val="Table"/>
        <w:jc w:val="center"/>
      </w:pPr>
    </w:p>
    <w:p w14:paraId="346FE12E" w14:textId="77777777" w:rsidR="006D5D2F" w:rsidRPr="005A623B" w:rsidRDefault="006D5D2F" w:rsidP="006D5D2F">
      <w:pPr>
        <w:pStyle w:val="Table"/>
        <w:jc w:val="center"/>
        <w:rPr>
          <w:sz w:val="18"/>
          <w:szCs w:val="18"/>
        </w:rPr>
      </w:pPr>
    </w:p>
    <w:p w14:paraId="431E7A5A" w14:textId="77777777" w:rsidR="006D5D2F" w:rsidRDefault="006D5D2F" w:rsidP="006D5D2F">
      <w:pPr>
        <w:pStyle w:val="Table"/>
        <w:jc w:val="center"/>
      </w:pPr>
    </w:p>
    <w:p w14:paraId="12D18EB9" w14:textId="77777777" w:rsidR="005006B8" w:rsidRPr="005A623B" w:rsidRDefault="005006B8" w:rsidP="00330B05">
      <w:pPr>
        <w:pStyle w:val="FinePrint"/>
        <w:rPr>
          <w:sz w:val="18"/>
          <w:szCs w:val="18"/>
        </w:rPr>
      </w:pPr>
    </w:p>
    <w:p w14:paraId="629A3273" w14:textId="6461B109" w:rsidR="00606FA3" w:rsidRPr="00013D3F" w:rsidRDefault="00606FA3" w:rsidP="00330B05">
      <w:pPr>
        <w:pStyle w:val="FinePrint"/>
      </w:pPr>
      <w:r w:rsidRPr="00013D3F">
        <w:t xml:space="preserve">This document was prepared by the </w:t>
      </w:r>
      <w:r w:rsidRPr="00013D3F">
        <w:br/>
        <w:t>Massachusetts Department of Elementary and Secondary Education</w:t>
      </w:r>
    </w:p>
    <w:p w14:paraId="508E599E" w14:textId="1AA71129" w:rsidR="00606FA3" w:rsidRPr="00013D3F" w:rsidRDefault="005B621D" w:rsidP="00330B05">
      <w:pPr>
        <w:pStyle w:val="FinePrint"/>
      </w:pPr>
      <w:r>
        <w:t>Russell D. Johnston</w:t>
      </w:r>
    </w:p>
    <w:p w14:paraId="0010D533" w14:textId="5A3156C9" w:rsidR="00606FA3" w:rsidRPr="00013D3F" w:rsidRDefault="005B621D" w:rsidP="00330B05">
      <w:pPr>
        <w:pStyle w:val="FinePrint"/>
      </w:pPr>
      <w:r>
        <w:t xml:space="preserve">Acting </w:t>
      </w:r>
      <w:r w:rsidR="00606FA3" w:rsidRPr="00013D3F">
        <w:t>Commissioner</w:t>
      </w:r>
    </w:p>
    <w:p w14:paraId="20CFADFE" w14:textId="77777777" w:rsidR="00606FA3" w:rsidRPr="00013D3F" w:rsidRDefault="00606FA3" w:rsidP="00330B05">
      <w:pPr>
        <w:pStyle w:val="FinePrint"/>
      </w:pPr>
    </w:p>
    <w:p w14:paraId="5A52A00C" w14:textId="77777777" w:rsidR="00606FA3" w:rsidRPr="00013D3F" w:rsidRDefault="00606FA3" w:rsidP="00330B05">
      <w:pPr>
        <w:pStyle w:val="FinePrint"/>
      </w:pPr>
      <w:r w:rsidRPr="00013D3F">
        <w:t xml:space="preserve">The Massachusetts Department of Elementary and Secondary Education, an affirmative action employer, is committed to ensuring that </w:t>
      </w:r>
      <w:proofErr w:type="gramStart"/>
      <w:r w:rsidRPr="00013D3F">
        <w:t>all of</w:t>
      </w:r>
      <w:proofErr w:type="gramEnd"/>
      <w:r w:rsidRPr="00013D3F">
        <w:t xml:space="preserve"> its programs and facilities are accessible to all members of the public.</w:t>
      </w:r>
    </w:p>
    <w:p w14:paraId="2ED2CB5F" w14:textId="77777777" w:rsidR="00606FA3" w:rsidRPr="00013D3F" w:rsidRDefault="00606FA3" w:rsidP="00330B05">
      <w:pPr>
        <w:pStyle w:val="FinePrint"/>
      </w:pPr>
      <w:r w:rsidRPr="00013D3F">
        <w:t>We do not discriminate on the basis of age, color, disability, national origin, race, religion, sex, gender identity, or sexual orientation.</w:t>
      </w:r>
    </w:p>
    <w:p w14:paraId="67D0BB46" w14:textId="77777777" w:rsidR="00606FA3" w:rsidRPr="00013D3F" w:rsidRDefault="00606FA3" w:rsidP="00330B05">
      <w:pPr>
        <w:pStyle w:val="FinePrint"/>
      </w:pPr>
      <w:r w:rsidRPr="00013D3F">
        <w:t>Inquiries regarding the Department’s compliance with Title IX and other civil rights laws may be directed to the</w:t>
      </w:r>
    </w:p>
    <w:p w14:paraId="4DAD5C5F" w14:textId="09DDC187" w:rsidR="00606FA3" w:rsidRPr="00013D3F" w:rsidRDefault="00606FA3" w:rsidP="00330B05">
      <w:pPr>
        <w:pStyle w:val="FinePrint"/>
      </w:pPr>
      <w:r w:rsidRPr="00013D3F">
        <w:t xml:space="preserve">Human Resources Director, </w:t>
      </w:r>
      <w:r w:rsidR="005B621D">
        <w:rPr>
          <w:snapToGrid w:val="0"/>
        </w:rPr>
        <w:t>135 Santilli Highway</w:t>
      </w:r>
      <w:r w:rsidRPr="00013D3F">
        <w:t xml:space="preserve">, </w:t>
      </w:r>
      <w:r w:rsidR="005B621D">
        <w:t>Everett</w:t>
      </w:r>
      <w:r w:rsidRPr="00013D3F">
        <w:t>, MA 0214</w:t>
      </w:r>
      <w:r w:rsidR="00E1696B">
        <w:t>9</w:t>
      </w:r>
      <w:r w:rsidRPr="00013D3F">
        <w:t>. Phone: 781-338-6105.</w:t>
      </w:r>
    </w:p>
    <w:p w14:paraId="0EBD9097" w14:textId="77777777" w:rsidR="00606FA3" w:rsidRPr="00013D3F" w:rsidRDefault="00606FA3" w:rsidP="00330B05">
      <w:pPr>
        <w:pStyle w:val="FinePrint"/>
      </w:pPr>
    </w:p>
    <w:p w14:paraId="1960AFCC" w14:textId="77777777" w:rsidR="00606FA3" w:rsidRPr="00013D3F" w:rsidRDefault="00606FA3" w:rsidP="00330B05">
      <w:pPr>
        <w:pStyle w:val="FinePrint"/>
      </w:pPr>
    </w:p>
    <w:p w14:paraId="2D44EEC4" w14:textId="1B55FF88" w:rsidR="00606FA3" w:rsidRPr="00013D3F" w:rsidRDefault="00B45255" w:rsidP="00330B05">
      <w:pPr>
        <w:pStyle w:val="FinePrint"/>
      </w:pPr>
      <w:r>
        <w:t>© 202</w:t>
      </w:r>
      <w:r w:rsidR="00E1696B">
        <w:t>4</w:t>
      </w:r>
      <w:r w:rsidR="00606FA3" w:rsidRPr="00013D3F">
        <w:t xml:space="preserve"> Massachusetts Department of Elementary and Secondary Education</w:t>
      </w:r>
    </w:p>
    <w:p w14:paraId="48889DE2" w14:textId="77777777" w:rsidR="00606FA3" w:rsidRPr="006D5D2F" w:rsidRDefault="00606FA3" w:rsidP="00330B05">
      <w:pPr>
        <w:pStyle w:val="FinePrint"/>
      </w:pPr>
      <w:r w:rsidRPr="006D5D2F">
        <w:t>Permission is hereby granted to copy any or all parts of this document for non-commercial educational purposes. Please credit the “Massachusetts Department of Elementary and Secondary Education.”</w:t>
      </w:r>
    </w:p>
    <w:p w14:paraId="3C1DC849" w14:textId="77777777" w:rsidR="00606FA3" w:rsidRDefault="00606FA3" w:rsidP="00330B05">
      <w:pPr>
        <w:pStyle w:val="FinePrint"/>
      </w:pPr>
    </w:p>
    <w:p w14:paraId="5D99628C" w14:textId="77777777" w:rsidR="006D5D2F" w:rsidRPr="00013D3F" w:rsidRDefault="006D5D2F" w:rsidP="00330B05">
      <w:pPr>
        <w:pStyle w:val="FinePrint"/>
      </w:pPr>
    </w:p>
    <w:p w14:paraId="60668061" w14:textId="77777777" w:rsidR="00606FA3" w:rsidRPr="00013D3F" w:rsidRDefault="00606FA3" w:rsidP="00330B05">
      <w:pPr>
        <w:pStyle w:val="FinePrint"/>
      </w:pPr>
      <w:r w:rsidRPr="00013D3F">
        <w:t>This document printed on recycled paper</w:t>
      </w:r>
    </w:p>
    <w:p w14:paraId="5757FC2D" w14:textId="77777777" w:rsidR="00606FA3" w:rsidRPr="00013D3F" w:rsidRDefault="00606FA3" w:rsidP="00330B05">
      <w:pPr>
        <w:pStyle w:val="FinePrint"/>
      </w:pPr>
    </w:p>
    <w:p w14:paraId="65723C9D" w14:textId="77777777" w:rsidR="00606FA3" w:rsidRPr="00013D3F" w:rsidRDefault="00606FA3" w:rsidP="00330B05">
      <w:pPr>
        <w:pStyle w:val="FinePrint"/>
      </w:pPr>
    </w:p>
    <w:p w14:paraId="6A8C2CF2" w14:textId="77777777" w:rsidR="00606FA3" w:rsidRPr="00013D3F" w:rsidRDefault="00606FA3" w:rsidP="00330B05">
      <w:pPr>
        <w:pStyle w:val="FinePrint"/>
      </w:pPr>
      <w:r w:rsidRPr="00013D3F">
        <w:t>Massachusetts Department of Elementary and Secondary Education</w:t>
      </w:r>
    </w:p>
    <w:p w14:paraId="1EA53EEB" w14:textId="4FDAC4B8" w:rsidR="00606FA3" w:rsidRPr="00013D3F" w:rsidRDefault="00E1696B" w:rsidP="00330B05">
      <w:pPr>
        <w:pStyle w:val="FinePrint"/>
      </w:pPr>
      <w:r>
        <w:rPr>
          <w:snapToGrid w:val="0"/>
        </w:rPr>
        <w:t>135 Santilli Highway</w:t>
      </w:r>
      <w:r w:rsidR="00606FA3" w:rsidRPr="00013D3F">
        <w:t xml:space="preserve">, </w:t>
      </w:r>
      <w:r>
        <w:t>Everett</w:t>
      </w:r>
      <w:r w:rsidR="00606FA3" w:rsidRPr="00013D3F">
        <w:t>, MA 0214</w:t>
      </w:r>
      <w:r>
        <w:t>9</w:t>
      </w:r>
    </w:p>
    <w:p w14:paraId="446B92A4" w14:textId="77777777" w:rsidR="00606FA3" w:rsidRPr="00013D3F" w:rsidRDefault="00606FA3" w:rsidP="00330B05">
      <w:pPr>
        <w:pStyle w:val="FinePrint"/>
      </w:pPr>
      <w:r w:rsidRPr="00013D3F">
        <w:t>Phone 781-338-3000  TTY: N.E.T. Relay 800-439-2370</w:t>
      </w:r>
    </w:p>
    <w:p w14:paraId="6DE56C2D" w14:textId="77777777" w:rsidR="00606FA3" w:rsidRPr="00F466AC" w:rsidRDefault="00000000" w:rsidP="00330B05">
      <w:pPr>
        <w:pStyle w:val="FinePrint"/>
      </w:pPr>
      <w:hyperlink r:id="rId13" w:history="1">
        <w:r w:rsidR="00606FA3" w:rsidRPr="00F466AC">
          <w:rPr>
            <w:rStyle w:val="Hyperlink"/>
          </w:rPr>
          <w:t>www.doe.mass.edu</w:t>
        </w:r>
      </w:hyperlink>
    </w:p>
    <w:p w14:paraId="1573E8F2" w14:textId="77777777" w:rsidR="006D5D2F" w:rsidRDefault="006D5D2F" w:rsidP="00330B05">
      <w:pPr>
        <w:pStyle w:val="FinePrint"/>
      </w:pPr>
    </w:p>
    <w:p w14:paraId="1ABC434A" w14:textId="77777777" w:rsidR="006D5D2F" w:rsidRDefault="006D5D2F" w:rsidP="00330B05">
      <w:pPr>
        <w:pStyle w:val="FinePrint"/>
      </w:pPr>
    </w:p>
    <w:p w14:paraId="084CE31A" w14:textId="77777777" w:rsidR="00567DA8" w:rsidRDefault="00567DA8" w:rsidP="006D5D2F">
      <w:pPr>
        <w:pStyle w:val="Table"/>
      </w:pPr>
    </w:p>
    <w:p w14:paraId="3D2D2DB2" w14:textId="77777777" w:rsidR="007143DC" w:rsidRDefault="00330B05" w:rsidP="006D5D2F">
      <w:pPr>
        <w:pStyle w:val="Table"/>
        <w:jc w:val="center"/>
        <w:sectPr w:rsidR="007143DC" w:rsidSect="004337E7">
          <w:headerReference w:type="default" r:id="rId14"/>
          <w:footerReference w:type="default" r:id="rId15"/>
          <w:type w:val="continuous"/>
          <w:pgSz w:w="12240" w:h="15840"/>
          <w:pgMar w:top="1440" w:right="1440" w:bottom="1440" w:left="1440" w:header="720" w:footer="720" w:gutter="0"/>
          <w:pgNumType w:start="0"/>
          <w:cols w:space="720"/>
          <w:docGrid w:linePitch="360"/>
        </w:sectPr>
      </w:pPr>
      <w:r w:rsidRPr="006D5D2F">
        <w:rPr>
          <w:noProof/>
          <w:lang w:bidi="ar-SA"/>
        </w:rPr>
        <w:drawing>
          <wp:inline distT="0" distB="0" distL="0" distR="0" wp14:anchorId="26C23F57" wp14:editId="0504BFB4">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bookmarkStart w:id="0" w:name="_Hlk54355183" w:displacedByCustomXml="next"/>
    <w:sdt>
      <w:sdtPr>
        <w:rPr>
          <w:b w:val="0"/>
          <w:bCs w:val="0"/>
          <w:caps w:val="0"/>
          <w:color w:val="auto"/>
          <w:sz w:val="22"/>
          <w:szCs w:val="20"/>
        </w:rPr>
        <w:id w:val="3764760"/>
        <w:docPartObj>
          <w:docPartGallery w:val="Table of Contents"/>
          <w:docPartUnique/>
        </w:docPartObj>
      </w:sdtPr>
      <w:sdtContent>
        <w:p w14:paraId="18205C9D" w14:textId="77777777" w:rsidR="00567DA8" w:rsidRPr="000037B8" w:rsidRDefault="00567DA8">
          <w:pPr>
            <w:pStyle w:val="TOCHeading"/>
            <w:rPr>
              <w:szCs w:val="28"/>
            </w:rPr>
          </w:pPr>
          <w:r w:rsidRPr="000037B8">
            <w:rPr>
              <w:szCs w:val="28"/>
            </w:rPr>
            <w:t>Table of Contents</w:t>
          </w:r>
        </w:p>
        <w:p w14:paraId="23DC3F5D" w14:textId="47F7AC84" w:rsidR="00D7705C" w:rsidRDefault="00B51433">
          <w:pPr>
            <w:pStyle w:val="TOC1"/>
            <w:rPr>
              <w:noProof/>
              <w:szCs w:val="22"/>
              <w:lang w:bidi="ar-SA"/>
            </w:rPr>
          </w:pPr>
          <w:r>
            <w:fldChar w:fldCharType="begin"/>
          </w:r>
          <w:r w:rsidR="00567DA8">
            <w:instrText xml:space="preserve"> TOC \o "1-3" \h \z \u </w:instrText>
          </w:r>
          <w:r>
            <w:fldChar w:fldCharType="separate"/>
          </w:r>
          <w:hyperlink w:anchor="_Toc130294540" w:history="1">
            <w:r w:rsidR="00D7705C" w:rsidRPr="00C80FC5">
              <w:rPr>
                <w:rStyle w:val="Hyperlink"/>
                <w:noProof/>
              </w:rPr>
              <w:t>Overview</w:t>
            </w:r>
            <w:r w:rsidR="00D7705C">
              <w:rPr>
                <w:noProof/>
                <w:webHidden/>
              </w:rPr>
              <w:tab/>
            </w:r>
            <w:r w:rsidR="00D7705C">
              <w:rPr>
                <w:noProof/>
                <w:webHidden/>
              </w:rPr>
              <w:fldChar w:fldCharType="begin"/>
            </w:r>
            <w:r w:rsidR="00D7705C">
              <w:rPr>
                <w:noProof/>
                <w:webHidden/>
              </w:rPr>
              <w:instrText xml:space="preserve"> PAGEREF _Toc130294540 \h </w:instrText>
            </w:r>
            <w:r w:rsidR="00D7705C">
              <w:rPr>
                <w:noProof/>
                <w:webHidden/>
              </w:rPr>
            </w:r>
            <w:r w:rsidR="00D7705C">
              <w:rPr>
                <w:noProof/>
                <w:webHidden/>
              </w:rPr>
              <w:fldChar w:fldCharType="separate"/>
            </w:r>
            <w:r w:rsidR="00D7705C">
              <w:rPr>
                <w:noProof/>
                <w:webHidden/>
              </w:rPr>
              <w:t>1</w:t>
            </w:r>
            <w:r w:rsidR="00D7705C">
              <w:rPr>
                <w:noProof/>
                <w:webHidden/>
              </w:rPr>
              <w:fldChar w:fldCharType="end"/>
            </w:r>
          </w:hyperlink>
        </w:p>
        <w:p w14:paraId="5377A954" w14:textId="4CA91A1B" w:rsidR="00D7705C" w:rsidRDefault="00000000">
          <w:pPr>
            <w:pStyle w:val="TOC1"/>
            <w:rPr>
              <w:noProof/>
              <w:szCs w:val="22"/>
              <w:lang w:bidi="ar-SA"/>
            </w:rPr>
          </w:pPr>
          <w:hyperlink w:anchor="_Toc130294541" w:history="1">
            <w:r w:rsidR="00D7705C" w:rsidRPr="00C80FC5">
              <w:rPr>
                <w:rStyle w:val="Hyperlink"/>
                <w:noProof/>
              </w:rPr>
              <w:t>Part I: Define Each Engagement Phase</w:t>
            </w:r>
            <w:r w:rsidR="00D7705C">
              <w:rPr>
                <w:noProof/>
                <w:webHidden/>
              </w:rPr>
              <w:tab/>
            </w:r>
            <w:r w:rsidR="00D7705C">
              <w:rPr>
                <w:noProof/>
                <w:webHidden/>
              </w:rPr>
              <w:fldChar w:fldCharType="begin"/>
            </w:r>
            <w:r w:rsidR="00D7705C">
              <w:rPr>
                <w:noProof/>
                <w:webHidden/>
              </w:rPr>
              <w:instrText xml:space="preserve"> PAGEREF _Toc130294541 \h </w:instrText>
            </w:r>
            <w:r w:rsidR="00D7705C">
              <w:rPr>
                <w:noProof/>
                <w:webHidden/>
              </w:rPr>
            </w:r>
            <w:r w:rsidR="00D7705C">
              <w:rPr>
                <w:noProof/>
                <w:webHidden/>
              </w:rPr>
              <w:fldChar w:fldCharType="separate"/>
            </w:r>
            <w:r w:rsidR="00D7705C">
              <w:rPr>
                <w:noProof/>
                <w:webHidden/>
              </w:rPr>
              <w:t>3</w:t>
            </w:r>
            <w:r w:rsidR="00D7705C">
              <w:rPr>
                <w:noProof/>
                <w:webHidden/>
              </w:rPr>
              <w:fldChar w:fldCharType="end"/>
            </w:r>
          </w:hyperlink>
        </w:p>
        <w:p w14:paraId="30A7CD7D" w14:textId="7F7EB829" w:rsidR="00D7705C" w:rsidRDefault="00000000">
          <w:pPr>
            <w:pStyle w:val="TOC2"/>
            <w:tabs>
              <w:tab w:val="right" w:leader="dot" w:pos="9350"/>
            </w:tabs>
            <w:rPr>
              <w:noProof/>
              <w:szCs w:val="22"/>
              <w:lang w:bidi="ar-SA"/>
            </w:rPr>
          </w:pPr>
          <w:hyperlink w:anchor="_Toc130294542" w:history="1">
            <w:r w:rsidR="00D7705C" w:rsidRPr="00C80FC5">
              <w:rPr>
                <w:rStyle w:val="Hyperlink"/>
                <w:noProof/>
              </w:rPr>
              <w:t>Step One: Select Data Points Appropriate for Each Engagement Phase</w:t>
            </w:r>
            <w:r w:rsidR="00D7705C">
              <w:rPr>
                <w:noProof/>
                <w:webHidden/>
              </w:rPr>
              <w:tab/>
            </w:r>
            <w:r w:rsidR="00D7705C">
              <w:rPr>
                <w:noProof/>
                <w:webHidden/>
              </w:rPr>
              <w:fldChar w:fldCharType="begin"/>
            </w:r>
            <w:r w:rsidR="00D7705C">
              <w:rPr>
                <w:noProof/>
                <w:webHidden/>
              </w:rPr>
              <w:instrText xml:space="preserve"> PAGEREF _Toc130294542 \h </w:instrText>
            </w:r>
            <w:r w:rsidR="00D7705C">
              <w:rPr>
                <w:noProof/>
                <w:webHidden/>
              </w:rPr>
            </w:r>
            <w:r w:rsidR="00D7705C">
              <w:rPr>
                <w:noProof/>
                <w:webHidden/>
              </w:rPr>
              <w:fldChar w:fldCharType="separate"/>
            </w:r>
            <w:r w:rsidR="00D7705C">
              <w:rPr>
                <w:noProof/>
                <w:webHidden/>
              </w:rPr>
              <w:t>3</w:t>
            </w:r>
            <w:r w:rsidR="00D7705C">
              <w:rPr>
                <w:noProof/>
                <w:webHidden/>
              </w:rPr>
              <w:fldChar w:fldCharType="end"/>
            </w:r>
          </w:hyperlink>
        </w:p>
        <w:p w14:paraId="30830350" w14:textId="1119E4D0" w:rsidR="00D7705C" w:rsidRDefault="00000000">
          <w:pPr>
            <w:pStyle w:val="TOC2"/>
            <w:tabs>
              <w:tab w:val="right" w:leader="dot" w:pos="9350"/>
            </w:tabs>
            <w:rPr>
              <w:noProof/>
              <w:szCs w:val="22"/>
              <w:lang w:bidi="ar-SA"/>
            </w:rPr>
          </w:pPr>
          <w:hyperlink w:anchor="_Toc130294543" w:history="1">
            <w:r w:rsidR="00D7705C" w:rsidRPr="00C80FC5">
              <w:rPr>
                <w:rStyle w:val="Hyperlink"/>
                <w:noProof/>
              </w:rPr>
              <w:t>Step Three: Identify Students’ Engagement Phases</w:t>
            </w:r>
            <w:r w:rsidR="00D7705C">
              <w:rPr>
                <w:noProof/>
                <w:webHidden/>
              </w:rPr>
              <w:tab/>
            </w:r>
            <w:r w:rsidR="00D7705C">
              <w:rPr>
                <w:noProof/>
                <w:webHidden/>
              </w:rPr>
              <w:fldChar w:fldCharType="begin"/>
            </w:r>
            <w:r w:rsidR="00D7705C">
              <w:rPr>
                <w:noProof/>
                <w:webHidden/>
              </w:rPr>
              <w:instrText xml:space="preserve"> PAGEREF _Toc130294543 \h </w:instrText>
            </w:r>
            <w:r w:rsidR="00D7705C">
              <w:rPr>
                <w:noProof/>
                <w:webHidden/>
              </w:rPr>
            </w:r>
            <w:r w:rsidR="00D7705C">
              <w:rPr>
                <w:noProof/>
                <w:webHidden/>
              </w:rPr>
              <w:fldChar w:fldCharType="separate"/>
            </w:r>
            <w:r w:rsidR="00D7705C">
              <w:rPr>
                <w:noProof/>
                <w:webHidden/>
              </w:rPr>
              <w:t>3</w:t>
            </w:r>
            <w:r w:rsidR="00D7705C">
              <w:rPr>
                <w:noProof/>
                <w:webHidden/>
              </w:rPr>
              <w:fldChar w:fldCharType="end"/>
            </w:r>
          </w:hyperlink>
        </w:p>
        <w:p w14:paraId="2D22D1CE" w14:textId="78E57B9F" w:rsidR="00D7705C" w:rsidRDefault="00000000">
          <w:pPr>
            <w:pStyle w:val="TOC1"/>
            <w:rPr>
              <w:noProof/>
              <w:szCs w:val="22"/>
              <w:lang w:bidi="ar-SA"/>
            </w:rPr>
          </w:pPr>
          <w:hyperlink w:anchor="_Toc130294544" w:history="1">
            <w:r w:rsidR="00D7705C" w:rsidRPr="00C80FC5">
              <w:rPr>
                <w:rStyle w:val="Hyperlink"/>
                <w:noProof/>
              </w:rPr>
              <w:t>Part II: Create Responsive Goals</w:t>
            </w:r>
            <w:r w:rsidR="00D7705C">
              <w:rPr>
                <w:noProof/>
                <w:webHidden/>
              </w:rPr>
              <w:tab/>
            </w:r>
            <w:r w:rsidR="00D7705C">
              <w:rPr>
                <w:noProof/>
                <w:webHidden/>
              </w:rPr>
              <w:fldChar w:fldCharType="begin"/>
            </w:r>
            <w:r w:rsidR="00D7705C">
              <w:rPr>
                <w:noProof/>
                <w:webHidden/>
              </w:rPr>
              <w:instrText xml:space="preserve"> PAGEREF _Toc130294544 \h </w:instrText>
            </w:r>
            <w:r w:rsidR="00D7705C">
              <w:rPr>
                <w:noProof/>
                <w:webHidden/>
              </w:rPr>
            </w:r>
            <w:r w:rsidR="00D7705C">
              <w:rPr>
                <w:noProof/>
                <w:webHidden/>
              </w:rPr>
              <w:fldChar w:fldCharType="separate"/>
            </w:r>
            <w:r w:rsidR="00D7705C">
              <w:rPr>
                <w:noProof/>
                <w:webHidden/>
              </w:rPr>
              <w:t>6</w:t>
            </w:r>
            <w:r w:rsidR="00D7705C">
              <w:rPr>
                <w:noProof/>
                <w:webHidden/>
              </w:rPr>
              <w:fldChar w:fldCharType="end"/>
            </w:r>
          </w:hyperlink>
        </w:p>
        <w:p w14:paraId="2BD79917" w14:textId="69C22C0B" w:rsidR="00D7705C" w:rsidRDefault="00000000">
          <w:pPr>
            <w:pStyle w:val="TOC1"/>
            <w:rPr>
              <w:noProof/>
              <w:szCs w:val="22"/>
              <w:lang w:bidi="ar-SA"/>
            </w:rPr>
          </w:pPr>
          <w:hyperlink w:anchor="_Toc130294545" w:history="1">
            <w:r w:rsidR="00D7705C" w:rsidRPr="00C80FC5">
              <w:rPr>
                <w:rStyle w:val="Hyperlink"/>
                <w:noProof/>
              </w:rPr>
              <w:t>Appendix A: Category Data Points</w:t>
            </w:r>
            <w:r w:rsidR="00D7705C">
              <w:rPr>
                <w:noProof/>
                <w:webHidden/>
              </w:rPr>
              <w:tab/>
            </w:r>
            <w:r w:rsidR="00D7705C">
              <w:rPr>
                <w:noProof/>
                <w:webHidden/>
              </w:rPr>
              <w:fldChar w:fldCharType="begin"/>
            </w:r>
            <w:r w:rsidR="00D7705C">
              <w:rPr>
                <w:noProof/>
                <w:webHidden/>
              </w:rPr>
              <w:instrText xml:space="preserve"> PAGEREF _Toc130294545 \h </w:instrText>
            </w:r>
            <w:r w:rsidR="00D7705C">
              <w:rPr>
                <w:noProof/>
                <w:webHidden/>
              </w:rPr>
            </w:r>
            <w:r w:rsidR="00D7705C">
              <w:rPr>
                <w:noProof/>
                <w:webHidden/>
              </w:rPr>
              <w:fldChar w:fldCharType="separate"/>
            </w:r>
            <w:r w:rsidR="00D7705C">
              <w:rPr>
                <w:noProof/>
                <w:webHidden/>
              </w:rPr>
              <w:t>10</w:t>
            </w:r>
            <w:r w:rsidR="00D7705C">
              <w:rPr>
                <w:noProof/>
                <w:webHidden/>
              </w:rPr>
              <w:fldChar w:fldCharType="end"/>
            </w:r>
          </w:hyperlink>
        </w:p>
        <w:p w14:paraId="0918C540" w14:textId="7BC3C0F5" w:rsidR="00D7705C" w:rsidRDefault="00000000">
          <w:pPr>
            <w:pStyle w:val="TOC1"/>
            <w:rPr>
              <w:noProof/>
              <w:szCs w:val="22"/>
              <w:lang w:bidi="ar-SA"/>
            </w:rPr>
          </w:pPr>
          <w:hyperlink w:anchor="_Toc130294546" w:history="1">
            <w:r w:rsidR="00D7705C" w:rsidRPr="00C80FC5">
              <w:rPr>
                <w:rStyle w:val="Hyperlink"/>
                <w:noProof/>
              </w:rPr>
              <w:t>Appendix B: Additional Examples</w:t>
            </w:r>
            <w:r w:rsidR="00D7705C">
              <w:rPr>
                <w:noProof/>
                <w:webHidden/>
              </w:rPr>
              <w:tab/>
            </w:r>
            <w:r w:rsidR="00D7705C">
              <w:rPr>
                <w:noProof/>
                <w:webHidden/>
              </w:rPr>
              <w:fldChar w:fldCharType="begin"/>
            </w:r>
            <w:r w:rsidR="00D7705C">
              <w:rPr>
                <w:noProof/>
                <w:webHidden/>
              </w:rPr>
              <w:instrText xml:space="preserve"> PAGEREF _Toc130294546 \h </w:instrText>
            </w:r>
            <w:r w:rsidR="00D7705C">
              <w:rPr>
                <w:noProof/>
                <w:webHidden/>
              </w:rPr>
            </w:r>
            <w:r w:rsidR="00D7705C">
              <w:rPr>
                <w:noProof/>
                <w:webHidden/>
              </w:rPr>
              <w:fldChar w:fldCharType="separate"/>
            </w:r>
            <w:r w:rsidR="00D7705C">
              <w:rPr>
                <w:noProof/>
                <w:webHidden/>
              </w:rPr>
              <w:t>15</w:t>
            </w:r>
            <w:r w:rsidR="00D7705C">
              <w:rPr>
                <w:noProof/>
                <w:webHidden/>
              </w:rPr>
              <w:fldChar w:fldCharType="end"/>
            </w:r>
          </w:hyperlink>
        </w:p>
        <w:p w14:paraId="238EA3D5" w14:textId="1653DD14" w:rsidR="00567DA8" w:rsidRDefault="00B51433" w:rsidP="00567DA8">
          <w:pPr>
            <w:sectPr w:rsidR="00567DA8" w:rsidSect="004337E7">
              <w:headerReference w:type="default" r:id="rId17"/>
              <w:type w:val="continuous"/>
              <w:pgSz w:w="12240" w:h="15840"/>
              <w:pgMar w:top="1440" w:right="1440" w:bottom="1440" w:left="1440" w:header="720" w:footer="720" w:gutter="0"/>
              <w:pgNumType w:start="0"/>
              <w:cols w:space="720"/>
              <w:docGrid w:linePitch="360"/>
            </w:sectPr>
          </w:pPr>
          <w:r>
            <w:fldChar w:fldCharType="end"/>
          </w:r>
        </w:p>
      </w:sdtContent>
    </w:sdt>
    <w:bookmarkEnd w:id="0" w:displacedByCustomXml="prev"/>
    <w:bookmarkStart w:id="1" w:name="_Toc453317921" w:displacedByCustomXml="prev"/>
    <w:bookmarkStart w:id="2" w:name="_Toc453315906" w:displacedByCustomXml="prev"/>
    <w:p w14:paraId="68543D36" w14:textId="0A5D0735" w:rsidR="00E03B71" w:rsidRPr="000037B8" w:rsidRDefault="006515C0" w:rsidP="00E03B71">
      <w:pPr>
        <w:pStyle w:val="Heading1"/>
        <w:rPr>
          <w:szCs w:val="28"/>
        </w:rPr>
      </w:pPr>
      <w:bookmarkStart w:id="3" w:name="_Toc130294540"/>
      <w:r>
        <w:rPr>
          <w:szCs w:val="28"/>
        </w:rPr>
        <w:lastRenderedPageBreak/>
        <w:t>Overview</w:t>
      </w:r>
      <w:bookmarkEnd w:id="3"/>
    </w:p>
    <w:bookmarkEnd w:id="2"/>
    <w:bookmarkEnd w:id="1"/>
    <w:p w14:paraId="59FFED7D" w14:textId="04AA8F72" w:rsidR="00B9721B" w:rsidRDefault="00B9721B" w:rsidP="00B9721B">
      <w:r>
        <w:t>According to the charter school statute, “When deciding on charter renewal, the board shall consider progress made in student academic achievement,” (</w:t>
      </w:r>
      <w:hyperlink r:id="rId18">
        <w:r>
          <w:rPr>
            <w:color w:val="0000FF"/>
            <w:u w:val="single"/>
          </w:rPr>
          <w:t xml:space="preserve">MGL </w:t>
        </w:r>
        <w:r w:rsidR="001B2359">
          <w:rPr>
            <w:color w:val="0000FF"/>
            <w:u w:val="single"/>
          </w:rPr>
          <w:t>c</w:t>
        </w:r>
        <w:r>
          <w:rPr>
            <w:color w:val="0000FF"/>
            <w:u w:val="single"/>
          </w:rPr>
          <w:t>. 71, S. 89 (dd)</w:t>
        </w:r>
      </w:hyperlink>
      <w:r>
        <w:t xml:space="preserve">). </w:t>
      </w:r>
      <w:r w:rsidR="004D746B">
        <w:t>Academic p</w:t>
      </w:r>
      <w:r>
        <w:t>rogress is typically defined by the</w:t>
      </w:r>
      <w:hyperlink r:id="rId19">
        <w:r>
          <w:t xml:space="preserve"> </w:t>
        </w:r>
      </w:hyperlink>
      <w:hyperlink r:id="rId20">
        <w:r>
          <w:rPr>
            <w:color w:val="0000FF"/>
            <w:u w:val="single"/>
          </w:rPr>
          <w:t>statewide accountability system</w:t>
        </w:r>
      </w:hyperlink>
      <w:r>
        <w:t>; however, there are limitations in using data in the statewide accountability system to evaluate</w:t>
      </w:r>
      <w:r w:rsidR="00B155F1">
        <w:t xml:space="preserve"> academic</w:t>
      </w:r>
      <w:r>
        <w:t xml:space="preserve"> progress at alternative charter school</w:t>
      </w:r>
      <w:r w:rsidR="009256B1">
        <w:t>s (ACSs)</w:t>
      </w:r>
      <w:r>
        <w:t xml:space="preserve"> due to a few factors:</w:t>
      </w:r>
    </w:p>
    <w:p w14:paraId="4A46BAD6" w14:textId="77777777" w:rsidR="00B9721B" w:rsidRDefault="00B9721B" w:rsidP="00B9721B">
      <w:pPr>
        <w:pStyle w:val="ListParagraph"/>
        <w:numPr>
          <w:ilvl w:val="0"/>
          <w:numId w:val="23"/>
        </w:numPr>
      </w:pPr>
      <w:r>
        <w:t>ACSs often enroll a smaller number of students than other schools. Testing cohorts are often too small to report data, leading to a lack of publicly reported accountability data; and</w:t>
      </w:r>
    </w:p>
    <w:p w14:paraId="167A8933" w14:textId="370B91F8" w:rsidR="00B9721B" w:rsidRDefault="00B9721B" w:rsidP="00B9721B">
      <w:pPr>
        <w:pStyle w:val="ListParagraph"/>
        <w:numPr>
          <w:ilvl w:val="0"/>
          <w:numId w:val="23"/>
        </w:numPr>
      </w:pPr>
      <w:r>
        <w:t>ACSs enroll high percentages of students who are multiple grade levels behind academically</w:t>
      </w:r>
      <w:r w:rsidR="00FF7EA9">
        <w:t>. These schools</w:t>
      </w:r>
      <w:r>
        <w:t xml:space="preserve"> require more nuanced measures to capture growth and achievement. </w:t>
      </w:r>
    </w:p>
    <w:p w14:paraId="659BF3AC" w14:textId="77F18FE2" w:rsidR="00497C1D" w:rsidRDefault="00B9721B" w:rsidP="00B9721B">
      <w:r>
        <w:t xml:space="preserve">The </w:t>
      </w:r>
      <w:hyperlink r:id="rId21" w:history="1">
        <w:r w:rsidRPr="00CD1D62">
          <w:rPr>
            <w:rStyle w:val="Hyperlink"/>
          </w:rPr>
          <w:t>Charter School Performance Criteria</w:t>
        </w:r>
      </w:hyperlink>
      <w:r>
        <w:t xml:space="preserve"> includes a provision stating that the Department </w:t>
      </w:r>
      <w:r w:rsidR="001367E1">
        <w:t xml:space="preserve">of Elementary and Secondary Education (Department) </w:t>
      </w:r>
      <w:r>
        <w:t>may consider additional valid and reliable data demonstrating progress in student achievement.</w:t>
      </w:r>
      <w:r>
        <w:rPr>
          <w:rStyle w:val="FootnoteReference"/>
        </w:rPr>
        <w:footnoteReference w:id="2"/>
      </w:r>
      <w:r>
        <w:t xml:space="preserve"> </w:t>
      </w:r>
      <w:r w:rsidR="00497C1D">
        <w:t xml:space="preserve">Accountability Plan goals are one example of how ACSs may collect </w:t>
      </w:r>
      <w:r w:rsidR="00432533">
        <w:t xml:space="preserve">and report </w:t>
      </w:r>
      <w:r w:rsidR="00497C1D">
        <w:t xml:space="preserve">valid and reliable data to supplement data </w:t>
      </w:r>
      <w:r w:rsidR="00DB5572">
        <w:t>from</w:t>
      </w:r>
      <w:r w:rsidR="00497C1D">
        <w:t xml:space="preserve"> the statewide accountability system. </w:t>
      </w:r>
    </w:p>
    <w:p w14:paraId="78B5A207" w14:textId="6C15A1F6" w:rsidR="008F6F7A" w:rsidRDefault="009A5D16" w:rsidP="008F6F7A">
      <w:r>
        <w:t>Every charter school in Massachusetts creates an Accountability Plan to publicly articulate the goals the school has set to measure its success</w:t>
      </w:r>
      <w:r w:rsidR="00644B46">
        <w:t>, and ACSs are required to include additional goals in their Accountability Plans related to student achievement</w:t>
      </w:r>
      <w:r>
        <w:t xml:space="preserve">. The </w:t>
      </w:r>
      <w:hyperlink r:id="rId22" w:history="1">
        <w:r w:rsidRPr="008D57FE">
          <w:rPr>
            <w:rStyle w:val="Hyperlink"/>
          </w:rPr>
          <w:t>Accountability Plan Guidelines</w:t>
        </w:r>
      </w:hyperlink>
      <w:r>
        <w:t xml:space="preserve"> provide guidance on how to design goals aligned to the school’s mission and key design elements. </w:t>
      </w:r>
      <w:r w:rsidR="00095905">
        <w:t xml:space="preserve">This guidance </w:t>
      </w:r>
      <w:r w:rsidR="0099140E">
        <w:t>clarifies the</w:t>
      </w:r>
      <w:r w:rsidR="001707FA">
        <w:t xml:space="preserve"> Department’s expectations </w:t>
      </w:r>
      <w:r w:rsidR="006939B5">
        <w:t xml:space="preserve">for ACSs to create </w:t>
      </w:r>
      <w:r w:rsidR="001707FA">
        <w:t xml:space="preserve">student achievement goals </w:t>
      </w:r>
      <w:r w:rsidR="00BA3ED2">
        <w:t xml:space="preserve">related to academic </w:t>
      </w:r>
      <w:r w:rsidR="00ED6DB6">
        <w:t>achievement</w:t>
      </w:r>
      <w:r w:rsidR="001707FA">
        <w:t xml:space="preserve">. </w:t>
      </w:r>
      <w:r w:rsidR="008F6F7A">
        <w:t xml:space="preserve"> </w:t>
      </w:r>
    </w:p>
    <w:p w14:paraId="2C564A41" w14:textId="36EF5920" w:rsidR="00D77B13" w:rsidRDefault="006D51BE" w:rsidP="006D51BE">
      <w:r>
        <w:t xml:space="preserve">During the 2021-22 school year, the Department worked with existing </w:t>
      </w:r>
      <w:r w:rsidR="00F72452">
        <w:t xml:space="preserve">Massachusetts </w:t>
      </w:r>
      <w:r>
        <w:t xml:space="preserve">alternative charter schools and experts in the field from </w:t>
      </w:r>
      <w:hyperlink r:id="rId23" w:history="1">
        <w:r w:rsidRPr="00D7705C">
          <w:rPr>
            <w:rStyle w:val="Hyperlink"/>
          </w:rPr>
          <w:t>A-GAME: Advancing Great Authorizing and Modeling Excellence</w:t>
        </w:r>
      </w:hyperlink>
      <w:r>
        <w:t xml:space="preserve">, Naomi Rubin DeVeaux and Dr. Jody Ernst, to arrive at a common method of establishing </w:t>
      </w:r>
      <w:r w:rsidR="000776F3">
        <w:t>rigorous</w:t>
      </w:r>
      <w:r w:rsidR="00DF02F6">
        <w:t xml:space="preserve"> goals </w:t>
      </w:r>
      <w:r w:rsidR="00462344">
        <w:t xml:space="preserve">related to academic performance </w:t>
      </w:r>
      <w:r w:rsidR="00DF02F6">
        <w:t>that are responsive to students</w:t>
      </w:r>
      <w:r w:rsidR="00D77B13">
        <w:t>’</w:t>
      </w:r>
      <w:r w:rsidR="00DF02F6">
        <w:t xml:space="preserve"> level</w:t>
      </w:r>
      <w:r w:rsidR="0007451E">
        <w:t>s</w:t>
      </w:r>
      <w:r w:rsidR="00DF02F6">
        <w:t xml:space="preserve"> of engagement</w:t>
      </w:r>
      <w:r w:rsidR="009027DF">
        <w:t xml:space="preserve"> with school</w:t>
      </w:r>
      <w:r w:rsidR="00DF02F6">
        <w:t xml:space="preserve">. </w:t>
      </w:r>
    </w:p>
    <w:p w14:paraId="28C564F0" w14:textId="7C0A940C" w:rsidR="002C0F4D" w:rsidRDefault="0007451E" w:rsidP="002C0F4D">
      <w:proofErr w:type="gramStart"/>
      <w:r>
        <w:t>In order to</w:t>
      </w:r>
      <w:proofErr w:type="gramEnd"/>
      <w:r>
        <w:t xml:space="preserve"> create goals that are responsive to students’ levels of engagement, </w:t>
      </w:r>
      <w:r w:rsidR="00D93C3F">
        <w:t xml:space="preserve">different levels of engagement must be defined. </w:t>
      </w:r>
      <w:r w:rsidR="002C0F4D">
        <w:t xml:space="preserve">Massachusetts ACSs provided descriptive information about the academic, behavioral, testing, and engagement behaviors of their most engaged </w:t>
      </w:r>
      <w:r w:rsidR="005C688C">
        <w:t>to</w:t>
      </w:r>
      <w:r w:rsidR="002C0F4D">
        <w:t xml:space="preserve"> least engaged students. Through guided exercises, the group began to differentiate three phases of ACS student engagement in school using collected data, such as average daily attendance, discipline, credits towards graduation, age, and life experiences outside of school</w:t>
      </w:r>
      <w:r w:rsidR="000607B5">
        <w:t xml:space="preserve">. The three </w:t>
      </w:r>
      <w:r w:rsidR="00A52EA5">
        <w:t>phases are:</w:t>
      </w:r>
    </w:p>
    <w:p w14:paraId="37BE26D3" w14:textId="3FD5C7A6" w:rsidR="002C0F4D" w:rsidRPr="00E619FD" w:rsidRDefault="002C0F4D" w:rsidP="002C0F4D">
      <w:pPr>
        <w:pStyle w:val="ListParagraph"/>
        <w:numPr>
          <w:ilvl w:val="0"/>
          <w:numId w:val="28"/>
        </w:numPr>
        <w:rPr>
          <w:b/>
          <w:bCs/>
        </w:rPr>
      </w:pPr>
      <w:r w:rsidRPr="00E619FD">
        <w:rPr>
          <w:b/>
          <w:bCs/>
        </w:rPr>
        <w:t>Minimally Connected</w:t>
      </w:r>
      <w:r>
        <w:rPr>
          <w:b/>
          <w:bCs/>
        </w:rPr>
        <w:t xml:space="preserve"> (MC)</w:t>
      </w:r>
      <w:r>
        <w:t>: Students who are minimally connected show little to no active engage</w:t>
      </w:r>
      <w:r w:rsidR="00A52EA5">
        <w:t>ment</w:t>
      </w:r>
      <w:r>
        <w:t xml:space="preserve"> in their education. </w:t>
      </w:r>
    </w:p>
    <w:p w14:paraId="14E44C1D" w14:textId="0758FCAE" w:rsidR="002C0F4D" w:rsidRPr="00135A8D" w:rsidRDefault="002C0F4D" w:rsidP="002C0F4D">
      <w:pPr>
        <w:pStyle w:val="ListParagraph"/>
        <w:numPr>
          <w:ilvl w:val="0"/>
          <w:numId w:val="28"/>
        </w:numPr>
        <w:rPr>
          <w:b/>
          <w:bCs/>
        </w:rPr>
      </w:pPr>
      <w:r w:rsidRPr="00135A8D">
        <w:rPr>
          <w:b/>
          <w:bCs/>
        </w:rPr>
        <w:t xml:space="preserve">Partially Connected (PC): </w:t>
      </w:r>
      <w:r>
        <w:t xml:space="preserve">Students who are partially connected have met some basic requirements for a high school diploma, but may require many credits to graduate, may </w:t>
      </w:r>
      <w:r w:rsidR="00CF16EF">
        <w:lastRenderedPageBreak/>
        <w:t>demonstrate</w:t>
      </w:r>
      <w:r>
        <w:t xml:space="preserve"> limited academic skills, or may face life experiences that make it challenging to engage with school. </w:t>
      </w:r>
    </w:p>
    <w:p w14:paraId="239A8763" w14:textId="6EEC7C6E" w:rsidR="00875AC8" w:rsidRDefault="002C0F4D" w:rsidP="003856D0">
      <w:pPr>
        <w:pStyle w:val="ListParagraph"/>
        <w:numPr>
          <w:ilvl w:val="0"/>
          <w:numId w:val="28"/>
        </w:numPr>
        <w:rPr>
          <w:b/>
          <w:bCs/>
        </w:rPr>
      </w:pPr>
      <w:r w:rsidRPr="00D72710">
        <w:rPr>
          <w:b/>
          <w:bCs/>
        </w:rPr>
        <w:t>Connected</w:t>
      </w:r>
      <w:r>
        <w:rPr>
          <w:b/>
          <w:bCs/>
        </w:rPr>
        <w:t xml:space="preserve"> (C): </w:t>
      </w:r>
      <w:r>
        <w:t xml:space="preserve">Students who are well connected to school are within reach of graduating high school and/or are actively engaged in completing courses and coming to school on a more regular basis than students in the MC or PC phases. </w:t>
      </w:r>
      <w:r w:rsidRPr="00D72710">
        <w:rPr>
          <w:b/>
          <w:bCs/>
        </w:rPr>
        <w:t xml:space="preserve"> </w:t>
      </w:r>
    </w:p>
    <w:p w14:paraId="016E695F" w14:textId="7BE25CB9" w:rsidR="001457B6" w:rsidRDefault="009E5DEA" w:rsidP="001457B6">
      <w:r>
        <w:t xml:space="preserve">Once the </w:t>
      </w:r>
      <w:r w:rsidRPr="00C546AB">
        <w:t>M</w:t>
      </w:r>
      <w:r w:rsidR="00C546AB">
        <w:t>assachusetts</w:t>
      </w:r>
      <w:r>
        <w:t xml:space="preserve"> ACSs </w:t>
      </w:r>
      <w:r w:rsidR="005B34CA">
        <w:t xml:space="preserve">identified three basic phases of student engagement, the ACSs partnered with A-GAME and the Department to </w:t>
      </w:r>
      <w:r w:rsidR="008D1DA1">
        <w:t xml:space="preserve">identify </w:t>
      </w:r>
      <w:r w:rsidR="001267CA">
        <w:t xml:space="preserve">the wide range of data ACSs could use </w:t>
      </w:r>
      <w:r w:rsidR="00DB32E9">
        <w:t>to identify a student’s engagement phase</w:t>
      </w:r>
      <w:r w:rsidR="005C0E9E">
        <w:t xml:space="preserve"> (Appendix A)</w:t>
      </w:r>
      <w:r w:rsidR="00DB32E9">
        <w:t xml:space="preserve">. </w:t>
      </w:r>
    </w:p>
    <w:p w14:paraId="2F50C890" w14:textId="309C9BBE" w:rsidR="005C0E9E" w:rsidRPr="001457B6" w:rsidRDefault="00283220" w:rsidP="001457B6">
      <w:r>
        <w:t xml:space="preserve">A-GAME and the Department partnered to create this guidance, which </w:t>
      </w:r>
      <w:r w:rsidR="00876824">
        <w:t xml:space="preserve">explains </w:t>
      </w:r>
      <w:r w:rsidR="00410DFD">
        <w:t xml:space="preserve">what data ACSs should use to determine each student’s engagement phase and </w:t>
      </w:r>
      <w:r w:rsidR="00600E5D">
        <w:t xml:space="preserve">how </w:t>
      </w:r>
      <w:r>
        <w:t>ACSs can</w:t>
      </w:r>
      <w:r w:rsidR="00600E5D">
        <w:t xml:space="preserve"> create goals that are rigorous and responsive to students at each engagement phase. </w:t>
      </w:r>
    </w:p>
    <w:p w14:paraId="5C28DC66" w14:textId="11B8AD33" w:rsidR="0027219D" w:rsidRDefault="0027219D" w:rsidP="00D90795">
      <w:r>
        <w:br w:type="page"/>
      </w:r>
    </w:p>
    <w:p w14:paraId="07F1150B" w14:textId="785657E1" w:rsidR="0027219D" w:rsidRDefault="00AC344A" w:rsidP="00E45B16">
      <w:pPr>
        <w:pStyle w:val="Heading1"/>
      </w:pPr>
      <w:bookmarkStart w:id="4" w:name="_Toc130294541"/>
      <w:r>
        <w:lastRenderedPageBreak/>
        <w:t xml:space="preserve">Part I: </w:t>
      </w:r>
      <w:r w:rsidR="0041624E">
        <w:t xml:space="preserve">Define </w:t>
      </w:r>
      <w:r w:rsidR="004B4047">
        <w:t xml:space="preserve">Each </w:t>
      </w:r>
      <w:r w:rsidR="00325AC4">
        <w:t>E</w:t>
      </w:r>
      <w:r w:rsidR="006A6181">
        <w:t>ngagement Phase</w:t>
      </w:r>
      <w:bookmarkEnd w:id="4"/>
    </w:p>
    <w:p w14:paraId="5C4F91DB" w14:textId="5840AA7B" w:rsidR="00857C12" w:rsidRDefault="00857C12" w:rsidP="00857C12">
      <w:pPr>
        <w:pStyle w:val="Heading2"/>
      </w:pPr>
      <w:bookmarkStart w:id="5" w:name="_Toc130294542"/>
      <w:r>
        <w:t xml:space="preserve">Step </w:t>
      </w:r>
      <w:r w:rsidR="00283220">
        <w:t>One</w:t>
      </w:r>
      <w:r>
        <w:t xml:space="preserve">: </w:t>
      </w:r>
      <w:r w:rsidR="00D7705C">
        <w:t>S</w:t>
      </w:r>
      <w:r w:rsidR="00684E01">
        <w:t xml:space="preserve">elect </w:t>
      </w:r>
      <w:r>
        <w:t xml:space="preserve">Data Points Appropriate for </w:t>
      </w:r>
      <w:r w:rsidR="005E66F5">
        <w:t>E</w:t>
      </w:r>
      <w:r>
        <w:t>ach Engagement Phase</w:t>
      </w:r>
      <w:bookmarkEnd w:id="5"/>
    </w:p>
    <w:p w14:paraId="5B1D031C" w14:textId="07799B3D" w:rsidR="004F3772" w:rsidRDefault="000104DA" w:rsidP="00AE083D">
      <w:r>
        <w:rPr>
          <w:i/>
          <w:iCs/>
        </w:rPr>
        <w:t xml:space="preserve">Appendix A: </w:t>
      </w:r>
      <w:r w:rsidR="00175343">
        <w:rPr>
          <w:i/>
          <w:iCs/>
        </w:rPr>
        <w:t>Category</w:t>
      </w:r>
      <w:r w:rsidR="007619E2" w:rsidRPr="007619E2">
        <w:rPr>
          <w:i/>
          <w:iCs/>
        </w:rPr>
        <w:t xml:space="preserve"> </w:t>
      </w:r>
      <w:r w:rsidR="007619E2">
        <w:rPr>
          <w:i/>
          <w:iCs/>
        </w:rPr>
        <w:t>Data Points</w:t>
      </w:r>
      <w:r w:rsidR="00E8756B">
        <w:t xml:space="preserve">, </w:t>
      </w:r>
      <w:r w:rsidR="00252F19">
        <w:t xml:space="preserve">presents </w:t>
      </w:r>
      <w:r w:rsidR="00AB3296">
        <w:t xml:space="preserve">four categories with related </w:t>
      </w:r>
      <w:r w:rsidR="004B5EBC">
        <w:t>data points a school can use to sort students into engagement phases</w:t>
      </w:r>
      <w:r w:rsidR="009C49AA">
        <w:t xml:space="preserve">. </w:t>
      </w:r>
      <w:r w:rsidR="00992086">
        <w:t>Each category is important for establishing student connectedness</w:t>
      </w:r>
      <w:r w:rsidR="0062385F">
        <w:t>; all four</w:t>
      </w:r>
      <w:r w:rsidR="00992086">
        <w:t xml:space="preserve"> </w:t>
      </w:r>
      <w:r w:rsidR="00A156F2">
        <w:t>categories</w:t>
      </w:r>
      <w:r w:rsidR="00992086">
        <w:t xml:space="preserve"> form a holistic view of a student’s engagement with school and likelihood to graduate with a high school diploma. </w:t>
      </w:r>
      <w:r w:rsidR="00D372DF">
        <w:t>Th</w:t>
      </w:r>
      <w:r w:rsidR="005106A8">
        <w:t>e four categories</w:t>
      </w:r>
      <w:r w:rsidR="0058292B">
        <w:t xml:space="preserve"> and data points</w:t>
      </w:r>
      <w:r w:rsidR="005106A8">
        <w:t xml:space="preserve"> include:</w:t>
      </w:r>
    </w:p>
    <w:p w14:paraId="119A5964" w14:textId="4D17DB15" w:rsidR="00AE083D" w:rsidRDefault="00AE083D" w:rsidP="00AE083D">
      <w:pPr>
        <w:pStyle w:val="ListParagraph"/>
        <w:numPr>
          <w:ilvl w:val="0"/>
          <w:numId w:val="29"/>
        </w:numPr>
      </w:pPr>
      <w:r>
        <w:t>Student Engagement Behaviors</w:t>
      </w:r>
    </w:p>
    <w:p w14:paraId="7C7EF394" w14:textId="5E4C725B" w:rsidR="00D372DF" w:rsidRDefault="00D372DF" w:rsidP="00D372DF">
      <w:pPr>
        <w:pStyle w:val="ListParagraph"/>
        <w:numPr>
          <w:ilvl w:val="1"/>
          <w:numId w:val="29"/>
        </w:numPr>
      </w:pPr>
      <w:r>
        <w:t>Attendance</w:t>
      </w:r>
    </w:p>
    <w:p w14:paraId="35CBE46D" w14:textId="11DA1CEC" w:rsidR="00D372DF" w:rsidRDefault="00D372DF" w:rsidP="00D372DF">
      <w:pPr>
        <w:pStyle w:val="ListParagraph"/>
        <w:numPr>
          <w:ilvl w:val="1"/>
          <w:numId w:val="29"/>
        </w:numPr>
      </w:pPr>
      <w:r>
        <w:t>Engagement Behaviors</w:t>
      </w:r>
    </w:p>
    <w:p w14:paraId="77943B8F" w14:textId="34AA2B13" w:rsidR="00D372DF" w:rsidRDefault="00F54C10" w:rsidP="00D372DF">
      <w:pPr>
        <w:pStyle w:val="ListParagraph"/>
        <w:numPr>
          <w:ilvl w:val="1"/>
          <w:numId w:val="29"/>
        </w:numPr>
      </w:pPr>
      <w:r>
        <w:t>Discipline</w:t>
      </w:r>
    </w:p>
    <w:p w14:paraId="5D197126" w14:textId="7F433A83" w:rsidR="00AE083D" w:rsidRDefault="001F77DC" w:rsidP="00AE083D">
      <w:pPr>
        <w:pStyle w:val="ListParagraph"/>
        <w:numPr>
          <w:ilvl w:val="0"/>
          <w:numId w:val="29"/>
        </w:numPr>
      </w:pPr>
      <w:r>
        <w:t>Academic Assessments</w:t>
      </w:r>
    </w:p>
    <w:p w14:paraId="51289FC9" w14:textId="1A807BF7" w:rsidR="00F54C10" w:rsidRDefault="00F54C10" w:rsidP="00F54C10">
      <w:pPr>
        <w:pStyle w:val="ListParagraph"/>
        <w:numPr>
          <w:ilvl w:val="1"/>
          <w:numId w:val="29"/>
        </w:numPr>
      </w:pPr>
      <w:r>
        <w:t xml:space="preserve">Reading Lexile </w:t>
      </w:r>
      <w:r w:rsidR="00D8044B">
        <w:t>L</w:t>
      </w:r>
      <w:r>
        <w:t>evel</w:t>
      </w:r>
    </w:p>
    <w:p w14:paraId="6516EA89" w14:textId="27173FF3" w:rsidR="00F54C10" w:rsidRDefault="00F54C10" w:rsidP="00F54C10">
      <w:pPr>
        <w:pStyle w:val="ListParagraph"/>
        <w:numPr>
          <w:ilvl w:val="1"/>
          <w:numId w:val="29"/>
        </w:numPr>
      </w:pPr>
      <w:r>
        <w:t>Reading Skill</w:t>
      </w:r>
    </w:p>
    <w:p w14:paraId="41FD05C6" w14:textId="41281869" w:rsidR="00F54C10" w:rsidRDefault="00F54C10" w:rsidP="00F54C10">
      <w:pPr>
        <w:pStyle w:val="ListParagraph"/>
        <w:numPr>
          <w:ilvl w:val="1"/>
          <w:numId w:val="29"/>
        </w:numPr>
      </w:pPr>
      <w:r>
        <w:t>Math Skill</w:t>
      </w:r>
    </w:p>
    <w:p w14:paraId="63F82577" w14:textId="3A3D3A81" w:rsidR="001F77DC" w:rsidRDefault="001F77DC" w:rsidP="00AE083D">
      <w:pPr>
        <w:pStyle w:val="ListParagraph"/>
        <w:numPr>
          <w:ilvl w:val="0"/>
          <w:numId w:val="29"/>
        </w:numPr>
      </w:pPr>
      <w:r>
        <w:t>On-Track to Graduate</w:t>
      </w:r>
    </w:p>
    <w:p w14:paraId="59FA2FD8" w14:textId="315A35A7" w:rsidR="00F54C10" w:rsidRDefault="002A730C" w:rsidP="00F54C10">
      <w:pPr>
        <w:pStyle w:val="ListParagraph"/>
        <w:numPr>
          <w:ilvl w:val="1"/>
          <w:numId w:val="29"/>
        </w:numPr>
      </w:pPr>
      <w:r>
        <w:t>Credit Accumulation</w:t>
      </w:r>
    </w:p>
    <w:p w14:paraId="6CC91FA2" w14:textId="46D8395F" w:rsidR="002A730C" w:rsidRDefault="002A730C" w:rsidP="00F54C10">
      <w:pPr>
        <w:pStyle w:val="ListParagraph"/>
        <w:numPr>
          <w:ilvl w:val="1"/>
          <w:numId w:val="29"/>
        </w:numPr>
      </w:pPr>
      <w:r>
        <w:t>Age</w:t>
      </w:r>
    </w:p>
    <w:p w14:paraId="701DBADD" w14:textId="440F2AC6" w:rsidR="002A730C" w:rsidRDefault="002A730C" w:rsidP="00F54C10">
      <w:pPr>
        <w:pStyle w:val="ListParagraph"/>
        <w:numPr>
          <w:ilvl w:val="1"/>
          <w:numId w:val="29"/>
        </w:numPr>
      </w:pPr>
      <w:r>
        <w:t>School Enrollment Gaps</w:t>
      </w:r>
    </w:p>
    <w:p w14:paraId="14E8BA6F" w14:textId="6B599D10" w:rsidR="002A730C" w:rsidRDefault="002A730C" w:rsidP="00F54C10">
      <w:pPr>
        <w:pStyle w:val="ListParagraph"/>
        <w:numPr>
          <w:ilvl w:val="1"/>
          <w:numId w:val="29"/>
        </w:numPr>
      </w:pPr>
      <w:r>
        <w:t>Number of Prior High Schools</w:t>
      </w:r>
    </w:p>
    <w:p w14:paraId="145E0A67" w14:textId="2FAE9651" w:rsidR="001F77DC" w:rsidRDefault="002F6DBA" w:rsidP="00AE083D">
      <w:pPr>
        <w:pStyle w:val="ListParagraph"/>
        <w:numPr>
          <w:ilvl w:val="0"/>
          <w:numId w:val="29"/>
        </w:numPr>
      </w:pPr>
      <w:r>
        <w:t>Life Experiences</w:t>
      </w:r>
    </w:p>
    <w:p w14:paraId="4E341C71" w14:textId="66DE426A" w:rsidR="002A730C" w:rsidRDefault="002F6DBA" w:rsidP="002A730C">
      <w:pPr>
        <w:pStyle w:val="ListParagraph"/>
        <w:numPr>
          <w:ilvl w:val="1"/>
          <w:numId w:val="29"/>
        </w:numPr>
      </w:pPr>
      <w:r>
        <w:t>Experiences of Trauma</w:t>
      </w:r>
    </w:p>
    <w:p w14:paraId="79F50775" w14:textId="04288788" w:rsidR="00CE13A0" w:rsidRDefault="00CE13A0" w:rsidP="002A730C">
      <w:pPr>
        <w:pStyle w:val="ListParagraph"/>
        <w:numPr>
          <w:ilvl w:val="1"/>
          <w:numId w:val="29"/>
        </w:numPr>
      </w:pPr>
      <w:r>
        <w:t>Obligations and/or Circumstances</w:t>
      </w:r>
      <w:r w:rsidR="002F6DBA">
        <w:t xml:space="preserve"> Outside of School</w:t>
      </w:r>
    </w:p>
    <w:p w14:paraId="161F0A1F" w14:textId="6B1C21A2" w:rsidR="00692596" w:rsidRDefault="005D59AF" w:rsidP="00CE13A0">
      <w:r>
        <w:t xml:space="preserve">ACSs should first select </w:t>
      </w:r>
      <w:r w:rsidRPr="0058292B">
        <w:rPr>
          <w:b/>
          <w:bCs/>
        </w:rPr>
        <w:t>at least one data point from each category</w:t>
      </w:r>
      <w:r>
        <w:t>.</w:t>
      </w:r>
      <w:r w:rsidR="0054334B">
        <w:t xml:space="preserve"> </w:t>
      </w:r>
      <w:r w:rsidR="00560C5A">
        <w:t>The four chosen</w:t>
      </w:r>
      <w:r w:rsidR="0054334B">
        <w:t xml:space="preserve"> data point</w:t>
      </w:r>
      <w:r w:rsidR="00560C5A">
        <w:t>s</w:t>
      </w:r>
      <w:r w:rsidR="0054334B">
        <w:t xml:space="preserve"> will help the school identify </w:t>
      </w:r>
      <w:r w:rsidR="00560C5A">
        <w:t xml:space="preserve">each student’s engagement phase for the year. </w:t>
      </w:r>
      <w:r w:rsidR="00B20E93">
        <w:t xml:space="preserve">A school can opt to select more than one data point per category; however, the school must </w:t>
      </w:r>
      <w:r w:rsidR="007147D7">
        <w:t>determine whether</w:t>
      </w:r>
      <w:r w:rsidR="0007089F">
        <w:t xml:space="preserve"> the benefits of having more data points to identify students’ engagement phases outweighs the </w:t>
      </w:r>
      <w:r w:rsidR="00435169">
        <w:t xml:space="preserve">amount of time and effort it will take the school to gather </w:t>
      </w:r>
      <w:r w:rsidR="00B350CE">
        <w:t>the</w:t>
      </w:r>
      <w:r w:rsidR="00435169">
        <w:t xml:space="preserve"> data. </w:t>
      </w:r>
    </w:p>
    <w:p w14:paraId="74BD6F26" w14:textId="1731815D" w:rsidR="00F11E76" w:rsidRPr="00692596" w:rsidRDefault="00E064A7" w:rsidP="005F70CC">
      <w:pPr>
        <w:rPr>
          <w:b/>
          <w:bCs/>
        </w:rPr>
      </w:pPr>
      <w:r>
        <w:t>When identifying which data point to identify per category, schools should consider</w:t>
      </w:r>
      <w:r w:rsidR="00692596">
        <w:t xml:space="preserve"> if the school </w:t>
      </w:r>
      <w:r w:rsidR="00CD1C95">
        <w:t xml:space="preserve">will be able to consistently report on </w:t>
      </w:r>
      <w:r w:rsidR="00692596">
        <w:t xml:space="preserve">its </w:t>
      </w:r>
      <w:r w:rsidR="002543DA">
        <w:t xml:space="preserve">chosen </w:t>
      </w:r>
      <w:r w:rsidR="00B0393E">
        <w:t>data point</w:t>
      </w:r>
      <w:r w:rsidR="002543DA">
        <w:t>s</w:t>
      </w:r>
      <w:r w:rsidR="00B0393E">
        <w:t xml:space="preserve"> throughout the entire</w:t>
      </w:r>
      <w:r w:rsidR="00FD64AF">
        <w:t xml:space="preserve"> </w:t>
      </w:r>
      <w:r w:rsidR="00692596">
        <w:t>five</w:t>
      </w:r>
      <w:r w:rsidR="00FD64AF">
        <w:t>-year</w:t>
      </w:r>
      <w:r w:rsidR="00B0393E">
        <w:t xml:space="preserve"> charter term. </w:t>
      </w:r>
      <w:r w:rsidR="00314F19">
        <w:t xml:space="preserve">The school must ensure that </w:t>
      </w:r>
      <w:r w:rsidR="002543DA">
        <w:t>it has</w:t>
      </w:r>
      <w:r w:rsidR="00314F19">
        <w:t xml:space="preserve"> access to the </w:t>
      </w:r>
      <w:r w:rsidR="00402FD0">
        <w:t xml:space="preserve">selected </w:t>
      </w:r>
      <w:r w:rsidR="00314F19">
        <w:t xml:space="preserve">data and plan accordingly for any anticipated challenges. </w:t>
      </w:r>
      <w:r w:rsidR="00F75B25" w:rsidDel="00EE34C2">
        <w:t xml:space="preserve"> </w:t>
      </w:r>
      <w:r w:rsidR="00F11E76">
        <w:t xml:space="preserve"> </w:t>
      </w:r>
    </w:p>
    <w:p w14:paraId="721BB46C" w14:textId="40D0D6EE" w:rsidR="007E281C" w:rsidRPr="00267A5F" w:rsidRDefault="00267A5F" w:rsidP="007E281C">
      <w:r>
        <w:t xml:space="preserve">If a school would like to use a data point for a category that is not listed in </w:t>
      </w:r>
      <w:r>
        <w:rPr>
          <w:i/>
          <w:iCs/>
        </w:rPr>
        <w:t>Appendix A</w:t>
      </w:r>
      <w:r>
        <w:t xml:space="preserve">, </w:t>
      </w:r>
      <w:r w:rsidR="002F1793">
        <w:t xml:space="preserve">then the school may request adding a new </w:t>
      </w:r>
      <w:r w:rsidR="00743797">
        <w:t xml:space="preserve">data point with Department approval. </w:t>
      </w:r>
    </w:p>
    <w:p w14:paraId="7F55E058" w14:textId="7BAB73A8" w:rsidR="007E20F1" w:rsidRDefault="009D1845" w:rsidP="00355865">
      <w:pPr>
        <w:pStyle w:val="Heading2"/>
        <w:rPr>
          <w:szCs w:val="28"/>
        </w:rPr>
      </w:pPr>
      <w:bookmarkStart w:id="6" w:name="_Toc130294543"/>
      <w:r>
        <w:rPr>
          <w:szCs w:val="28"/>
        </w:rPr>
        <w:t xml:space="preserve">Step Three: Identify </w:t>
      </w:r>
      <w:r w:rsidR="00B31F55">
        <w:rPr>
          <w:szCs w:val="28"/>
        </w:rPr>
        <w:t>S</w:t>
      </w:r>
      <w:r>
        <w:rPr>
          <w:szCs w:val="28"/>
        </w:rPr>
        <w:t>tudents</w:t>
      </w:r>
      <w:r w:rsidR="00B31F55">
        <w:rPr>
          <w:szCs w:val="28"/>
        </w:rPr>
        <w:t>’</w:t>
      </w:r>
      <w:r>
        <w:rPr>
          <w:szCs w:val="28"/>
        </w:rPr>
        <w:t xml:space="preserve"> Engagement Phase</w:t>
      </w:r>
      <w:r w:rsidR="00B31F55">
        <w:rPr>
          <w:szCs w:val="28"/>
        </w:rPr>
        <w:t>s</w:t>
      </w:r>
      <w:bookmarkEnd w:id="6"/>
    </w:p>
    <w:p w14:paraId="05CFB493" w14:textId="032C1F84" w:rsidR="00D024A6" w:rsidRDefault="0093231E" w:rsidP="00476720">
      <w:r>
        <w:t xml:space="preserve">Once the school has identified </w:t>
      </w:r>
      <w:r w:rsidR="000D7D4A">
        <w:t>at least one data point</w:t>
      </w:r>
      <w:r>
        <w:t xml:space="preserve"> for each category, the school should gather all the </w:t>
      </w:r>
      <w:r w:rsidR="009E4655">
        <w:t xml:space="preserve">necessary </w:t>
      </w:r>
      <w:r>
        <w:t xml:space="preserve">data to identify students’ engagement phases </w:t>
      </w:r>
      <w:r w:rsidRPr="006230DB">
        <w:rPr>
          <w:b/>
          <w:bCs/>
        </w:rPr>
        <w:t>e</w:t>
      </w:r>
      <w:r w:rsidR="00B31F55" w:rsidRPr="006230DB">
        <w:rPr>
          <w:b/>
          <w:bCs/>
        </w:rPr>
        <w:t xml:space="preserve">ither by October 1 or within the first four to six weeks of a student enrolling </w:t>
      </w:r>
      <w:r w:rsidR="00C72300" w:rsidRPr="006230DB">
        <w:rPr>
          <w:b/>
          <w:bCs/>
        </w:rPr>
        <w:t>at</w:t>
      </w:r>
      <w:r w:rsidR="00B31F55" w:rsidRPr="006230DB">
        <w:rPr>
          <w:b/>
          <w:bCs/>
        </w:rPr>
        <w:t xml:space="preserve"> the school</w:t>
      </w:r>
      <w:r w:rsidR="00656F25">
        <w:rPr>
          <w:b/>
          <w:bCs/>
        </w:rPr>
        <w:t xml:space="preserve"> </w:t>
      </w:r>
      <w:r w:rsidR="00656F25">
        <w:t>(</w:t>
      </w:r>
      <w:r w:rsidR="00E844B3">
        <w:t xml:space="preserve">although a majority of goals will be focused on students who are enrolled for the full academic year, schools should be assigning </w:t>
      </w:r>
      <w:r w:rsidR="00E844B3" w:rsidRPr="00F55510">
        <w:rPr>
          <w:u w:val="single"/>
        </w:rPr>
        <w:t>all</w:t>
      </w:r>
      <w:r w:rsidR="00E844B3">
        <w:t xml:space="preserve"> students to an engagement phase upon four to six </w:t>
      </w:r>
      <w:r w:rsidR="005D60A7">
        <w:t>weeks of enrollment</w:t>
      </w:r>
      <w:r w:rsidR="00C512E3">
        <w:t xml:space="preserve"> to ensure </w:t>
      </w:r>
      <w:r w:rsidR="00E85A58">
        <w:t xml:space="preserve">schools are </w:t>
      </w:r>
      <w:r w:rsidR="009B5E0C">
        <w:t xml:space="preserve">gathering data and </w:t>
      </w:r>
      <w:r w:rsidR="006947F6">
        <w:t>assessing progress</w:t>
      </w:r>
      <w:r w:rsidR="007640DC">
        <w:t xml:space="preserve"> </w:t>
      </w:r>
      <w:r w:rsidR="001B5872">
        <w:t>for</w:t>
      </w:r>
      <w:r w:rsidR="007640DC">
        <w:t xml:space="preserve"> </w:t>
      </w:r>
      <w:r w:rsidR="007640DC">
        <w:rPr>
          <w:u w:val="single"/>
        </w:rPr>
        <w:t>all students</w:t>
      </w:r>
      <w:r w:rsidR="007501A6">
        <w:t>)</w:t>
      </w:r>
      <w:r w:rsidRPr="006230DB">
        <w:rPr>
          <w:b/>
          <w:bCs/>
        </w:rPr>
        <w:t>.</w:t>
      </w:r>
      <w:r w:rsidR="003C5878" w:rsidRPr="006230DB">
        <w:rPr>
          <w:b/>
          <w:bCs/>
        </w:rPr>
        <w:t xml:space="preserve"> </w:t>
      </w:r>
      <w:r w:rsidR="00F93694" w:rsidRPr="00F93694">
        <w:t>The table below</w:t>
      </w:r>
      <w:r w:rsidR="00D024A6">
        <w:t xml:space="preserve"> provides an example of how a school could use a dashboard </w:t>
      </w:r>
      <w:r w:rsidR="004A7E8A">
        <w:t xml:space="preserve">of </w:t>
      </w:r>
      <w:r w:rsidR="00D024A6">
        <w:t xml:space="preserve">its selected data points to identify students’ engagement phases. </w:t>
      </w:r>
    </w:p>
    <w:p w14:paraId="1E9E799F" w14:textId="2D5C933C" w:rsidR="00FB6B74" w:rsidRDefault="00FB6B74" w:rsidP="00FB6B74">
      <w:pPr>
        <w:spacing w:after="0" w:line="276" w:lineRule="auto"/>
        <w:rPr>
          <w:b/>
        </w:rPr>
      </w:pPr>
      <w:r>
        <w:rPr>
          <w:b/>
        </w:rPr>
        <w:lastRenderedPageBreak/>
        <w:t>Table 1. Example Dashboard Showing Students’ Engagement Phases</w:t>
      </w:r>
    </w:p>
    <w:p w14:paraId="53892DA0" w14:textId="092EEE1C" w:rsidR="005554C7" w:rsidRDefault="004D15FE" w:rsidP="00FB6B74">
      <w:pPr>
        <w:spacing w:after="0" w:line="276" w:lineRule="auto"/>
        <w:rPr>
          <w:b/>
        </w:rPr>
      </w:pPr>
      <w:r w:rsidRPr="004D15FE">
        <w:rPr>
          <w:noProof/>
        </w:rPr>
        <w:drawing>
          <wp:inline distT="0" distB="0" distL="0" distR="0" wp14:anchorId="7A626953" wp14:editId="7406CDE0">
            <wp:extent cx="5943600" cy="4100195"/>
            <wp:effectExtent l="0" t="0" r="0" b="0"/>
            <wp:docPr id="5" name="Picture 5" descr="Example Dashboard Showing Students’ Engagement Phases in columns: Categories, Life Experiences, On-Track to Graduate, Student Engagement Behaviors, and Academic Assess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xample Dashboard Showing Students’ Engagement Phases in columns: Categories, Life Experiences, On-Track to Graduate, Student Engagement Behaviors, and Academic Assessment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100195"/>
                    </a:xfrm>
                    <a:prstGeom prst="rect">
                      <a:avLst/>
                    </a:prstGeom>
                    <a:noFill/>
                    <a:ln>
                      <a:noFill/>
                    </a:ln>
                  </pic:spPr>
                </pic:pic>
              </a:graphicData>
            </a:graphic>
          </wp:inline>
        </w:drawing>
      </w:r>
    </w:p>
    <w:p w14:paraId="0F5AD950" w14:textId="03D46211" w:rsidR="00E850FB" w:rsidRDefault="00E850FB" w:rsidP="001209ED">
      <w:pPr>
        <w:spacing w:before="200"/>
      </w:pPr>
      <w:r>
        <w:t xml:space="preserve">As noted in the table above, </w:t>
      </w:r>
      <w:r w:rsidR="008D52F0">
        <w:t xml:space="preserve">for each of the four categories (life experiences, on-track to graduate, student engagement behaviors, and academic assessments) </w:t>
      </w:r>
      <w:r>
        <w:t>this school decided to use four data points to determine students’ engagement phases:</w:t>
      </w:r>
    </w:p>
    <w:p w14:paraId="70A68C2B" w14:textId="1F50ADAF" w:rsidR="00EB11E7" w:rsidRDefault="00EB11E7" w:rsidP="00890862">
      <w:pPr>
        <w:pStyle w:val="ListParagraph"/>
        <w:numPr>
          <w:ilvl w:val="0"/>
          <w:numId w:val="43"/>
        </w:numPr>
        <w:spacing w:before="200"/>
      </w:pPr>
      <w:r>
        <w:t>Number o</w:t>
      </w:r>
      <w:r w:rsidR="00890862">
        <w:t>f obligations/circumstances outside of school</w:t>
      </w:r>
    </w:p>
    <w:p w14:paraId="7523E6CA" w14:textId="55F394C2" w:rsidR="00890862" w:rsidRDefault="00890862" w:rsidP="00890862">
      <w:pPr>
        <w:pStyle w:val="ListParagraph"/>
        <w:numPr>
          <w:ilvl w:val="0"/>
          <w:numId w:val="43"/>
        </w:numPr>
        <w:spacing w:before="200"/>
      </w:pPr>
      <w:r>
        <w:t>Number of prior high schools</w:t>
      </w:r>
    </w:p>
    <w:p w14:paraId="7C9EC8AA" w14:textId="06C56E0E" w:rsidR="00890862" w:rsidRDefault="00890862" w:rsidP="00890862">
      <w:pPr>
        <w:pStyle w:val="ListParagraph"/>
        <w:numPr>
          <w:ilvl w:val="0"/>
          <w:numId w:val="43"/>
        </w:numPr>
        <w:spacing w:before="200"/>
      </w:pPr>
      <w:r>
        <w:t>Engagement behaviors (# of touch points on average per week)</w:t>
      </w:r>
    </w:p>
    <w:p w14:paraId="04BB46F7" w14:textId="65A5D1D8" w:rsidR="00890862" w:rsidRDefault="00AD6A0E" w:rsidP="00890862">
      <w:pPr>
        <w:pStyle w:val="ListParagraph"/>
        <w:numPr>
          <w:ilvl w:val="0"/>
          <w:numId w:val="43"/>
        </w:numPr>
        <w:spacing w:before="200"/>
      </w:pPr>
      <w:r>
        <w:t>Reading Lexile level</w:t>
      </w:r>
    </w:p>
    <w:p w14:paraId="5EE6D3D7" w14:textId="5FA2419A" w:rsidR="00C81F6A" w:rsidRDefault="00C54A2F" w:rsidP="00C81F6A">
      <w:pPr>
        <w:spacing w:before="200"/>
      </w:pPr>
      <w:r>
        <w:t xml:space="preserve">The school color coded each data point to signal if the data reflected behaviors common with a minimally connected (red), partially connected (yellow), or connected (green) student. Then, the school used the four data points to determine each student’s engagement phase. </w:t>
      </w:r>
    </w:p>
    <w:p w14:paraId="15E22182" w14:textId="28F36C0D" w:rsidR="00C54A2F" w:rsidRDefault="008C6168" w:rsidP="00C81F6A">
      <w:pPr>
        <w:spacing w:before="200"/>
      </w:pPr>
      <w:r>
        <w:t>T</w:t>
      </w:r>
      <w:r w:rsidR="00D36F16">
        <w:t xml:space="preserve">o </w:t>
      </w:r>
      <w:r w:rsidR="003B622D">
        <w:t>identify each student’s engagement levels</w:t>
      </w:r>
      <w:r w:rsidR="00F55510">
        <w:t>,</w:t>
      </w:r>
      <w:r w:rsidR="0054649D">
        <w:t xml:space="preserve"> </w:t>
      </w:r>
      <w:r w:rsidR="00D230E0">
        <w:t xml:space="preserve">categorize a student according to </w:t>
      </w:r>
      <w:proofErr w:type="gramStart"/>
      <w:r w:rsidR="00D230E0">
        <w:t>the majority of</w:t>
      </w:r>
      <w:proofErr w:type="gramEnd"/>
      <w:r w:rsidR="00D230E0">
        <w:t xml:space="preserve"> the </w:t>
      </w:r>
      <w:r w:rsidR="00D27130">
        <w:t>evidence</w:t>
      </w:r>
      <w:r w:rsidR="00593CC1">
        <w:t xml:space="preserve">, </w:t>
      </w:r>
      <w:r w:rsidR="00AC058E">
        <w:t>similar to</w:t>
      </w:r>
      <w:r w:rsidR="00593CC1">
        <w:t xml:space="preserve"> what the school used in table 1 above</w:t>
      </w:r>
      <w:r w:rsidR="00C54A2F">
        <w:t xml:space="preserve"> to assign students</w:t>
      </w:r>
      <w:r w:rsidR="003B622D">
        <w:t xml:space="preserve">’ </w:t>
      </w:r>
      <w:r w:rsidR="00C54A2F">
        <w:t xml:space="preserve">engagement phases. </w:t>
      </w:r>
    </w:p>
    <w:p w14:paraId="63E27FF7" w14:textId="77777777" w:rsidR="00547135" w:rsidRDefault="009F66F9" w:rsidP="00C54A2F">
      <w:pPr>
        <w:pStyle w:val="ListParagraph"/>
        <w:numPr>
          <w:ilvl w:val="0"/>
          <w:numId w:val="44"/>
        </w:numPr>
        <w:spacing w:before="200"/>
      </w:pPr>
      <w:r>
        <w:t xml:space="preserve">A minimally connected </w:t>
      </w:r>
      <w:r w:rsidR="00F3063C">
        <w:t xml:space="preserve">(MC) </w:t>
      </w:r>
      <w:r>
        <w:t xml:space="preserve">student </w:t>
      </w:r>
      <w:r w:rsidR="00F3063C">
        <w:t>either had</w:t>
      </w:r>
      <w:r w:rsidR="00547135">
        <w:t>:</w:t>
      </w:r>
    </w:p>
    <w:p w14:paraId="6127E4BC" w14:textId="3403A1C5" w:rsidR="00547135" w:rsidRDefault="003B622D" w:rsidP="00547135">
      <w:pPr>
        <w:pStyle w:val="ListParagraph"/>
        <w:numPr>
          <w:ilvl w:val="1"/>
          <w:numId w:val="44"/>
        </w:numPr>
        <w:spacing w:before="200"/>
      </w:pPr>
      <w:r>
        <w:t>Four MC data points</w:t>
      </w:r>
      <w:r w:rsidR="00F36BB8">
        <w:t>, or</w:t>
      </w:r>
    </w:p>
    <w:p w14:paraId="2B7D8537" w14:textId="483735AE" w:rsidR="00C54A2F" w:rsidRDefault="00F36BB8" w:rsidP="00547135">
      <w:pPr>
        <w:pStyle w:val="ListParagraph"/>
        <w:numPr>
          <w:ilvl w:val="1"/>
          <w:numId w:val="44"/>
        </w:numPr>
        <w:spacing w:before="200"/>
      </w:pPr>
      <w:r>
        <w:t xml:space="preserve">Two MC data points and 1 </w:t>
      </w:r>
      <w:r w:rsidR="0067536B">
        <w:t>partially connected (PC)</w:t>
      </w:r>
      <w:r>
        <w:t xml:space="preserve"> data point</w:t>
      </w:r>
      <w:r w:rsidR="00F3063C">
        <w:t xml:space="preserve"> </w:t>
      </w:r>
    </w:p>
    <w:p w14:paraId="0DBDA939" w14:textId="6CECEA6A" w:rsidR="00117969" w:rsidRDefault="00117969" w:rsidP="00547135">
      <w:pPr>
        <w:pStyle w:val="ListParagraph"/>
        <w:numPr>
          <w:ilvl w:val="1"/>
          <w:numId w:val="44"/>
        </w:numPr>
        <w:spacing w:before="200"/>
      </w:pPr>
      <w:r>
        <w:t>One MC data point, two PC data points, and 1 C</w:t>
      </w:r>
      <w:r w:rsidR="0067536B">
        <w:t>onnected (C)</w:t>
      </w:r>
      <w:r>
        <w:t xml:space="preserve"> data point</w:t>
      </w:r>
    </w:p>
    <w:p w14:paraId="548D6125" w14:textId="77777777" w:rsidR="00547135" w:rsidRDefault="004010EE" w:rsidP="00C54A2F">
      <w:pPr>
        <w:pStyle w:val="ListParagraph"/>
        <w:numPr>
          <w:ilvl w:val="0"/>
          <w:numId w:val="44"/>
        </w:numPr>
        <w:spacing w:before="200"/>
      </w:pPr>
      <w:r>
        <w:t>A partially connected (PC) student either had</w:t>
      </w:r>
      <w:r w:rsidR="00547135">
        <w:t>:</w:t>
      </w:r>
    </w:p>
    <w:p w14:paraId="05C3333B" w14:textId="76117EF8" w:rsidR="004010EE" w:rsidRDefault="004805E8" w:rsidP="00547135">
      <w:pPr>
        <w:pStyle w:val="ListParagraph"/>
        <w:numPr>
          <w:ilvl w:val="1"/>
          <w:numId w:val="44"/>
        </w:numPr>
        <w:spacing w:before="200"/>
      </w:pPr>
      <w:r>
        <w:t>F</w:t>
      </w:r>
      <w:r w:rsidR="00547135">
        <w:t xml:space="preserve">our </w:t>
      </w:r>
      <w:r>
        <w:t xml:space="preserve">PC </w:t>
      </w:r>
      <w:r w:rsidR="00547135">
        <w:t xml:space="preserve">data points, </w:t>
      </w:r>
    </w:p>
    <w:p w14:paraId="1840E7AF" w14:textId="399D0A6A" w:rsidR="00B2489A" w:rsidRDefault="00B2489A" w:rsidP="00547135">
      <w:pPr>
        <w:pStyle w:val="ListParagraph"/>
        <w:numPr>
          <w:ilvl w:val="1"/>
          <w:numId w:val="44"/>
        </w:numPr>
        <w:spacing w:before="200"/>
      </w:pPr>
      <w:r>
        <w:lastRenderedPageBreak/>
        <w:t>Three PC data points and one MC data point,</w:t>
      </w:r>
    </w:p>
    <w:p w14:paraId="02D70946" w14:textId="4F986480" w:rsidR="00547135" w:rsidRDefault="004805E8" w:rsidP="00547135">
      <w:pPr>
        <w:pStyle w:val="ListParagraph"/>
        <w:numPr>
          <w:ilvl w:val="1"/>
          <w:numId w:val="44"/>
        </w:numPr>
        <w:spacing w:before="200"/>
      </w:pPr>
      <w:r>
        <w:t>T</w:t>
      </w:r>
      <w:r w:rsidR="00547135">
        <w:t xml:space="preserve">wo </w:t>
      </w:r>
      <w:r>
        <w:t xml:space="preserve">MC </w:t>
      </w:r>
      <w:r w:rsidR="00547135">
        <w:t xml:space="preserve">data points and </w:t>
      </w:r>
      <w:r>
        <w:t>two</w:t>
      </w:r>
      <w:r w:rsidR="00547135">
        <w:t xml:space="preserve"> </w:t>
      </w:r>
      <w:r>
        <w:t xml:space="preserve">PC </w:t>
      </w:r>
      <w:r w:rsidR="00547135">
        <w:t>data points</w:t>
      </w:r>
      <w:r w:rsidR="00D16E4A">
        <w:t xml:space="preserve">, </w:t>
      </w:r>
    </w:p>
    <w:p w14:paraId="223A5862" w14:textId="1A7BE286" w:rsidR="00547135" w:rsidRDefault="004805E8" w:rsidP="00547135">
      <w:pPr>
        <w:pStyle w:val="ListParagraph"/>
        <w:numPr>
          <w:ilvl w:val="1"/>
          <w:numId w:val="44"/>
        </w:numPr>
        <w:spacing w:before="200"/>
      </w:pPr>
      <w:r>
        <w:t>One</w:t>
      </w:r>
      <w:r w:rsidR="00DB3F0B">
        <w:t xml:space="preserve"> </w:t>
      </w:r>
      <w:r>
        <w:t xml:space="preserve">MC </w:t>
      </w:r>
      <w:r w:rsidR="00DB3F0B">
        <w:t>data point</w:t>
      </w:r>
      <w:r>
        <w:t>,</w:t>
      </w:r>
      <w:r w:rsidR="00DB3F0B">
        <w:t xml:space="preserve"> one </w:t>
      </w:r>
      <w:r>
        <w:t xml:space="preserve">C </w:t>
      </w:r>
      <w:r w:rsidR="00DB3F0B">
        <w:t>data point</w:t>
      </w:r>
      <w:r w:rsidR="00075F4D">
        <w:t xml:space="preserve">, and two </w:t>
      </w:r>
      <w:r>
        <w:t xml:space="preserve">PC </w:t>
      </w:r>
      <w:r w:rsidR="00075F4D">
        <w:t>data points</w:t>
      </w:r>
      <w:r w:rsidR="006B5381">
        <w:t>, or</w:t>
      </w:r>
    </w:p>
    <w:p w14:paraId="1DADDC8A" w14:textId="7EFAC3C8" w:rsidR="006B5381" w:rsidRDefault="006B5381" w:rsidP="00547135">
      <w:pPr>
        <w:pStyle w:val="ListParagraph"/>
        <w:numPr>
          <w:ilvl w:val="1"/>
          <w:numId w:val="44"/>
        </w:numPr>
        <w:spacing w:before="200"/>
      </w:pPr>
      <w:r>
        <w:t>Two MC data points, one C data point, and one PC data point</w:t>
      </w:r>
    </w:p>
    <w:p w14:paraId="0E90DB6A" w14:textId="5359980F" w:rsidR="00075F4D" w:rsidRDefault="00075F4D" w:rsidP="00075F4D">
      <w:pPr>
        <w:pStyle w:val="ListParagraph"/>
        <w:numPr>
          <w:ilvl w:val="0"/>
          <w:numId w:val="44"/>
        </w:numPr>
        <w:spacing w:before="200"/>
      </w:pPr>
      <w:r>
        <w:t xml:space="preserve">A connected (C) student </w:t>
      </w:r>
      <w:r w:rsidR="00FB758C">
        <w:t>either had:</w:t>
      </w:r>
    </w:p>
    <w:p w14:paraId="2F2B5496" w14:textId="2318023B" w:rsidR="00FB758C" w:rsidRDefault="00976C27" w:rsidP="00FB758C">
      <w:pPr>
        <w:pStyle w:val="ListParagraph"/>
        <w:numPr>
          <w:ilvl w:val="1"/>
          <w:numId w:val="44"/>
        </w:numPr>
        <w:spacing w:before="200"/>
      </w:pPr>
      <w:r>
        <w:t>F</w:t>
      </w:r>
      <w:r w:rsidR="00FB758C">
        <w:t xml:space="preserve">our </w:t>
      </w:r>
      <w:r>
        <w:t xml:space="preserve">C </w:t>
      </w:r>
      <w:r w:rsidR="00FB758C">
        <w:t>data points</w:t>
      </w:r>
      <w:r w:rsidR="00D16E4A">
        <w:t>, OR</w:t>
      </w:r>
    </w:p>
    <w:p w14:paraId="1F36CE92" w14:textId="29EAA960" w:rsidR="00FB758C" w:rsidRDefault="00FB758C" w:rsidP="00FB758C">
      <w:pPr>
        <w:pStyle w:val="ListParagraph"/>
        <w:numPr>
          <w:ilvl w:val="1"/>
          <w:numId w:val="44"/>
        </w:numPr>
        <w:spacing w:before="200"/>
      </w:pPr>
      <w:r>
        <w:t xml:space="preserve">Two </w:t>
      </w:r>
      <w:r w:rsidR="00976C27">
        <w:t xml:space="preserve">C </w:t>
      </w:r>
      <w:r>
        <w:t xml:space="preserve">data points and two </w:t>
      </w:r>
      <w:r w:rsidR="00976C27">
        <w:t xml:space="preserve">MC </w:t>
      </w:r>
      <w:r>
        <w:t>data points</w:t>
      </w:r>
    </w:p>
    <w:p w14:paraId="6784BBC2" w14:textId="08F162F1" w:rsidR="00A473A7" w:rsidRDefault="004C26DC" w:rsidP="00476720">
      <w:r>
        <w:t>Once the school has assigned all students to an engagement phase, t</w:t>
      </w:r>
      <w:r w:rsidR="00FF6DEA">
        <w:t xml:space="preserve">he school should review each student’s engagement phase </w:t>
      </w:r>
      <w:r w:rsidR="005C5D0F">
        <w:t xml:space="preserve">to determine whether the identified engagement phase is consistent with staff’s observations of the student. </w:t>
      </w:r>
      <w:r w:rsidR="00A258BD">
        <w:t xml:space="preserve">There may be cases where staff disagree with the engagement phase identified </w:t>
      </w:r>
      <w:r w:rsidR="00A473A7">
        <w:t>for the student through the data points. If that is the case, the staff must use professional judgment. Three key practices to establish to ensure reliability of students’ engagement phases are:</w:t>
      </w:r>
    </w:p>
    <w:p w14:paraId="41305F48" w14:textId="58F1BE7C" w:rsidR="00A473A7" w:rsidRDefault="00A473A7" w:rsidP="00A473A7">
      <w:pPr>
        <w:pStyle w:val="ListParagraph"/>
        <w:numPr>
          <w:ilvl w:val="0"/>
          <w:numId w:val="33"/>
        </w:numPr>
      </w:pPr>
      <w:r>
        <w:t xml:space="preserve">Having the same </w:t>
      </w:r>
      <w:r w:rsidR="00BE07A0">
        <w:t>team of people determine engagement phases for all students</w:t>
      </w:r>
    </w:p>
    <w:p w14:paraId="4D257B7B" w14:textId="2F6D6A21" w:rsidR="00BE07A0" w:rsidRDefault="00BE07A0" w:rsidP="00A473A7">
      <w:pPr>
        <w:pStyle w:val="ListParagraph"/>
        <w:numPr>
          <w:ilvl w:val="0"/>
          <w:numId w:val="33"/>
        </w:numPr>
      </w:pPr>
      <w:r>
        <w:t>Us</w:t>
      </w:r>
      <w:r w:rsidR="00092D7B">
        <w:t>ing</w:t>
      </w:r>
      <w:r>
        <w:t xml:space="preserve"> the same process and data when determining engagement phases</w:t>
      </w:r>
    </w:p>
    <w:p w14:paraId="17971786" w14:textId="4CD4A433" w:rsidR="00BE07A0" w:rsidRDefault="00BE07A0" w:rsidP="00A473A7">
      <w:pPr>
        <w:pStyle w:val="ListParagraph"/>
        <w:numPr>
          <w:ilvl w:val="0"/>
          <w:numId w:val="33"/>
        </w:numPr>
      </w:pPr>
      <w:r>
        <w:t>Weigh</w:t>
      </w:r>
      <w:r w:rsidR="007C3EB2">
        <w:t>ing</w:t>
      </w:r>
      <w:r>
        <w:t xml:space="preserve"> recent, observable data over historical data (While past life events are important, they do not always correlate with current behaviors). </w:t>
      </w:r>
    </w:p>
    <w:p w14:paraId="4530941D" w14:textId="498BFA85" w:rsidR="00394A87" w:rsidRDefault="007F6711" w:rsidP="007F6711">
      <w:r>
        <w:t xml:space="preserve">Once a student’s engagement phase is determined by October 1 or within the first four to six weeks of enrollment, the school may </w:t>
      </w:r>
      <w:r>
        <w:rPr>
          <w:b/>
          <w:bCs/>
        </w:rPr>
        <w:t>not</w:t>
      </w:r>
      <w:r>
        <w:t xml:space="preserve"> change a student’s engagement phase </w:t>
      </w:r>
      <w:r w:rsidR="004D1B7F">
        <w:t xml:space="preserve">throughout the course of the year without clear, recorded evidence of changed external life experience(s) (e.g., move, acute trauma, etc.). </w:t>
      </w:r>
      <w:r w:rsidR="003C7E59">
        <w:t xml:space="preserve">Establishing and maintaining records of students’ engagement phases upon enrollment is critical to the validity and reliability of </w:t>
      </w:r>
      <w:r w:rsidR="009342FE">
        <w:t xml:space="preserve">the school demonstrating progress in meeting its Accountability Plan goals. </w:t>
      </w:r>
    </w:p>
    <w:p w14:paraId="1061AFEF" w14:textId="0A871C6E" w:rsidR="009342FE" w:rsidRDefault="009342FE" w:rsidP="007F6711">
      <w:r>
        <w:t>The Department reserves the right to audit and review ACS</w:t>
      </w:r>
      <w:r w:rsidR="008D6185">
        <w:t xml:space="preserve">s data or data collection protocols and practices at any time. The purpose of an audit is to ensure students are being properly identified into the engagement phase that best meets their academic and social-emotional needs and to provide the school with actionable information that maximizes their ability to support students’ educational and social-emotional development. Failure to provide supporting documentation may result in the student being counted as </w:t>
      </w:r>
      <w:r w:rsidR="0098786E">
        <w:t xml:space="preserve">Connected for purposes of measuring the school’s goals. </w:t>
      </w:r>
    </w:p>
    <w:p w14:paraId="2E7B50E1" w14:textId="5DEF0BB6" w:rsidR="00AC344A" w:rsidRDefault="00AC344A" w:rsidP="00AC344A">
      <w:pPr>
        <w:pStyle w:val="Heading1"/>
      </w:pPr>
      <w:bookmarkStart w:id="7" w:name="_Toc130294544"/>
      <w:r>
        <w:lastRenderedPageBreak/>
        <w:t>Part II: Creat</w:t>
      </w:r>
      <w:r w:rsidR="00325AC4">
        <w:t>e</w:t>
      </w:r>
      <w:r>
        <w:t xml:space="preserve"> Responsive Goals</w:t>
      </w:r>
      <w:bookmarkEnd w:id="7"/>
    </w:p>
    <w:p w14:paraId="49B780CF" w14:textId="2CADC9AF" w:rsidR="0049425B" w:rsidRPr="008F41D6" w:rsidRDefault="00AD66CE" w:rsidP="007A4B8E">
      <w:r>
        <w:t xml:space="preserve">An ACS may choose to make all or some of its goals in its Accountability Plan responsive, but the </w:t>
      </w:r>
      <w:r w:rsidRPr="003A63FC">
        <w:rPr>
          <w:b/>
          <w:bCs/>
        </w:rPr>
        <w:t xml:space="preserve">Department requires </w:t>
      </w:r>
      <w:r w:rsidR="00931FD5">
        <w:rPr>
          <w:b/>
          <w:bCs/>
        </w:rPr>
        <w:t xml:space="preserve">at a minimum that </w:t>
      </w:r>
      <w:r w:rsidRPr="003A63FC">
        <w:rPr>
          <w:b/>
          <w:bCs/>
        </w:rPr>
        <w:t xml:space="preserve">ACSs make responsive goals related to </w:t>
      </w:r>
      <w:r w:rsidRPr="00AD66CE">
        <w:rPr>
          <w:b/>
          <w:bCs/>
          <w:u w:val="single"/>
        </w:rPr>
        <w:t xml:space="preserve">academic achievement and </w:t>
      </w:r>
      <w:r w:rsidRPr="00F55510">
        <w:rPr>
          <w:b/>
          <w:bCs/>
          <w:u w:val="single"/>
        </w:rPr>
        <w:t xml:space="preserve">growth </w:t>
      </w:r>
      <w:r w:rsidR="00AE28C7" w:rsidRPr="00F55510">
        <w:rPr>
          <w:b/>
          <w:bCs/>
          <w:u w:val="single"/>
        </w:rPr>
        <w:t>and graduation rates</w:t>
      </w:r>
      <w:r w:rsidR="00AE28C7">
        <w:rPr>
          <w:b/>
          <w:bCs/>
        </w:rPr>
        <w:t xml:space="preserve"> </w:t>
      </w:r>
      <w:r>
        <w:rPr>
          <w:b/>
          <w:bCs/>
        </w:rPr>
        <w:t>for students at each engagement phase</w:t>
      </w:r>
      <w:r w:rsidRPr="003A63FC">
        <w:rPr>
          <w:b/>
          <w:bCs/>
        </w:rPr>
        <w:t>.</w:t>
      </w:r>
      <w:r w:rsidR="008F41D6">
        <w:rPr>
          <w:b/>
          <w:bCs/>
        </w:rPr>
        <w:t xml:space="preserve"> </w:t>
      </w:r>
      <w:r w:rsidR="008F41D6">
        <w:t xml:space="preserve">Additional goals </w:t>
      </w:r>
      <w:r w:rsidR="00907516">
        <w:t>related to</w:t>
      </w:r>
      <w:r w:rsidR="008F41D6">
        <w:t xml:space="preserve"> student performance, such as dropout rates, course completion, </w:t>
      </w:r>
      <w:r w:rsidR="003D34B4">
        <w:t xml:space="preserve">assessment participation rates, do not need to be responsive. </w:t>
      </w:r>
    </w:p>
    <w:p w14:paraId="7CEA9FF5" w14:textId="3F1605A2" w:rsidR="00C37185" w:rsidRDefault="00C37185" w:rsidP="00632078">
      <w:r>
        <w:t xml:space="preserve">Responsive goals are student-centered and </w:t>
      </w:r>
      <w:r w:rsidR="00093283">
        <w:t>differentiated according to students’ engagement phases. Responsive goals ensure that every student is accounted for in the school’s Accountability Plan</w:t>
      </w:r>
      <w:r w:rsidR="00632078">
        <w:t>, and the school is measuring academic growth and achievement for every student, even those who are minimally or partially connected</w:t>
      </w:r>
      <w:r w:rsidR="00093283">
        <w:t xml:space="preserve">. </w:t>
      </w:r>
      <w:r w:rsidR="00632078">
        <w:t>Any g</w:t>
      </w:r>
      <w:r>
        <w:t xml:space="preserve">oal that </w:t>
      </w:r>
      <w:r w:rsidR="00632078">
        <w:t>is</w:t>
      </w:r>
      <w:r>
        <w:t xml:space="preserve"> designed for only a portion of the population do</w:t>
      </w:r>
      <w:r w:rsidR="00C70D69">
        <w:t>es</w:t>
      </w:r>
      <w:r>
        <w:t xml:space="preserve"> not provide strong evidence of the school’s academic success. For example, if a school has a goal of “at least 60 percent of students will meet their expected growth norms on an externally validated assessment,” then the assumption is</w:t>
      </w:r>
      <w:r w:rsidR="007D2211">
        <w:t xml:space="preserve"> that</w:t>
      </w:r>
      <w:r>
        <w:t xml:space="preserve"> 40 percent of students will not meet this goal. Responsive goals are created with the </w:t>
      </w:r>
      <w:r w:rsidR="00B00ADE">
        <w:t>assumption</w:t>
      </w:r>
      <w:r>
        <w:t xml:space="preserve"> that all students will make progress, albeit at differing rates or with differentiated outcomes. </w:t>
      </w:r>
    </w:p>
    <w:p w14:paraId="0C780A88" w14:textId="4A936C0F" w:rsidR="00476C67" w:rsidRDefault="009F18EB" w:rsidP="009F18EB">
      <w:pPr>
        <w:spacing w:before="200"/>
      </w:pPr>
      <w:r>
        <w:t>Once a school identifies students’ engagement phases, the school must review historic</w:t>
      </w:r>
      <w:r w:rsidR="00CD1D62">
        <w:t>al</w:t>
      </w:r>
      <w:r>
        <w:t xml:space="preserve"> data to identify how students in each phase have performed in the past on academic metrics. </w:t>
      </w:r>
      <w:r w:rsidR="008C2341">
        <w:t xml:space="preserve">Then, the school </w:t>
      </w:r>
      <w:r w:rsidR="001C21BD">
        <w:t xml:space="preserve">must </w:t>
      </w:r>
      <w:r w:rsidR="008C2341">
        <w:t>create r</w:t>
      </w:r>
      <w:r w:rsidR="00723F18">
        <w:t>esponsive goals</w:t>
      </w:r>
      <w:r w:rsidR="00B90679">
        <w:t xml:space="preserve"> that are </w:t>
      </w:r>
      <w:r w:rsidR="00624EA3">
        <w:t>differentiated</w:t>
      </w:r>
      <w:r w:rsidR="00723F18">
        <w:t xml:space="preserve"> </w:t>
      </w:r>
      <w:r w:rsidR="006D52F7">
        <w:t>according</w:t>
      </w:r>
      <w:r w:rsidR="00723F18">
        <w:t xml:space="preserve"> </w:t>
      </w:r>
      <w:r w:rsidR="00785C37">
        <w:t>to</w:t>
      </w:r>
      <w:r w:rsidR="00723F18">
        <w:t xml:space="preserve"> students’ engagement phases. </w:t>
      </w:r>
      <w:r w:rsidR="00476C67">
        <w:t xml:space="preserve">Here is an example of how a school </w:t>
      </w:r>
      <w:r w:rsidR="000067E9">
        <w:t xml:space="preserve">created a goal, analyzed historical data, </w:t>
      </w:r>
      <w:r w:rsidR="00CA5AB7">
        <w:t xml:space="preserve">and </w:t>
      </w:r>
      <w:r w:rsidR="000067E9">
        <w:t xml:space="preserve">then created responsive goals appropriate for each engagement phase. </w:t>
      </w:r>
    </w:p>
    <w:tbl>
      <w:tblPr>
        <w:tblStyle w:val="TableGrid"/>
        <w:tblW w:w="5000" w:type="pct"/>
        <w:tblLayout w:type="fixed"/>
        <w:tblLook w:val="04A0" w:firstRow="1" w:lastRow="0" w:firstColumn="1" w:lastColumn="0" w:noHBand="0" w:noVBand="1"/>
      </w:tblPr>
      <w:tblGrid>
        <w:gridCol w:w="9350"/>
      </w:tblGrid>
      <w:tr w:rsidR="00C90D7F" w:rsidRPr="002B7227" w14:paraId="258FC443" w14:textId="77777777" w:rsidTr="00E671BB">
        <w:trPr>
          <w:cantSplit/>
          <w:trHeight w:val="20"/>
        </w:trPr>
        <w:tc>
          <w:tcPr>
            <w:tcW w:w="5000" w:type="pct"/>
            <w:shd w:val="clear" w:color="auto" w:fill="C6D9F1" w:themeFill="text2" w:themeFillTint="33"/>
          </w:tcPr>
          <w:p w14:paraId="084901C8" w14:textId="281E7310" w:rsidR="000D35A7" w:rsidRDefault="000D35A7" w:rsidP="00452330">
            <w:pPr>
              <w:pStyle w:val="ListParagraph"/>
              <w:spacing w:before="40" w:after="40"/>
              <w:ind w:left="0"/>
              <w:rPr>
                <w:rFonts w:cstheme="minorHAnsi"/>
                <w:b/>
                <w:szCs w:val="22"/>
                <w:u w:val="single"/>
              </w:rPr>
            </w:pPr>
            <w:r>
              <w:rPr>
                <w:rFonts w:cstheme="minorHAnsi"/>
                <w:b/>
                <w:szCs w:val="22"/>
                <w:u w:val="single"/>
              </w:rPr>
              <w:t>Example #1:</w:t>
            </w:r>
          </w:p>
          <w:p w14:paraId="38D02E5F" w14:textId="3330E23D" w:rsidR="00C90D7F" w:rsidRPr="00C90D7F" w:rsidRDefault="000259F9" w:rsidP="00452330">
            <w:pPr>
              <w:pStyle w:val="ListParagraph"/>
              <w:spacing w:before="40" w:after="40"/>
              <w:ind w:left="0"/>
              <w:rPr>
                <w:rFonts w:cstheme="minorHAnsi"/>
                <w:b/>
                <w:szCs w:val="22"/>
              </w:rPr>
            </w:pPr>
            <w:r>
              <w:rPr>
                <w:rFonts w:cstheme="minorHAnsi"/>
                <w:b/>
                <w:szCs w:val="22"/>
              </w:rPr>
              <w:t>Draft g</w:t>
            </w:r>
            <w:r w:rsidR="00C90D7F">
              <w:rPr>
                <w:rFonts w:cstheme="minorHAnsi"/>
                <w:b/>
                <w:szCs w:val="22"/>
              </w:rPr>
              <w:t xml:space="preserve">oal: </w:t>
            </w:r>
            <w:r w:rsidR="00C90D7F" w:rsidRPr="00C90D7F">
              <w:rPr>
                <w:rFonts w:cstheme="minorHAnsi"/>
                <w:b/>
                <w:szCs w:val="22"/>
              </w:rPr>
              <w:t>Each year, 90 percent of students who are enrolled the full academic year (FAY) will show grade level proficiency using the end of year NWEA reading RIT scores, compared to NWEA end of year norms.</w:t>
            </w:r>
          </w:p>
        </w:tc>
      </w:tr>
      <w:tr w:rsidR="00F03853" w:rsidRPr="002B7227" w14:paraId="2B9EB376" w14:textId="77777777" w:rsidTr="00E671BB">
        <w:trPr>
          <w:cantSplit/>
          <w:trHeight w:val="69"/>
        </w:trPr>
        <w:tc>
          <w:tcPr>
            <w:tcW w:w="5000" w:type="pct"/>
            <w:shd w:val="clear" w:color="auto" w:fill="D9D9D9" w:themeFill="background1" w:themeFillShade="D9"/>
          </w:tcPr>
          <w:p w14:paraId="310BC559" w14:textId="09520A8F" w:rsidR="00F03853" w:rsidRPr="00853207" w:rsidRDefault="00F03853" w:rsidP="00F03853">
            <w:pPr>
              <w:pStyle w:val="ListParagraph"/>
              <w:spacing w:before="40" w:after="40"/>
              <w:ind w:left="0"/>
              <w:jc w:val="center"/>
              <w:rPr>
                <w:rFonts w:cstheme="minorHAnsi"/>
                <w:b/>
                <w:szCs w:val="22"/>
              </w:rPr>
            </w:pPr>
            <w:r>
              <w:rPr>
                <w:rFonts w:cstheme="minorHAnsi"/>
                <w:b/>
                <w:szCs w:val="22"/>
              </w:rPr>
              <w:t xml:space="preserve">Step 1: </w:t>
            </w:r>
            <w:r w:rsidRPr="00E671BB">
              <w:rPr>
                <w:rFonts w:cstheme="minorHAnsi"/>
                <w:szCs w:val="22"/>
              </w:rPr>
              <w:t>Analyze how students in the three different engagement phases have performed on that goal using most recent results.</w:t>
            </w:r>
          </w:p>
        </w:tc>
      </w:tr>
      <w:tr w:rsidR="00F03853" w:rsidRPr="002B7227" w14:paraId="2DE77B45" w14:textId="77777777" w:rsidTr="00E671BB">
        <w:trPr>
          <w:cantSplit/>
          <w:trHeight w:val="2429"/>
        </w:trPr>
        <w:tc>
          <w:tcPr>
            <w:tcW w:w="5000" w:type="pct"/>
          </w:tcPr>
          <w:p w14:paraId="2A51EA49" w14:textId="77777777" w:rsidR="00F03853" w:rsidRDefault="00F03853" w:rsidP="00452330">
            <w:pPr>
              <w:rPr>
                <w:rFonts w:cstheme="minorHAnsi"/>
                <w:sz w:val="20"/>
              </w:rPr>
            </w:pPr>
          </w:p>
          <w:tbl>
            <w:tblPr>
              <w:tblStyle w:val="GridTable2-Accent1"/>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823"/>
              <w:gridCol w:w="1824"/>
              <w:gridCol w:w="1823"/>
              <w:gridCol w:w="1824"/>
            </w:tblGrid>
            <w:tr w:rsidR="00A816E9" w14:paraId="3EEB3687" w14:textId="77777777" w:rsidTr="00E67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shd w:val="clear" w:color="auto" w:fill="D9D9D9" w:themeFill="background1" w:themeFillShade="D9"/>
                  <w:vAlign w:val="center"/>
                </w:tcPr>
                <w:p w14:paraId="2395C278" w14:textId="77777777" w:rsidR="00F03853" w:rsidRPr="00BB7AB0" w:rsidRDefault="00F03853" w:rsidP="00B462CA">
                  <w:pPr>
                    <w:jc w:val="center"/>
                    <w:rPr>
                      <w:sz w:val="18"/>
                      <w:szCs w:val="16"/>
                    </w:rPr>
                  </w:pPr>
                  <w:r w:rsidRPr="00BB7AB0">
                    <w:rPr>
                      <w:sz w:val="18"/>
                      <w:szCs w:val="16"/>
                    </w:rPr>
                    <w:t>Engagement Phase</w:t>
                  </w:r>
                </w:p>
              </w:tc>
              <w:tc>
                <w:tcPr>
                  <w:tcW w:w="1823" w:type="dxa"/>
                  <w:shd w:val="clear" w:color="auto" w:fill="D9D9D9" w:themeFill="background1" w:themeFillShade="D9"/>
                  <w:vAlign w:val="center"/>
                </w:tcPr>
                <w:p w14:paraId="4352482A" w14:textId="77777777" w:rsidR="00F03853" w:rsidRPr="00BB7AB0" w:rsidRDefault="00F03853" w:rsidP="00B462CA">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Number of students enrolled the FAY</w:t>
                  </w:r>
                </w:p>
              </w:tc>
              <w:tc>
                <w:tcPr>
                  <w:tcW w:w="1824" w:type="dxa"/>
                  <w:shd w:val="clear" w:color="auto" w:fill="D9D9D9" w:themeFill="background1" w:themeFillShade="D9"/>
                  <w:vAlign w:val="center"/>
                </w:tcPr>
                <w:p w14:paraId="46A7538A" w14:textId="77777777" w:rsidR="00F03853" w:rsidRPr="00BB7AB0" w:rsidRDefault="00F03853" w:rsidP="00B462CA">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Number of students tested</w:t>
                  </w:r>
                </w:p>
              </w:tc>
              <w:tc>
                <w:tcPr>
                  <w:tcW w:w="1823" w:type="dxa"/>
                  <w:shd w:val="clear" w:color="auto" w:fill="D9D9D9" w:themeFill="background1" w:themeFillShade="D9"/>
                  <w:vAlign w:val="center"/>
                </w:tcPr>
                <w:p w14:paraId="1C3CBEA2" w14:textId="242AE093" w:rsidR="00F03853" w:rsidRPr="00BB7AB0" w:rsidRDefault="00F03853" w:rsidP="00B462CA">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Number of student</w:t>
                  </w:r>
                  <w:r>
                    <w:rPr>
                      <w:sz w:val="18"/>
                      <w:szCs w:val="16"/>
                    </w:rPr>
                    <w:t>s</w:t>
                  </w:r>
                  <w:r w:rsidRPr="00BB7AB0">
                    <w:rPr>
                      <w:sz w:val="18"/>
                      <w:szCs w:val="16"/>
                    </w:rPr>
                    <w:t xml:space="preserve"> scoring at or above grade level</w:t>
                  </w:r>
                </w:p>
              </w:tc>
              <w:tc>
                <w:tcPr>
                  <w:tcW w:w="1824" w:type="dxa"/>
                  <w:shd w:val="clear" w:color="auto" w:fill="D9D9D9" w:themeFill="background1" w:themeFillShade="D9"/>
                  <w:vAlign w:val="center"/>
                </w:tcPr>
                <w:p w14:paraId="616A1D19" w14:textId="77777777" w:rsidR="00F03853" w:rsidRPr="00BB7AB0" w:rsidRDefault="00F03853" w:rsidP="00B462CA">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Percent of students scoring at or above grade level</w:t>
                  </w:r>
                </w:p>
              </w:tc>
            </w:tr>
            <w:tr w:rsidR="006647B9" w14:paraId="433F82C5" w14:textId="77777777" w:rsidTr="00664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shd w:val="clear" w:color="auto" w:fill="D9D9D9" w:themeFill="background1" w:themeFillShade="D9"/>
                  <w:vAlign w:val="center"/>
                </w:tcPr>
                <w:p w14:paraId="6097A8D7" w14:textId="77777777" w:rsidR="00F03853" w:rsidRPr="00BB7AB0" w:rsidRDefault="00F03853" w:rsidP="00B462CA">
                  <w:pPr>
                    <w:jc w:val="center"/>
                    <w:rPr>
                      <w:sz w:val="18"/>
                      <w:szCs w:val="16"/>
                    </w:rPr>
                  </w:pPr>
                  <w:r w:rsidRPr="00BB7AB0">
                    <w:rPr>
                      <w:sz w:val="18"/>
                      <w:szCs w:val="16"/>
                    </w:rPr>
                    <w:t>Minimally Connected</w:t>
                  </w:r>
                </w:p>
              </w:tc>
              <w:tc>
                <w:tcPr>
                  <w:tcW w:w="1823" w:type="dxa"/>
                  <w:shd w:val="clear" w:color="auto" w:fill="auto"/>
                  <w:vAlign w:val="center"/>
                </w:tcPr>
                <w:p w14:paraId="35352B1B" w14:textId="77777777" w:rsidR="00F03853" w:rsidRPr="00BB7AB0" w:rsidRDefault="00F03853" w:rsidP="00B462CA">
                  <w:pPr>
                    <w:jc w:val="center"/>
                    <w:cnfStyle w:val="000000100000" w:firstRow="0" w:lastRow="0" w:firstColumn="0" w:lastColumn="0" w:oddVBand="0" w:evenVBand="0" w:oddHBand="1" w:evenHBand="0" w:firstRowFirstColumn="0" w:firstRowLastColumn="0" w:lastRowFirstColumn="0" w:lastRowLastColumn="0"/>
                    <w:rPr>
                      <w:sz w:val="18"/>
                      <w:szCs w:val="16"/>
                    </w:rPr>
                  </w:pPr>
                  <w:r w:rsidRPr="00BB7AB0">
                    <w:rPr>
                      <w:sz w:val="18"/>
                      <w:szCs w:val="16"/>
                    </w:rPr>
                    <w:t>40</w:t>
                  </w:r>
                </w:p>
              </w:tc>
              <w:tc>
                <w:tcPr>
                  <w:tcW w:w="1824" w:type="dxa"/>
                  <w:shd w:val="clear" w:color="auto" w:fill="auto"/>
                  <w:vAlign w:val="center"/>
                </w:tcPr>
                <w:p w14:paraId="53C36CF8" w14:textId="77777777" w:rsidR="00F03853" w:rsidRPr="00BB7AB0" w:rsidRDefault="00F03853" w:rsidP="00B462CA">
                  <w:pPr>
                    <w:jc w:val="center"/>
                    <w:cnfStyle w:val="000000100000" w:firstRow="0" w:lastRow="0" w:firstColumn="0" w:lastColumn="0" w:oddVBand="0" w:evenVBand="0" w:oddHBand="1" w:evenHBand="0" w:firstRowFirstColumn="0" w:firstRowLastColumn="0" w:lastRowFirstColumn="0" w:lastRowLastColumn="0"/>
                    <w:rPr>
                      <w:sz w:val="18"/>
                      <w:szCs w:val="16"/>
                    </w:rPr>
                  </w:pPr>
                  <w:r w:rsidRPr="00BB7AB0">
                    <w:rPr>
                      <w:sz w:val="18"/>
                      <w:szCs w:val="16"/>
                    </w:rPr>
                    <w:t>15</w:t>
                  </w:r>
                </w:p>
              </w:tc>
              <w:tc>
                <w:tcPr>
                  <w:tcW w:w="1823" w:type="dxa"/>
                  <w:shd w:val="clear" w:color="auto" w:fill="auto"/>
                  <w:vAlign w:val="center"/>
                </w:tcPr>
                <w:p w14:paraId="0B384ED9" w14:textId="77777777" w:rsidR="00F03853" w:rsidRPr="00BB7AB0" w:rsidRDefault="00F03853" w:rsidP="00B462CA">
                  <w:pPr>
                    <w:jc w:val="center"/>
                    <w:cnfStyle w:val="000000100000" w:firstRow="0" w:lastRow="0" w:firstColumn="0" w:lastColumn="0" w:oddVBand="0" w:evenVBand="0" w:oddHBand="1" w:evenHBand="0" w:firstRowFirstColumn="0" w:firstRowLastColumn="0" w:lastRowFirstColumn="0" w:lastRowLastColumn="0"/>
                    <w:rPr>
                      <w:sz w:val="18"/>
                      <w:szCs w:val="16"/>
                    </w:rPr>
                  </w:pPr>
                  <w:r w:rsidRPr="00BB7AB0">
                    <w:rPr>
                      <w:sz w:val="18"/>
                      <w:szCs w:val="16"/>
                    </w:rPr>
                    <w:t>1</w:t>
                  </w:r>
                </w:p>
              </w:tc>
              <w:tc>
                <w:tcPr>
                  <w:tcW w:w="1824" w:type="dxa"/>
                  <w:shd w:val="clear" w:color="auto" w:fill="auto"/>
                  <w:vAlign w:val="center"/>
                </w:tcPr>
                <w:p w14:paraId="0A358BC4" w14:textId="19280A23" w:rsidR="00F03853" w:rsidRPr="00BB7AB0" w:rsidRDefault="00D31C3E" w:rsidP="00B462CA">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2.5</w:t>
                  </w:r>
                </w:p>
              </w:tc>
            </w:tr>
            <w:tr w:rsidR="006647B9" w14:paraId="028C2DAC" w14:textId="77777777" w:rsidTr="006647B9">
              <w:tc>
                <w:tcPr>
                  <w:cnfStyle w:val="001000000000" w:firstRow="0" w:lastRow="0" w:firstColumn="1" w:lastColumn="0" w:oddVBand="0" w:evenVBand="0" w:oddHBand="0" w:evenHBand="0" w:firstRowFirstColumn="0" w:firstRowLastColumn="0" w:lastRowFirstColumn="0" w:lastRowLastColumn="0"/>
                  <w:tcW w:w="1862" w:type="dxa"/>
                  <w:shd w:val="clear" w:color="auto" w:fill="D9D9D9" w:themeFill="background1" w:themeFillShade="D9"/>
                  <w:vAlign w:val="center"/>
                </w:tcPr>
                <w:p w14:paraId="76888B9E" w14:textId="77777777" w:rsidR="00F03853" w:rsidRPr="00BB7AB0" w:rsidRDefault="00F03853" w:rsidP="00B462CA">
                  <w:pPr>
                    <w:jc w:val="center"/>
                    <w:rPr>
                      <w:sz w:val="18"/>
                      <w:szCs w:val="16"/>
                    </w:rPr>
                  </w:pPr>
                  <w:r w:rsidRPr="00BB7AB0">
                    <w:rPr>
                      <w:sz w:val="18"/>
                      <w:szCs w:val="16"/>
                    </w:rPr>
                    <w:t>Partially Connected</w:t>
                  </w:r>
                </w:p>
              </w:tc>
              <w:tc>
                <w:tcPr>
                  <w:tcW w:w="1823" w:type="dxa"/>
                  <w:shd w:val="clear" w:color="auto" w:fill="auto"/>
                  <w:vAlign w:val="center"/>
                </w:tcPr>
                <w:p w14:paraId="6F61143F" w14:textId="77777777" w:rsidR="00F03853" w:rsidRPr="00BB7AB0" w:rsidRDefault="00F03853" w:rsidP="00B462CA">
                  <w:pPr>
                    <w:jc w:val="center"/>
                    <w:cnfStyle w:val="000000000000" w:firstRow="0" w:lastRow="0" w:firstColumn="0" w:lastColumn="0" w:oddVBand="0" w:evenVBand="0" w:oddHBand="0" w:evenHBand="0" w:firstRowFirstColumn="0" w:firstRowLastColumn="0" w:lastRowFirstColumn="0" w:lastRowLastColumn="0"/>
                    <w:rPr>
                      <w:sz w:val="18"/>
                      <w:szCs w:val="16"/>
                    </w:rPr>
                  </w:pPr>
                  <w:r w:rsidRPr="00BB7AB0">
                    <w:rPr>
                      <w:sz w:val="18"/>
                      <w:szCs w:val="16"/>
                    </w:rPr>
                    <w:t>88</w:t>
                  </w:r>
                </w:p>
              </w:tc>
              <w:tc>
                <w:tcPr>
                  <w:tcW w:w="1824" w:type="dxa"/>
                  <w:shd w:val="clear" w:color="auto" w:fill="auto"/>
                  <w:vAlign w:val="center"/>
                </w:tcPr>
                <w:p w14:paraId="7A52ABCB" w14:textId="77777777" w:rsidR="00F03853" w:rsidRPr="00BB7AB0" w:rsidRDefault="00F03853" w:rsidP="00B462CA">
                  <w:pPr>
                    <w:jc w:val="center"/>
                    <w:cnfStyle w:val="000000000000" w:firstRow="0" w:lastRow="0" w:firstColumn="0" w:lastColumn="0" w:oddVBand="0" w:evenVBand="0" w:oddHBand="0" w:evenHBand="0" w:firstRowFirstColumn="0" w:firstRowLastColumn="0" w:lastRowFirstColumn="0" w:lastRowLastColumn="0"/>
                    <w:rPr>
                      <w:sz w:val="18"/>
                      <w:szCs w:val="16"/>
                    </w:rPr>
                  </w:pPr>
                  <w:r w:rsidRPr="00BB7AB0">
                    <w:rPr>
                      <w:sz w:val="18"/>
                      <w:szCs w:val="16"/>
                    </w:rPr>
                    <w:t>75</w:t>
                  </w:r>
                </w:p>
              </w:tc>
              <w:tc>
                <w:tcPr>
                  <w:tcW w:w="1823" w:type="dxa"/>
                  <w:shd w:val="clear" w:color="auto" w:fill="auto"/>
                  <w:vAlign w:val="center"/>
                </w:tcPr>
                <w:p w14:paraId="50959523" w14:textId="77777777" w:rsidR="00F03853" w:rsidRPr="00BB7AB0" w:rsidRDefault="00F03853" w:rsidP="00B462CA">
                  <w:pPr>
                    <w:jc w:val="center"/>
                    <w:cnfStyle w:val="000000000000" w:firstRow="0" w:lastRow="0" w:firstColumn="0" w:lastColumn="0" w:oddVBand="0" w:evenVBand="0" w:oddHBand="0" w:evenHBand="0" w:firstRowFirstColumn="0" w:firstRowLastColumn="0" w:lastRowFirstColumn="0" w:lastRowLastColumn="0"/>
                    <w:rPr>
                      <w:sz w:val="18"/>
                      <w:szCs w:val="16"/>
                    </w:rPr>
                  </w:pPr>
                  <w:r w:rsidRPr="00BB7AB0">
                    <w:rPr>
                      <w:sz w:val="18"/>
                      <w:szCs w:val="16"/>
                    </w:rPr>
                    <w:t>33</w:t>
                  </w:r>
                </w:p>
              </w:tc>
              <w:tc>
                <w:tcPr>
                  <w:tcW w:w="1824" w:type="dxa"/>
                  <w:shd w:val="clear" w:color="auto" w:fill="auto"/>
                  <w:vAlign w:val="center"/>
                </w:tcPr>
                <w:p w14:paraId="15874C70" w14:textId="30199265" w:rsidR="00F03853" w:rsidRPr="00BB7AB0" w:rsidRDefault="00D31C3E" w:rsidP="00B462CA">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37.5</w:t>
                  </w:r>
                </w:p>
              </w:tc>
            </w:tr>
            <w:tr w:rsidR="006647B9" w14:paraId="35BFFECC" w14:textId="77777777" w:rsidTr="00664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shd w:val="clear" w:color="auto" w:fill="D9D9D9" w:themeFill="background1" w:themeFillShade="D9"/>
                  <w:vAlign w:val="center"/>
                </w:tcPr>
                <w:p w14:paraId="56C0CFD0" w14:textId="77777777" w:rsidR="00F03853" w:rsidRPr="00BB7AB0" w:rsidRDefault="00F03853" w:rsidP="00B462CA">
                  <w:pPr>
                    <w:jc w:val="center"/>
                    <w:rPr>
                      <w:sz w:val="18"/>
                      <w:szCs w:val="16"/>
                    </w:rPr>
                  </w:pPr>
                  <w:r w:rsidRPr="00BB7AB0">
                    <w:rPr>
                      <w:sz w:val="18"/>
                      <w:szCs w:val="16"/>
                    </w:rPr>
                    <w:t>Connected</w:t>
                  </w:r>
                </w:p>
              </w:tc>
              <w:tc>
                <w:tcPr>
                  <w:tcW w:w="1823" w:type="dxa"/>
                  <w:shd w:val="clear" w:color="auto" w:fill="auto"/>
                  <w:vAlign w:val="center"/>
                </w:tcPr>
                <w:p w14:paraId="3DF13E79" w14:textId="77777777" w:rsidR="00F03853" w:rsidRPr="00BB7AB0" w:rsidRDefault="00F03853" w:rsidP="00B462CA">
                  <w:pPr>
                    <w:jc w:val="center"/>
                    <w:cnfStyle w:val="000000100000" w:firstRow="0" w:lastRow="0" w:firstColumn="0" w:lastColumn="0" w:oddVBand="0" w:evenVBand="0" w:oddHBand="1" w:evenHBand="0" w:firstRowFirstColumn="0" w:firstRowLastColumn="0" w:lastRowFirstColumn="0" w:lastRowLastColumn="0"/>
                    <w:rPr>
                      <w:sz w:val="18"/>
                      <w:szCs w:val="16"/>
                    </w:rPr>
                  </w:pPr>
                  <w:r w:rsidRPr="00BB7AB0">
                    <w:rPr>
                      <w:sz w:val="18"/>
                      <w:szCs w:val="16"/>
                    </w:rPr>
                    <w:t>63</w:t>
                  </w:r>
                </w:p>
              </w:tc>
              <w:tc>
                <w:tcPr>
                  <w:tcW w:w="1824" w:type="dxa"/>
                  <w:shd w:val="clear" w:color="auto" w:fill="auto"/>
                  <w:vAlign w:val="center"/>
                </w:tcPr>
                <w:p w14:paraId="6AF6859D" w14:textId="77777777" w:rsidR="00F03853" w:rsidRPr="00BB7AB0" w:rsidRDefault="00F03853" w:rsidP="00B462CA">
                  <w:pPr>
                    <w:jc w:val="center"/>
                    <w:cnfStyle w:val="000000100000" w:firstRow="0" w:lastRow="0" w:firstColumn="0" w:lastColumn="0" w:oddVBand="0" w:evenVBand="0" w:oddHBand="1" w:evenHBand="0" w:firstRowFirstColumn="0" w:firstRowLastColumn="0" w:lastRowFirstColumn="0" w:lastRowLastColumn="0"/>
                    <w:rPr>
                      <w:sz w:val="18"/>
                      <w:szCs w:val="16"/>
                    </w:rPr>
                  </w:pPr>
                  <w:r w:rsidRPr="00BB7AB0">
                    <w:rPr>
                      <w:sz w:val="18"/>
                      <w:szCs w:val="16"/>
                    </w:rPr>
                    <w:t>60</w:t>
                  </w:r>
                </w:p>
              </w:tc>
              <w:tc>
                <w:tcPr>
                  <w:tcW w:w="1823" w:type="dxa"/>
                  <w:shd w:val="clear" w:color="auto" w:fill="auto"/>
                  <w:vAlign w:val="center"/>
                </w:tcPr>
                <w:p w14:paraId="0E70DA30" w14:textId="77777777" w:rsidR="00F03853" w:rsidRPr="00BB7AB0" w:rsidRDefault="00F03853" w:rsidP="00B462CA">
                  <w:pPr>
                    <w:jc w:val="center"/>
                    <w:cnfStyle w:val="000000100000" w:firstRow="0" w:lastRow="0" w:firstColumn="0" w:lastColumn="0" w:oddVBand="0" w:evenVBand="0" w:oddHBand="1" w:evenHBand="0" w:firstRowFirstColumn="0" w:firstRowLastColumn="0" w:lastRowFirstColumn="0" w:lastRowLastColumn="0"/>
                    <w:rPr>
                      <w:sz w:val="18"/>
                      <w:szCs w:val="16"/>
                    </w:rPr>
                  </w:pPr>
                  <w:r w:rsidRPr="00BB7AB0">
                    <w:rPr>
                      <w:sz w:val="18"/>
                      <w:szCs w:val="16"/>
                    </w:rPr>
                    <w:t>52</w:t>
                  </w:r>
                </w:p>
              </w:tc>
              <w:tc>
                <w:tcPr>
                  <w:tcW w:w="1824" w:type="dxa"/>
                  <w:shd w:val="clear" w:color="auto" w:fill="auto"/>
                  <w:vAlign w:val="center"/>
                </w:tcPr>
                <w:p w14:paraId="1A6F2A8C" w14:textId="6011F093" w:rsidR="00F03853" w:rsidRPr="00BB7AB0" w:rsidRDefault="00D31C3E" w:rsidP="00B462CA">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82.5</w:t>
                  </w:r>
                </w:p>
              </w:tc>
            </w:tr>
          </w:tbl>
          <w:p w14:paraId="1910A06F" w14:textId="455E6E96" w:rsidR="00F03853" w:rsidRPr="00853207" w:rsidRDefault="00F03853" w:rsidP="00E671BB">
            <w:pPr>
              <w:spacing w:before="80" w:after="80"/>
              <w:rPr>
                <w:rFonts w:cstheme="minorHAnsi"/>
                <w:sz w:val="20"/>
              </w:rPr>
            </w:pPr>
            <w:r>
              <w:rPr>
                <w:rFonts w:cstheme="minorHAnsi"/>
                <w:sz w:val="20"/>
              </w:rPr>
              <w:t>From these results, we see that Connected students came close to meeting the goal of 90 percent, but students in the two other phases d</w:t>
            </w:r>
            <w:r w:rsidR="005248D9">
              <w:rPr>
                <w:rFonts w:cstheme="minorHAnsi"/>
                <w:sz w:val="20"/>
              </w:rPr>
              <w:t>id</w:t>
            </w:r>
            <w:r>
              <w:rPr>
                <w:rFonts w:cstheme="minorHAnsi"/>
                <w:sz w:val="20"/>
              </w:rPr>
              <w:t xml:space="preserve"> not. </w:t>
            </w:r>
          </w:p>
        </w:tc>
      </w:tr>
      <w:tr w:rsidR="00F03853" w:rsidRPr="002B7227" w14:paraId="39C68164" w14:textId="77777777" w:rsidTr="00E671BB">
        <w:trPr>
          <w:cantSplit/>
          <w:trHeight w:val="341"/>
        </w:trPr>
        <w:tc>
          <w:tcPr>
            <w:tcW w:w="5000" w:type="pct"/>
            <w:shd w:val="clear" w:color="auto" w:fill="D9D9D9" w:themeFill="background1" w:themeFillShade="D9"/>
          </w:tcPr>
          <w:p w14:paraId="28B16D9A" w14:textId="0375CCFB" w:rsidR="00F03853" w:rsidRDefault="00F03853" w:rsidP="00F03853">
            <w:pPr>
              <w:jc w:val="center"/>
              <w:rPr>
                <w:rFonts w:cstheme="minorHAnsi"/>
                <w:sz w:val="20"/>
              </w:rPr>
            </w:pPr>
            <w:r>
              <w:rPr>
                <w:rFonts w:cstheme="minorHAnsi"/>
                <w:b/>
                <w:szCs w:val="22"/>
              </w:rPr>
              <w:t xml:space="preserve">Step 2: </w:t>
            </w:r>
            <w:r w:rsidRPr="00E671BB">
              <w:rPr>
                <w:rFonts w:cstheme="minorHAnsi"/>
                <w:szCs w:val="22"/>
              </w:rPr>
              <w:t>Review historic</w:t>
            </w:r>
            <w:r w:rsidR="00CD1D62">
              <w:rPr>
                <w:rFonts w:cstheme="minorHAnsi"/>
                <w:szCs w:val="22"/>
              </w:rPr>
              <w:t>al</w:t>
            </w:r>
            <w:r w:rsidRPr="00E671BB">
              <w:rPr>
                <w:rFonts w:cstheme="minorHAnsi"/>
                <w:szCs w:val="22"/>
              </w:rPr>
              <w:t xml:space="preserve"> data to identify a realistic and ambitious goal for each engagement phase.</w:t>
            </w:r>
          </w:p>
        </w:tc>
      </w:tr>
      <w:tr w:rsidR="00816D82" w:rsidRPr="002B7227" w14:paraId="268F56EE" w14:textId="77777777" w:rsidTr="00E671BB">
        <w:trPr>
          <w:cantSplit/>
          <w:trHeight w:val="1070"/>
        </w:trPr>
        <w:tc>
          <w:tcPr>
            <w:tcW w:w="5000" w:type="pct"/>
          </w:tcPr>
          <w:p w14:paraId="35A886F1" w14:textId="571E844C" w:rsidR="00816D82" w:rsidRDefault="00816D82" w:rsidP="00301049">
            <w:pPr>
              <w:spacing w:before="80" w:after="80"/>
              <w:rPr>
                <w:rFonts w:cstheme="minorHAnsi"/>
                <w:sz w:val="20"/>
              </w:rPr>
            </w:pPr>
            <w:r>
              <w:rPr>
                <w:rFonts w:cstheme="minorHAnsi"/>
                <w:sz w:val="20"/>
              </w:rPr>
              <w:lastRenderedPageBreak/>
              <w:t>A review of the school’s historic</w:t>
            </w:r>
            <w:r w:rsidR="00CD1D62">
              <w:rPr>
                <w:rFonts w:cstheme="minorHAnsi"/>
                <w:sz w:val="20"/>
              </w:rPr>
              <w:t>al</w:t>
            </w:r>
            <w:r>
              <w:rPr>
                <w:rFonts w:cstheme="minorHAnsi"/>
                <w:sz w:val="20"/>
              </w:rPr>
              <w:t xml:space="preserve"> data shows that many Partially Connected students are within half a grade level of meeting the goal on the end of year NWEA reading assessment: </w:t>
            </w: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820"/>
              <w:gridCol w:w="1816"/>
              <w:gridCol w:w="1828"/>
              <w:gridCol w:w="1828"/>
            </w:tblGrid>
            <w:tr w:rsidR="00EA3D7F" w14:paraId="1D124964" w14:textId="77777777" w:rsidTr="009E3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bottom w:val="single" w:sz="4" w:space="0" w:color="auto"/>
                    <w:right w:val="single" w:sz="4" w:space="0" w:color="auto"/>
                  </w:tcBorders>
                  <w:shd w:val="clear" w:color="auto" w:fill="D9D9D9" w:themeFill="background1" w:themeFillShade="D9"/>
                  <w:vAlign w:val="center"/>
                </w:tcPr>
                <w:p w14:paraId="1D4D8985" w14:textId="77777777" w:rsidR="00816D82" w:rsidRPr="00BB7AB0" w:rsidRDefault="00816D82" w:rsidP="00BB7AB0">
                  <w:pPr>
                    <w:jc w:val="center"/>
                    <w:rPr>
                      <w:sz w:val="18"/>
                      <w:szCs w:val="16"/>
                    </w:rPr>
                  </w:pPr>
                  <w:r w:rsidRPr="00BB7AB0">
                    <w:rPr>
                      <w:sz w:val="18"/>
                      <w:szCs w:val="16"/>
                    </w:rPr>
                    <w:t>Engagement Phase</w:t>
                  </w:r>
                </w:p>
              </w:tc>
              <w:tc>
                <w:tcPr>
                  <w:tcW w:w="1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A16F1C" w14:textId="02C0C2F8" w:rsidR="00816D82" w:rsidRPr="00BB7AB0" w:rsidRDefault="00816D82" w:rsidP="00BB7AB0">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Number of students enrolled the FAY</w:t>
                  </w:r>
                  <w:r w:rsidR="00FD74CD">
                    <w:rPr>
                      <w:sz w:val="18"/>
                      <w:szCs w:val="16"/>
                    </w:rPr>
                    <w:t xml:space="preserve"> </w:t>
                  </w:r>
                </w:p>
              </w:tc>
              <w:tc>
                <w:tcPr>
                  <w:tcW w:w="1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05D10" w14:textId="77777777" w:rsidR="00816D82" w:rsidRPr="00BB7AB0" w:rsidRDefault="00816D82" w:rsidP="00BB7AB0">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Number of students tested</w:t>
                  </w:r>
                </w:p>
              </w:tc>
              <w:tc>
                <w:tcPr>
                  <w:tcW w:w="1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F0B20" w14:textId="77777777" w:rsidR="00816D82" w:rsidRPr="00BB7AB0" w:rsidRDefault="00816D82" w:rsidP="00BB7AB0">
                  <w:pPr>
                    <w:jc w:val="center"/>
                    <w:cnfStyle w:val="100000000000" w:firstRow="1" w:lastRow="0" w:firstColumn="0" w:lastColumn="0" w:oddVBand="0" w:evenVBand="0" w:oddHBand="0" w:evenHBand="0" w:firstRowFirstColumn="0" w:firstRowLastColumn="0" w:lastRowFirstColumn="0" w:lastRowLastColumn="0"/>
                    <w:rPr>
                      <w:b w:val="0"/>
                      <w:bCs w:val="0"/>
                      <w:sz w:val="18"/>
                      <w:szCs w:val="16"/>
                    </w:rPr>
                  </w:pPr>
                  <w:r w:rsidRPr="00BB7AB0">
                    <w:rPr>
                      <w:sz w:val="18"/>
                      <w:szCs w:val="16"/>
                    </w:rPr>
                    <w:t>Number of student</w:t>
                  </w:r>
                  <w:r>
                    <w:rPr>
                      <w:sz w:val="18"/>
                      <w:szCs w:val="16"/>
                    </w:rPr>
                    <w:t>s within 0.5 grade level equivalents of their assigned grade</w:t>
                  </w:r>
                </w:p>
              </w:tc>
              <w:tc>
                <w:tcPr>
                  <w:tcW w:w="1828" w:type="dxa"/>
                  <w:tcBorders>
                    <w:top w:val="single" w:sz="4" w:space="0" w:color="auto"/>
                    <w:left w:val="single" w:sz="4" w:space="0" w:color="auto"/>
                    <w:bottom w:val="single" w:sz="4" w:space="0" w:color="auto"/>
                  </w:tcBorders>
                  <w:shd w:val="clear" w:color="auto" w:fill="D9D9D9" w:themeFill="background1" w:themeFillShade="D9"/>
                  <w:vAlign w:val="center"/>
                </w:tcPr>
                <w:p w14:paraId="670A9C12" w14:textId="77777777" w:rsidR="00816D82" w:rsidRPr="00BB7AB0" w:rsidRDefault="00816D82" w:rsidP="00BB7AB0">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 xml:space="preserve">Percent of students </w:t>
                  </w:r>
                  <w:r>
                    <w:rPr>
                      <w:sz w:val="18"/>
                      <w:szCs w:val="16"/>
                    </w:rPr>
                    <w:t>within 0.5 grade level equivalents of their assigned grade</w:t>
                  </w:r>
                </w:p>
              </w:tc>
            </w:tr>
            <w:tr w:rsidR="00FA1A43" w14:paraId="0A34BCC9" w14:textId="77777777" w:rsidTr="00301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shd w:val="clear" w:color="auto" w:fill="D9D9D9" w:themeFill="background1" w:themeFillShade="D9"/>
                  <w:vAlign w:val="center"/>
                </w:tcPr>
                <w:p w14:paraId="6196358D" w14:textId="77777777" w:rsidR="00FA1A43" w:rsidRPr="00BB7AB0" w:rsidRDefault="00FA1A43" w:rsidP="00FA1A43">
                  <w:pPr>
                    <w:jc w:val="center"/>
                    <w:rPr>
                      <w:sz w:val="18"/>
                      <w:szCs w:val="16"/>
                    </w:rPr>
                  </w:pPr>
                  <w:r w:rsidRPr="00BB7AB0">
                    <w:rPr>
                      <w:sz w:val="18"/>
                      <w:szCs w:val="16"/>
                    </w:rPr>
                    <w:t>Minimally Connected</w:t>
                  </w:r>
                </w:p>
              </w:tc>
              <w:tc>
                <w:tcPr>
                  <w:tcW w:w="0" w:type="dxa"/>
                  <w:tcBorders>
                    <w:top w:val="single" w:sz="4" w:space="0" w:color="auto"/>
                  </w:tcBorders>
                  <w:shd w:val="clear" w:color="auto" w:fill="auto"/>
                  <w:vAlign w:val="center"/>
                </w:tcPr>
                <w:p w14:paraId="5A915337" w14:textId="3804655B" w:rsidR="00FA1A43" w:rsidRPr="00BB7AB0" w:rsidRDefault="00FA1A43" w:rsidP="00FA1A43">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40</w:t>
                  </w:r>
                </w:p>
              </w:tc>
              <w:tc>
                <w:tcPr>
                  <w:tcW w:w="0" w:type="dxa"/>
                  <w:tcBorders>
                    <w:top w:val="single" w:sz="4" w:space="0" w:color="auto"/>
                  </w:tcBorders>
                  <w:shd w:val="clear" w:color="auto" w:fill="auto"/>
                  <w:vAlign w:val="center"/>
                </w:tcPr>
                <w:p w14:paraId="14323B87" w14:textId="77777777" w:rsidR="00FA1A43" w:rsidRPr="00BB7AB0" w:rsidRDefault="00FA1A43" w:rsidP="00FA1A43">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15</w:t>
                  </w:r>
                </w:p>
              </w:tc>
              <w:tc>
                <w:tcPr>
                  <w:tcW w:w="0" w:type="dxa"/>
                  <w:tcBorders>
                    <w:top w:val="single" w:sz="4" w:space="0" w:color="auto"/>
                  </w:tcBorders>
                  <w:shd w:val="clear" w:color="auto" w:fill="auto"/>
                  <w:vAlign w:val="center"/>
                </w:tcPr>
                <w:p w14:paraId="662255A6" w14:textId="77777777" w:rsidR="00FA1A43" w:rsidRPr="00BB7AB0" w:rsidRDefault="00FA1A43" w:rsidP="00FA1A43">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3</w:t>
                  </w:r>
                </w:p>
              </w:tc>
              <w:tc>
                <w:tcPr>
                  <w:tcW w:w="0" w:type="dxa"/>
                  <w:tcBorders>
                    <w:top w:val="single" w:sz="4" w:space="0" w:color="auto"/>
                  </w:tcBorders>
                  <w:shd w:val="clear" w:color="auto" w:fill="auto"/>
                  <w:vAlign w:val="center"/>
                </w:tcPr>
                <w:p w14:paraId="4E3CB691" w14:textId="1BB135EB" w:rsidR="00FA1A43" w:rsidRPr="00BB7AB0" w:rsidRDefault="0067287D" w:rsidP="00FA1A43">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7.5</w:t>
                  </w:r>
                </w:p>
              </w:tc>
            </w:tr>
            <w:tr w:rsidR="00FA1A43" w14:paraId="48B28C4C" w14:textId="77777777" w:rsidTr="00301049">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vAlign w:val="center"/>
                </w:tcPr>
                <w:p w14:paraId="243B11E9" w14:textId="77777777" w:rsidR="00FA1A43" w:rsidRPr="00BB7AB0" w:rsidRDefault="00FA1A43" w:rsidP="00FA1A43">
                  <w:pPr>
                    <w:jc w:val="center"/>
                    <w:rPr>
                      <w:sz w:val="18"/>
                      <w:szCs w:val="16"/>
                    </w:rPr>
                  </w:pPr>
                  <w:r w:rsidRPr="00BB7AB0">
                    <w:rPr>
                      <w:sz w:val="18"/>
                      <w:szCs w:val="16"/>
                    </w:rPr>
                    <w:t>Partially Connected</w:t>
                  </w:r>
                </w:p>
              </w:tc>
              <w:tc>
                <w:tcPr>
                  <w:tcW w:w="0" w:type="dxa"/>
                  <w:shd w:val="clear" w:color="auto" w:fill="auto"/>
                  <w:vAlign w:val="center"/>
                </w:tcPr>
                <w:p w14:paraId="092AD58A" w14:textId="786E4B63" w:rsidR="00FA1A43" w:rsidRPr="00BB7AB0" w:rsidRDefault="00FA1A43" w:rsidP="00FA1A43">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88</w:t>
                  </w:r>
                </w:p>
              </w:tc>
              <w:tc>
                <w:tcPr>
                  <w:tcW w:w="0" w:type="dxa"/>
                  <w:shd w:val="clear" w:color="auto" w:fill="auto"/>
                  <w:vAlign w:val="center"/>
                </w:tcPr>
                <w:p w14:paraId="4B4EC3F5" w14:textId="3A4F1F0F" w:rsidR="00FA1A43" w:rsidRPr="00BB7AB0" w:rsidRDefault="00FA1A43" w:rsidP="00FA1A43">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75</w:t>
                  </w:r>
                </w:p>
              </w:tc>
              <w:tc>
                <w:tcPr>
                  <w:tcW w:w="0" w:type="dxa"/>
                  <w:shd w:val="clear" w:color="auto" w:fill="auto"/>
                  <w:vAlign w:val="center"/>
                </w:tcPr>
                <w:p w14:paraId="27C06A05" w14:textId="77777777" w:rsidR="00FA1A43" w:rsidRPr="00BB7AB0" w:rsidRDefault="00FA1A43" w:rsidP="00FA1A43">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21</w:t>
                  </w:r>
                </w:p>
              </w:tc>
              <w:tc>
                <w:tcPr>
                  <w:tcW w:w="0" w:type="dxa"/>
                  <w:shd w:val="clear" w:color="auto" w:fill="auto"/>
                  <w:vAlign w:val="center"/>
                </w:tcPr>
                <w:p w14:paraId="1BAFF765" w14:textId="7EF36412" w:rsidR="00FA1A43" w:rsidRPr="00BB7AB0" w:rsidRDefault="0067287D" w:rsidP="00FA1A43">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23.9</w:t>
                  </w:r>
                </w:p>
              </w:tc>
            </w:tr>
            <w:tr w:rsidR="00FA1A43" w14:paraId="4A485B68" w14:textId="77777777" w:rsidTr="00301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vAlign w:val="center"/>
                </w:tcPr>
                <w:p w14:paraId="04BD18B4" w14:textId="77777777" w:rsidR="00FA1A43" w:rsidRPr="00BB7AB0" w:rsidRDefault="00FA1A43" w:rsidP="00FA1A43">
                  <w:pPr>
                    <w:jc w:val="center"/>
                    <w:rPr>
                      <w:sz w:val="18"/>
                      <w:szCs w:val="16"/>
                    </w:rPr>
                  </w:pPr>
                  <w:r w:rsidRPr="00BB7AB0">
                    <w:rPr>
                      <w:sz w:val="18"/>
                      <w:szCs w:val="16"/>
                    </w:rPr>
                    <w:t>Connected</w:t>
                  </w:r>
                </w:p>
              </w:tc>
              <w:tc>
                <w:tcPr>
                  <w:tcW w:w="0" w:type="dxa"/>
                  <w:shd w:val="clear" w:color="auto" w:fill="auto"/>
                  <w:vAlign w:val="center"/>
                </w:tcPr>
                <w:p w14:paraId="656963BE" w14:textId="5A530218" w:rsidR="00FA1A43" w:rsidRPr="00BB7AB0" w:rsidRDefault="00FA1A43" w:rsidP="00FA1A43">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63</w:t>
                  </w:r>
                </w:p>
              </w:tc>
              <w:tc>
                <w:tcPr>
                  <w:tcW w:w="0" w:type="dxa"/>
                  <w:shd w:val="clear" w:color="auto" w:fill="auto"/>
                  <w:vAlign w:val="center"/>
                </w:tcPr>
                <w:p w14:paraId="17244C43" w14:textId="3D8440CA" w:rsidR="00FA1A43" w:rsidRPr="00BB7AB0" w:rsidRDefault="00FA1A43" w:rsidP="00FA1A43">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60</w:t>
                  </w:r>
                </w:p>
              </w:tc>
              <w:tc>
                <w:tcPr>
                  <w:tcW w:w="0" w:type="dxa"/>
                  <w:shd w:val="clear" w:color="auto" w:fill="auto"/>
                  <w:vAlign w:val="center"/>
                </w:tcPr>
                <w:p w14:paraId="668E70D1" w14:textId="77777777" w:rsidR="00FA1A43" w:rsidRPr="00BB7AB0" w:rsidRDefault="00FA1A43" w:rsidP="00FA1A43">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5</w:t>
                  </w:r>
                </w:p>
              </w:tc>
              <w:tc>
                <w:tcPr>
                  <w:tcW w:w="0" w:type="dxa"/>
                  <w:shd w:val="clear" w:color="auto" w:fill="auto"/>
                  <w:vAlign w:val="center"/>
                </w:tcPr>
                <w:p w14:paraId="018AF0E6" w14:textId="15B658B5" w:rsidR="00FA1A43" w:rsidRPr="00BB7AB0" w:rsidRDefault="0067287D" w:rsidP="00FA1A43">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7.9</w:t>
                  </w:r>
                </w:p>
              </w:tc>
            </w:tr>
            <w:tr w:rsidR="00FA1A43" w14:paraId="3F8AE441" w14:textId="77777777" w:rsidTr="00301049">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vAlign w:val="center"/>
                </w:tcPr>
                <w:p w14:paraId="54E772EF" w14:textId="77777777" w:rsidR="00FA1A43" w:rsidRPr="00BB7AB0" w:rsidRDefault="00FA1A43" w:rsidP="00FA1A43">
                  <w:pPr>
                    <w:jc w:val="center"/>
                    <w:rPr>
                      <w:sz w:val="18"/>
                      <w:szCs w:val="16"/>
                    </w:rPr>
                  </w:pPr>
                  <w:r w:rsidRPr="00BB7AB0">
                    <w:rPr>
                      <w:sz w:val="18"/>
                      <w:szCs w:val="16"/>
                    </w:rPr>
                    <w:t>Total</w:t>
                  </w:r>
                </w:p>
              </w:tc>
              <w:tc>
                <w:tcPr>
                  <w:tcW w:w="0" w:type="dxa"/>
                  <w:shd w:val="clear" w:color="auto" w:fill="auto"/>
                  <w:vAlign w:val="center"/>
                </w:tcPr>
                <w:p w14:paraId="4E310B12" w14:textId="0F75CAA2" w:rsidR="00FA1A43" w:rsidRPr="00BB7AB0" w:rsidRDefault="00FA1A43" w:rsidP="00FA1A43">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191</w:t>
                  </w:r>
                </w:p>
              </w:tc>
              <w:tc>
                <w:tcPr>
                  <w:tcW w:w="0" w:type="dxa"/>
                  <w:shd w:val="clear" w:color="auto" w:fill="auto"/>
                  <w:vAlign w:val="center"/>
                </w:tcPr>
                <w:p w14:paraId="4A829FFC" w14:textId="34EB6924" w:rsidR="00FA1A43" w:rsidRPr="00BB7AB0" w:rsidRDefault="00FA1A43" w:rsidP="00FA1A43">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150</w:t>
                  </w:r>
                </w:p>
              </w:tc>
              <w:tc>
                <w:tcPr>
                  <w:tcW w:w="0" w:type="dxa"/>
                  <w:shd w:val="clear" w:color="auto" w:fill="auto"/>
                  <w:vAlign w:val="center"/>
                </w:tcPr>
                <w:p w14:paraId="10405659" w14:textId="77777777" w:rsidR="00FA1A43" w:rsidRPr="00BB7AB0" w:rsidRDefault="00FA1A43" w:rsidP="00FA1A43">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29</w:t>
                  </w:r>
                </w:p>
              </w:tc>
              <w:tc>
                <w:tcPr>
                  <w:tcW w:w="0" w:type="dxa"/>
                  <w:shd w:val="clear" w:color="auto" w:fill="auto"/>
                  <w:vAlign w:val="center"/>
                </w:tcPr>
                <w:p w14:paraId="0F3D58F8" w14:textId="462D5E13" w:rsidR="00FA1A43" w:rsidRPr="00BB7AB0" w:rsidRDefault="00EA3D7F" w:rsidP="00FA1A43">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15.2</w:t>
                  </w:r>
                </w:p>
              </w:tc>
            </w:tr>
          </w:tbl>
          <w:p w14:paraId="595A1913" w14:textId="77777777" w:rsidR="00816D82" w:rsidRDefault="00816D82" w:rsidP="00301049">
            <w:pPr>
              <w:spacing w:before="80" w:after="80"/>
              <w:rPr>
                <w:rFonts w:cstheme="minorHAnsi"/>
                <w:sz w:val="20"/>
              </w:rPr>
            </w:pPr>
            <w:r>
              <w:rPr>
                <w:rFonts w:cstheme="minorHAnsi"/>
                <w:sz w:val="20"/>
              </w:rPr>
              <w:t xml:space="preserve">The school combined the number of students meeting the grade level goal and the students that are within half a grade level from the goal. </w:t>
            </w:r>
          </w:p>
          <w:tbl>
            <w:tblPr>
              <w:tblStyle w:val="GridTable2-Accent1"/>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1215"/>
              <w:gridCol w:w="1215"/>
              <w:gridCol w:w="1215"/>
              <w:gridCol w:w="1215"/>
              <w:gridCol w:w="1215"/>
              <w:gridCol w:w="1215"/>
            </w:tblGrid>
            <w:tr w:rsidR="0081741A" w14:paraId="2DB4E1D5" w14:textId="77777777" w:rsidTr="007D4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single" w:sz="4" w:space="0" w:color="auto"/>
                    <w:bottom w:val="single" w:sz="4" w:space="0" w:color="auto"/>
                    <w:right w:val="single" w:sz="4" w:space="0" w:color="auto"/>
                  </w:tcBorders>
                  <w:shd w:val="clear" w:color="auto" w:fill="D9D9D9" w:themeFill="background1" w:themeFillShade="D9"/>
                  <w:vAlign w:val="center"/>
                </w:tcPr>
                <w:p w14:paraId="7080DF31" w14:textId="77777777" w:rsidR="00816D82" w:rsidRPr="00BB7AB0" w:rsidRDefault="00816D82" w:rsidP="0070011C">
                  <w:pPr>
                    <w:jc w:val="center"/>
                    <w:rPr>
                      <w:sz w:val="18"/>
                      <w:szCs w:val="16"/>
                    </w:rPr>
                  </w:pPr>
                  <w:r w:rsidRPr="00BB7AB0">
                    <w:rPr>
                      <w:sz w:val="18"/>
                      <w:szCs w:val="16"/>
                    </w:rPr>
                    <w:t>Engagement Phase</w:t>
                  </w:r>
                </w:p>
              </w:tc>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F4D38" w14:textId="77777777" w:rsidR="00816D82" w:rsidRPr="00BB7AB0" w:rsidRDefault="00816D82" w:rsidP="0070011C">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Number of students enrolled the FAY</w:t>
                  </w:r>
                </w:p>
              </w:tc>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21EE8" w14:textId="77777777" w:rsidR="00816D82" w:rsidRPr="00BB7AB0" w:rsidRDefault="00816D82" w:rsidP="0070011C">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Number of students tested</w:t>
                  </w:r>
                </w:p>
              </w:tc>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881A6" w14:textId="77777777" w:rsidR="00816D82" w:rsidRPr="00BB7AB0" w:rsidRDefault="00816D82" w:rsidP="0070011C">
                  <w:pPr>
                    <w:jc w:val="center"/>
                    <w:cnfStyle w:val="100000000000" w:firstRow="1" w:lastRow="0" w:firstColumn="0" w:lastColumn="0" w:oddVBand="0" w:evenVBand="0" w:oddHBand="0" w:evenHBand="0" w:firstRowFirstColumn="0" w:firstRowLastColumn="0" w:lastRowFirstColumn="0" w:lastRowLastColumn="0"/>
                    <w:rPr>
                      <w:b w:val="0"/>
                      <w:bCs w:val="0"/>
                      <w:sz w:val="18"/>
                      <w:szCs w:val="16"/>
                    </w:rPr>
                  </w:pPr>
                  <w:r w:rsidRPr="00BB7AB0">
                    <w:rPr>
                      <w:sz w:val="18"/>
                      <w:szCs w:val="16"/>
                    </w:rPr>
                    <w:t>Number of student</w:t>
                  </w:r>
                  <w:r>
                    <w:rPr>
                      <w:sz w:val="18"/>
                      <w:szCs w:val="16"/>
                    </w:rPr>
                    <w:t>s</w:t>
                  </w:r>
                  <w:r w:rsidRPr="00BB7AB0">
                    <w:rPr>
                      <w:sz w:val="18"/>
                      <w:szCs w:val="16"/>
                    </w:rPr>
                    <w:t xml:space="preserve"> scoring at or above grade level</w:t>
                  </w:r>
                </w:p>
              </w:tc>
              <w:tc>
                <w:tcPr>
                  <w:tcW w:w="1215" w:type="dxa"/>
                  <w:tcBorders>
                    <w:top w:val="single" w:sz="4" w:space="0" w:color="auto"/>
                    <w:left w:val="single" w:sz="4" w:space="0" w:color="auto"/>
                    <w:bottom w:val="single" w:sz="4" w:space="0" w:color="auto"/>
                  </w:tcBorders>
                  <w:shd w:val="clear" w:color="auto" w:fill="D9D9D9" w:themeFill="background1" w:themeFillShade="D9"/>
                  <w:vAlign w:val="center"/>
                </w:tcPr>
                <w:p w14:paraId="79828F33" w14:textId="6EA1DD4E" w:rsidR="00816D82" w:rsidRPr="00BB7AB0" w:rsidRDefault="00816D82" w:rsidP="0070011C">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Number of student</w:t>
                  </w:r>
                  <w:r>
                    <w:rPr>
                      <w:sz w:val="18"/>
                      <w:szCs w:val="16"/>
                    </w:rPr>
                    <w:t xml:space="preserve">s within 0.5 grade level equivalents </w:t>
                  </w:r>
                  <w:r w:rsidR="00595545">
                    <w:rPr>
                      <w:sz w:val="18"/>
                      <w:szCs w:val="16"/>
                    </w:rPr>
                    <w:t xml:space="preserve">(GLE) </w:t>
                  </w:r>
                  <w:r>
                    <w:rPr>
                      <w:sz w:val="18"/>
                      <w:szCs w:val="16"/>
                    </w:rPr>
                    <w:t>of their assigned grade</w:t>
                  </w:r>
                </w:p>
              </w:tc>
              <w:tc>
                <w:tcPr>
                  <w:tcW w:w="1215" w:type="dxa"/>
                  <w:tcBorders>
                    <w:top w:val="single" w:sz="4" w:space="0" w:color="auto"/>
                    <w:left w:val="single" w:sz="4" w:space="0" w:color="auto"/>
                    <w:bottom w:val="single" w:sz="4" w:space="0" w:color="auto"/>
                  </w:tcBorders>
                  <w:shd w:val="clear" w:color="auto" w:fill="D9D9D9" w:themeFill="background1" w:themeFillShade="D9"/>
                  <w:vAlign w:val="center"/>
                </w:tcPr>
                <w:p w14:paraId="20BC85D3" w14:textId="77777777" w:rsidR="00816D82" w:rsidRPr="00BB7AB0" w:rsidRDefault="00816D82" w:rsidP="0070011C">
                  <w:pPr>
                    <w:jc w:val="center"/>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Total Met</w:t>
                  </w:r>
                </w:p>
              </w:tc>
              <w:tc>
                <w:tcPr>
                  <w:tcW w:w="1215" w:type="dxa"/>
                  <w:tcBorders>
                    <w:top w:val="single" w:sz="4" w:space="0" w:color="auto"/>
                    <w:left w:val="single" w:sz="4" w:space="0" w:color="auto"/>
                    <w:bottom w:val="single" w:sz="4" w:space="0" w:color="auto"/>
                  </w:tcBorders>
                  <w:shd w:val="clear" w:color="auto" w:fill="D9D9D9" w:themeFill="background1" w:themeFillShade="D9"/>
                  <w:vAlign w:val="center"/>
                </w:tcPr>
                <w:p w14:paraId="7B66B183" w14:textId="77777777" w:rsidR="00816D82" w:rsidRDefault="00816D82" w:rsidP="0070011C">
                  <w:pPr>
                    <w:jc w:val="center"/>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Percent Met</w:t>
                  </w:r>
                </w:p>
              </w:tc>
            </w:tr>
            <w:tr w:rsidR="00A816E9" w14:paraId="0F3B48EB" w14:textId="77777777" w:rsidTr="00301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single" w:sz="4" w:space="0" w:color="auto"/>
                  </w:tcBorders>
                  <w:shd w:val="clear" w:color="auto" w:fill="D9D9D9" w:themeFill="background1" w:themeFillShade="D9"/>
                  <w:vAlign w:val="center"/>
                </w:tcPr>
                <w:p w14:paraId="0F4869F2" w14:textId="77777777" w:rsidR="00816D82" w:rsidRPr="00BB7AB0" w:rsidRDefault="00816D82" w:rsidP="0070011C">
                  <w:pPr>
                    <w:jc w:val="center"/>
                    <w:rPr>
                      <w:sz w:val="18"/>
                      <w:szCs w:val="16"/>
                    </w:rPr>
                  </w:pPr>
                  <w:r w:rsidRPr="00BB7AB0">
                    <w:rPr>
                      <w:sz w:val="18"/>
                      <w:szCs w:val="16"/>
                    </w:rPr>
                    <w:t>Minimally Connected</w:t>
                  </w:r>
                </w:p>
              </w:tc>
              <w:tc>
                <w:tcPr>
                  <w:tcW w:w="1215" w:type="dxa"/>
                  <w:tcBorders>
                    <w:top w:val="single" w:sz="4" w:space="0" w:color="auto"/>
                  </w:tcBorders>
                  <w:shd w:val="clear" w:color="auto" w:fill="auto"/>
                  <w:vAlign w:val="center"/>
                </w:tcPr>
                <w:p w14:paraId="681519EA" w14:textId="77777777" w:rsidR="00816D82" w:rsidRPr="00BB7AB0" w:rsidRDefault="00816D82" w:rsidP="0070011C">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40</w:t>
                  </w:r>
                </w:p>
              </w:tc>
              <w:tc>
                <w:tcPr>
                  <w:tcW w:w="1215" w:type="dxa"/>
                  <w:tcBorders>
                    <w:top w:val="single" w:sz="4" w:space="0" w:color="auto"/>
                  </w:tcBorders>
                  <w:shd w:val="clear" w:color="auto" w:fill="auto"/>
                  <w:vAlign w:val="center"/>
                </w:tcPr>
                <w:p w14:paraId="0C901E45" w14:textId="77777777" w:rsidR="00816D82" w:rsidRPr="00BB7AB0" w:rsidRDefault="00816D82" w:rsidP="0070011C">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15</w:t>
                  </w:r>
                </w:p>
              </w:tc>
              <w:tc>
                <w:tcPr>
                  <w:tcW w:w="1215" w:type="dxa"/>
                  <w:tcBorders>
                    <w:top w:val="single" w:sz="4" w:space="0" w:color="auto"/>
                  </w:tcBorders>
                  <w:shd w:val="clear" w:color="auto" w:fill="auto"/>
                  <w:vAlign w:val="center"/>
                </w:tcPr>
                <w:p w14:paraId="0FE60500" w14:textId="77777777" w:rsidR="00816D82" w:rsidRPr="00BB7AB0" w:rsidRDefault="00816D82" w:rsidP="0070011C">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1</w:t>
                  </w:r>
                </w:p>
              </w:tc>
              <w:tc>
                <w:tcPr>
                  <w:tcW w:w="1215" w:type="dxa"/>
                  <w:tcBorders>
                    <w:top w:val="single" w:sz="4" w:space="0" w:color="auto"/>
                  </w:tcBorders>
                  <w:shd w:val="clear" w:color="auto" w:fill="auto"/>
                  <w:vAlign w:val="center"/>
                </w:tcPr>
                <w:p w14:paraId="065A92DE" w14:textId="77777777" w:rsidR="00816D82" w:rsidRPr="00BB7AB0" w:rsidRDefault="00816D82" w:rsidP="0070011C">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3</w:t>
                  </w:r>
                </w:p>
              </w:tc>
              <w:tc>
                <w:tcPr>
                  <w:tcW w:w="1215" w:type="dxa"/>
                  <w:tcBorders>
                    <w:top w:val="single" w:sz="4" w:space="0" w:color="auto"/>
                  </w:tcBorders>
                  <w:shd w:val="clear" w:color="auto" w:fill="auto"/>
                  <w:vAlign w:val="center"/>
                </w:tcPr>
                <w:p w14:paraId="5BC0F529" w14:textId="77777777" w:rsidR="00816D82" w:rsidRDefault="00816D82" w:rsidP="0070011C">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4</w:t>
                  </w:r>
                </w:p>
              </w:tc>
              <w:tc>
                <w:tcPr>
                  <w:tcW w:w="1215" w:type="dxa"/>
                  <w:tcBorders>
                    <w:top w:val="single" w:sz="4" w:space="0" w:color="auto"/>
                  </w:tcBorders>
                  <w:shd w:val="clear" w:color="auto" w:fill="auto"/>
                  <w:vAlign w:val="center"/>
                </w:tcPr>
                <w:p w14:paraId="148A0DAC" w14:textId="08905761" w:rsidR="00816D82" w:rsidRDefault="006D7F88" w:rsidP="0070011C">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10.0</w:t>
                  </w:r>
                </w:p>
              </w:tc>
            </w:tr>
            <w:tr w:rsidR="00A816E9" w14:paraId="69EAE9B6" w14:textId="77777777" w:rsidTr="00301049">
              <w:tc>
                <w:tcPr>
                  <w:cnfStyle w:val="001000000000" w:firstRow="0" w:lastRow="0" w:firstColumn="1" w:lastColumn="0" w:oddVBand="0" w:evenVBand="0" w:oddHBand="0" w:evenHBand="0" w:firstRowFirstColumn="0" w:firstRowLastColumn="0" w:lastRowFirstColumn="0" w:lastRowLastColumn="0"/>
                  <w:tcW w:w="1866" w:type="dxa"/>
                  <w:shd w:val="clear" w:color="auto" w:fill="D9D9D9" w:themeFill="background1" w:themeFillShade="D9"/>
                  <w:vAlign w:val="center"/>
                </w:tcPr>
                <w:p w14:paraId="70691325" w14:textId="77777777" w:rsidR="00816D82" w:rsidRPr="00BB7AB0" w:rsidRDefault="00816D82" w:rsidP="0070011C">
                  <w:pPr>
                    <w:jc w:val="center"/>
                    <w:rPr>
                      <w:sz w:val="18"/>
                      <w:szCs w:val="16"/>
                    </w:rPr>
                  </w:pPr>
                  <w:r w:rsidRPr="00BB7AB0">
                    <w:rPr>
                      <w:sz w:val="18"/>
                      <w:szCs w:val="16"/>
                    </w:rPr>
                    <w:t>Partially Connected</w:t>
                  </w:r>
                </w:p>
              </w:tc>
              <w:tc>
                <w:tcPr>
                  <w:tcW w:w="1215" w:type="dxa"/>
                  <w:shd w:val="clear" w:color="auto" w:fill="auto"/>
                  <w:vAlign w:val="center"/>
                </w:tcPr>
                <w:p w14:paraId="0A105FFD" w14:textId="77777777" w:rsidR="00816D82" w:rsidRPr="00BB7AB0" w:rsidRDefault="00816D82" w:rsidP="0070011C">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88</w:t>
                  </w:r>
                </w:p>
              </w:tc>
              <w:tc>
                <w:tcPr>
                  <w:tcW w:w="1215" w:type="dxa"/>
                  <w:shd w:val="clear" w:color="auto" w:fill="auto"/>
                  <w:vAlign w:val="center"/>
                </w:tcPr>
                <w:p w14:paraId="313F35F7" w14:textId="77777777" w:rsidR="00816D82" w:rsidRPr="00BB7AB0" w:rsidRDefault="00816D82" w:rsidP="0070011C">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75</w:t>
                  </w:r>
                </w:p>
              </w:tc>
              <w:tc>
                <w:tcPr>
                  <w:tcW w:w="1215" w:type="dxa"/>
                  <w:shd w:val="clear" w:color="auto" w:fill="auto"/>
                  <w:vAlign w:val="center"/>
                </w:tcPr>
                <w:p w14:paraId="61062264" w14:textId="77777777" w:rsidR="00816D82" w:rsidRPr="00BB7AB0" w:rsidRDefault="00816D82" w:rsidP="0070011C">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33</w:t>
                  </w:r>
                </w:p>
              </w:tc>
              <w:tc>
                <w:tcPr>
                  <w:tcW w:w="1215" w:type="dxa"/>
                  <w:shd w:val="clear" w:color="auto" w:fill="auto"/>
                  <w:vAlign w:val="center"/>
                </w:tcPr>
                <w:p w14:paraId="4362321E" w14:textId="77777777" w:rsidR="00816D82" w:rsidRPr="00BB7AB0" w:rsidRDefault="00816D82" w:rsidP="0070011C">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21</w:t>
                  </w:r>
                </w:p>
              </w:tc>
              <w:tc>
                <w:tcPr>
                  <w:tcW w:w="1215" w:type="dxa"/>
                  <w:shd w:val="clear" w:color="auto" w:fill="auto"/>
                  <w:vAlign w:val="center"/>
                </w:tcPr>
                <w:p w14:paraId="29296FEF" w14:textId="77777777" w:rsidR="00816D82" w:rsidRDefault="00816D82" w:rsidP="0070011C">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54</w:t>
                  </w:r>
                </w:p>
              </w:tc>
              <w:tc>
                <w:tcPr>
                  <w:tcW w:w="1215" w:type="dxa"/>
                  <w:shd w:val="clear" w:color="auto" w:fill="auto"/>
                  <w:vAlign w:val="center"/>
                </w:tcPr>
                <w:p w14:paraId="35B7DECB" w14:textId="2474CFEC" w:rsidR="00816D82" w:rsidRDefault="006D7F88" w:rsidP="0070011C">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61.4</w:t>
                  </w:r>
                </w:p>
              </w:tc>
            </w:tr>
            <w:tr w:rsidR="00A816E9" w14:paraId="71A30CD0" w14:textId="77777777" w:rsidTr="00301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shd w:val="clear" w:color="auto" w:fill="D9D9D9" w:themeFill="background1" w:themeFillShade="D9"/>
                  <w:vAlign w:val="center"/>
                </w:tcPr>
                <w:p w14:paraId="7414CE65" w14:textId="77777777" w:rsidR="00816D82" w:rsidRPr="00BB7AB0" w:rsidRDefault="00816D82" w:rsidP="0070011C">
                  <w:pPr>
                    <w:jc w:val="center"/>
                    <w:rPr>
                      <w:sz w:val="18"/>
                      <w:szCs w:val="16"/>
                    </w:rPr>
                  </w:pPr>
                  <w:r w:rsidRPr="00BB7AB0">
                    <w:rPr>
                      <w:sz w:val="18"/>
                      <w:szCs w:val="16"/>
                    </w:rPr>
                    <w:t>Connected</w:t>
                  </w:r>
                </w:p>
              </w:tc>
              <w:tc>
                <w:tcPr>
                  <w:tcW w:w="1215" w:type="dxa"/>
                  <w:shd w:val="clear" w:color="auto" w:fill="auto"/>
                  <w:vAlign w:val="center"/>
                </w:tcPr>
                <w:p w14:paraId="5D3EEC61" w14:textId="77777777" w:rsidR="00816D82" w:rsidRPr="00BB7AB0" w:rsidRDefault="00816D82" w:rsidP="0070011C">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63</w:t>
                  </w:r>
                </w:p>
              </w:tc>
              <w:tc>
                <w:tcPr>
                  <w:tcW w:w="1215" w:type="dxa"/>
                  <w:shd w:val="clear" w:color="auto" w:fill="auto"/>
                  <w:vAlign w:val="center"/>
                </w:tcPr>
                <w:p w14:paraId="51FF3076" w14:textId="77777777" w:rsidR="00816D82" w:rsidRPr="00BB7AB0" w:rsidRDefault="00816D82" w:rsidP="0070011C">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60</w:t>
                  </w:r>
                </w:p>
              </w:tc>
              <w:tc>
                <w:tcPr>
                  <w:tcW w:w="1215" w:type="dxa"/>
                  <w:shd w:val="clear" w:color="auto" w:fill="auto"/>
                  <w:vAlign w:val="center"/>
                </w:tcPr>
                <w:p w14:paraId="45F2F5EF" w14:textId="77777777" w:rsidR="00816D82" w:rsidRPr="00BB7AB0" w:rsidRDefault="00816D82" w:rsidP="0070011C">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52</w:t>
                  </w:r>
                </w:p>
              </w:tc>
              <w:tc>
                <w:tcPr>
                  <w:tcW w:w="1215" w:type="dxa"/>
                  <w:shd w:val="clear" w:color="auto" w:fill="auto"/>
                  <w:vAlign w:val="center"/>
                </w:tcPr>
                <w:p w14:paraId="14D1AE37" w14:textId="77777777" w:rsidR="00816D82" w:rsidRPr="00BB7AB0" w:rsidRDefault="00816D82" w:rsidP="0070011C">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5</w:t>
                  </w:r>
                </w:p>
              </w:tc>
              <w:tc>
                <w:tcPr>
                  <w:tcW w:w="1215" w:type="dxa"/>
                  <w:shd w:val="clear" w:color="auto" w:fill="auto"/>
                  <w:vAlign w:val="center"/>
                </w:tcPr>
                <w:p w14:paraId="4B152608" w14:textId="77777777" w:rsidR="00816D82" w:rsidRDefault="00816D82" w:rsidP="0070011C">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57</w:t>
                  </w:r>
                </w:p>
              </w:tc>
              <w:tc>
                <w:tcPr>
                  <w:tcW w:w="1215" w:type="dxa"/>
                  <w:shd w:val="clear" w:color="auto" w:fill="auto"/>
                  <w:vAlign w:val="center"/>
                </w:tcPr>
                <w:p w14:paraId="0560E7A3" w14:textId="2F8B8DBA" w:rsidR="00816D82" w:rsidRDefault="006D7F88" w:rsidP="0070011C">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90.5</w:t>
                  </w:r>
                </w:p>
              </w:tc>
            </w:tr>
            <w:tr w:rsidR="00A816E9" w14:paraId="5F848DBB" w14:textId="77777777" w:rsidTr="00301049">
              <w:tc>
                <w:tcPr>
                  <w:cnfStyle w:val="001000000000" w:firstRow="0" w:lastRow="0" w:firstColumn="1" w:lastColumn="0" w:oddVBand="0" w:evenVBand="0" w:oddHBand="0" w:evenHBand="0" w:firstRowFirstColumn="0" w:firstRowLastColumn="0" w:lastRowFirstColumn="0" w:lastRowLastColumn="0"/>
                  <w:tcW w:w="1866" w:type="dxa"/>
                  <w:shd w:val="clear" w:color="auto" w:fill="D9D9D9" w:themeFill="background1" w:themeFillShade="D9"/>
                  <w:vAlign w:val="center"/>
                </w:tcPr>
                <w:p w14:paraId="172F7509" w14:textId="77777777" w:rsidR="00816D82" w:rsidRPr="00BB7AB0" w:rsidRDefault="00816D82" w:rsidP="0070011C">
                  <w:pPr>
                    <w:jc w:val="center"/>
                    <w:rPr>
                      <w:sz w:val="18"/>
                      <w:szCs w:val="16"/>
                    </w:rPr>
                  </w:pPr>
                  <w:r w:rsidRPr="00BB7AB0">
                    <w:rPr>
                      <w:sz w:val="18"/>
                      <w:szCs w:val="16"/>
                    </w:rPr>
                    <w:t>Total</w:t>
                  </w:r>
                </w:p>
              </w:tc>
              <w:tc>
                <w:tcPr>
                  <w:tcW w:w="1215" w:type="dxa"/>
                  <w:shd w:val="clear" w:color="auto" w:fill="auto"/>
                  <w:vAlign w:val="center"/>
                </w:tcPr>
                <w:p w14:paraId="12A99C49" w14:textId="77777777" w:rsidR="00816D82" w:rsidRPr="00BB7AB0" w:rsidRDefault="00816D82" w:rsidP="0070011C">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191</w:t>
                  </w:r>
                </w:p>
              </w:tc>
              <w:tc>
                <w:tcPr>
                  <w:tcW w:w="1215" w:type="dxa"/>
                  <w:shd w:val="clear" w:color="auto" w:fill="auto"/>
                  <w:vAlign w:val="center"/>
                </w:tcPr>
                <w:p w14:paraId="0FDD50F9" w14:textId="77777777" w:rsidR="00816D82" w:rsidRPr="00BB7AB0" w:rsidRDefault="00816D82" w:rsidP="0070011C">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150</w:t>
                  </w:r>
                </w:p>
              </w:tc>
              <w:tc>
                <w:tcPr>
                  <w:tcW w:w="1215" w:type="dxa"/>
                  <w:shd w:val="clear" w:color="auto" w:fill="auto"/>
                  <w:vAlign w:val="center"/>
                </w:tcPr>
                <w:p w14:paraId="387819A1" w14:textId="77777777" w:rsidR="00816D82" w:rsidRPr="00BB7AB0" w:rsidRDefault="00816D82" w:rsidP="0070011C">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86</w:t>
                  </w:r>
                </w:p>
              </w:tc>
              <w:tc>
                <w:tcPr>
                  <w:tcW w:w="1215" w:type="dxa"/>
                  <w:shd w:val="clear" w:color="auto" w:fill="auto"/>
                  <w:vAlign w:val="center"/>
                </w:tcPr>
                <w:p w14:paraId="727BFFAA" w14:textId="77777777" w:rsidR="00816D82" w:rsidRPr="00BB7AB0" w:rsidRDefault="00816D82" w:rsidP="0070011C">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29</w:t>
                  </w:r>
                </w:p>
              </w:tc>
              <w:tc>
                <w:tcPr>
                  <w:tcW w:w="1215" w:type="dxa"/>
                  <w:shd w:val="clear" w:color="auto" w:fill="auto"/>
                  <w:vAlign w:val="center"/>
                </w:tcPr>
                <w:p w14:paraId="1A0C1638" w14:textId="77777777" w:rsidR="00816D82" w:rsidRDefault="00816D82" w:rsidP="0070011C">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115</w:t>
                  </w:r>
                </w:p>
              </w:tc>
              <w:tc>
                <w:tcPr>
                  <w:tcW w:w="1215" w:type="dxa"/>
                  <w:shd w:val="clear" w:color="auto" w:fill="auto"/>
                  <w:vAlign w:val="center"/>
                </w:tcPr>
                <w:p w14:paraId="5CBD26C0" w14:textId="77777777" w:rsidR="00816D82" w:rsidRDefault="00816D82" w:rsidP="0070011C">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76.7</w:t>
                  </w:r>
                </w:p>
              </w:tc>
            </w:tr>
          </w:tbl>
          <w:p w14:paraId="1C5F8688" w14:textId="0A7361DB" w:rsidR="00816D82" w:rsidRDefault="00816D82" w:rsidP="00301049">
            <w:pPr>
              <w:spacing w:before="80" w:after="80"/>
              <w:rPr>
                <w:rFonts w:cstheme="minorHAnsi"/>
                <w:sz w:val="20"/>
              </w:rPr>
            </w:pPr>
            <w:r>
              <w:rPr>
                <w:rFonts w:cstheme="minorHAnsi"/>
                <w:sz w:val="20"/>
              </w:rPr>
              <w:t>Adding a metric that speci</w:t>
            </w:r>
            <w:r w:rsidR="00560659">
              <w:rPr>
                <w:rFonts w:cstheme="minorHAnsi"/>
                <w:sz w:val="20"/>
              </w:rPr>
              <w:t>fic</w:t>
            </w:r>
            <w:r>
              <w:rPr>
                <w:rFonts w:cstheme="minorHAnsi"/>
                <w:sz w:val="20"/>
              </w:rPr>
              <w:t>ally targets the success of the Partially Connected students is responsive to the school’s unique population of students and students’ incoming skill level and does not penalize the school for working with students who have perhaps not been seen as successful before. However, the addition of the metric did not improve the percentage of the Minimally Connected student</w:t>
            </w:r>
            <w:r w:rsidR="00560659">
              <w:rPr>
                <w:rFonts w:cstheme="minorHAnsi"/>
                <w:sz w:val="20"/>
              </w:rPr>
              <w:t>s</w:t>
            </w:r>
            <w:r>
              <w:rPr>
                <w:rFonts w:cstheme="minorHAnsi"/>
                <w:sz w:val="20"/>
              </w:rPr>
              <w:t xml:space="preserve"> by much. </w:t>
            </w:r>
          </w:p>
          <w:p w14:paraId="25783105" w14:textId="77777777" w:rsidR="00816D82" w:rsidRDefault="00816D82" w:rsidP="00301049">
            <w:pPr>
              <w:spacing w:before="80" w:after="80"/>
              <w:rPr>
                <w:rFonts w:cstheme="minorHAnsi"/>
                <w:sz w:val="20"/>
              </w:rPr>
            </w:pPr>
            <w:r>
              <w:rPr>
                <w:rFonts w:cstheme="minorHAnsi"/>
                <w:sz w:val="20"/>
              </w:rPr>
              <w:t xml:space="preserve">Although Minimally Connected students are not at grade level, the school can still demonstrate that these students made progress toward proficiency. The school can show improvement on the NWEA reading assessment through goals around RIT score progress, NWEA growth metrics, or improvement in grade level equivalent (GLE) over the course of the year. </w:t>
            </w:r>
          </w:p>
          <w:p w14:paraId="249E0EA9" w14:textId="77777777" w:rsidR="00816D82" w:rsidRDefault="00816D82" w:rsidP="00301049">
            <w:pPr>
              <w:spacing w:before="80" w:after="80"/>
              <w:rPr>
                <w:rFonts w:cstheme="minorHAnsi"/>
                <w:sz w:val="20"/>
              </w:rPr>
            </w:pPr>
            <w:r>
              <w:rPr>
                <w:rFonts w:cstheme="minorHAnsi"/>
                <w:sz w:val="20"/>
              </w:rPr>
              <w:t xml:space="preserve">For example, the school analyzed the percent of Minimally Connected students who did not score at or above grade level or who were within half a grade level away from their appropriate grade level. </w:t>
            </w: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1800"/>
              <w:gridCol w:w="1800"/>
              <w:gridCol w:w="1800"/>
              <w:gridCol w:w="1800"/>
            </w:tblGrid>
            <w:tr w:rsidR="0081741A" w14:paraId="7A2CF267" w14:textId="77777777" w:rsidTr="006647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single" w:sz="4" w:space="0" w:color="auto"/>
                    <w:bottom w:val="single" w:sz="4" w:space="0" w:color="auto"/>
                    <w:right w:val="single" w:sz="4" w:space="0" w:color="auto"/>
                  </w:tcBorders>
                  <w:shd w:val="clear" w:color="auto" w:fill="D9D9D9" w:themeFill="background1" w:themeFillShade="D9"/>
                  <w:vAlign w:val="center"/>
                </w:tcPr>
                <w:p w14:paraId="5EA53A8A" w14:textId="77777777" w:rsidR="00816D82" w:rsidRPr="00BB7AB0" w:rsidRDefault="00816D82" w:rsidP="00077424">
                  <w:pPr>
                    <w:jc w:val="center"/>
                    <w:rPr>
                      <w:sz w:val="18"/>
                      <w:szCs w:val="16"/>
                    </w:rPr>
                  </w:pPr>
                  <w:r w:rsidRPr="00BB7AB0">
                    <w:rPr>
                      <w:sz w:val="18"/>
                      <w:szCs w:val="16"/>
                    </w:rPr>
                    <w:t>Engagement Phase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3B579" w14:textId="77777777" w:rsidR="00816D82" w:rsidRPr="00BB7AB0" w:rsidRDefault="00816D82" w:rsidP="00077424">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Number of students enrolled the FAY</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5A7AC" w14:textId="77777777" w:rsidR="00816D82" w:rsidRPr="00BB7AB0" w:rsidRDefault="00816D82" w:rsidP="00077424">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Number of students tested</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E1441" w14:textId="77777777" w:rsidR="00816D82" w:rsidRPr="00BB7AB0" w:rsidRDefault="00816D82" w:rsidP="00077424">
                  <w:pPr>
                    <w:jc w:val="center"/>
                    <w:cnfStyle w:val="100000000000" w:firstRow="1" w:lastRow="0" w:firstColumn="0" w:lastColumn="0" w:oddVBand="0" w:evenVBand="0" w:oddHBand="0" w:evenHBand="0" w:firstRowFirstColumn="0" w:firstRowLastColumn="0" w:lastRowFirstColumn="0" w:lastRowLastColumn="0"/>
                    <w:rPr>
                      <w:b w:val="0"/>
                      <w:bCs w:val="0"/>
                      <w:sz w:val="18"/>
                      <w:szCs w:val="16"/>
                    </w:rPr>
                  </w:pPr>
                  <w:r w:rsidRPr="00BB7AB0">
                    <w:rPr>
                      <w:sz w:val="18"/>
                      <w:szCs w:val="16"/>
                    </w:rPr>
                    <w:t>Number of student</w:t>
                  </w:r>
                  <w:r>
                    <w:rPr>
                      <w:sz w:val="18"/>
                      <w:szCs w:val="16"/>
                    </w:rPr>
                    <w:t>s who improved at least 1 GLE</w:t>
                  </w:r>
                </w:p>
              </w:tc>
              <w:tc>
                <w:tcPr>
                  <w:tcW w:w="1800" w:type="dxa"/>
                  <w:tcBorders>
                    <w:top w:val="single" w:sz="4" w:space="0" w:color="auto"/>
                    <w:left w:val="single" w:sz="4" w:space="0" w:color="auto"/>
                    <w:bottom w:val="single" w:sz="4" w:space="0" w:color="auto"/>
                  </w:tcBorders>
                  <w:shd w:val="clear" w:color="auto" w:fill="D9D9D9" w:themeFill="background1" w:themeFillShade="D9"/>
                  <w:vAlign w:val="center"/>
                </w:tcPr>
                <w:p w14:paraId="07EBBFE2" w14:textId="77777777" w:rsidR="00816D82" w:rsidRPr="00BB7AB0" w:rsidRDefault="00816D82" w:rsidP="00077424">
                  <w:pPr>
                    <w:jc w:val="center"/>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Percent of students who improved at least 1 GLE</w:t>
                  </w:r>
                </w:p>
              </w:tc>
            </w:tr>
            <w:tr w:rsidR="007D4235" w14:paraId="371D1D76" w14:textId="77777777" w:rsidTr="00301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shd w:val="clear" w:color="auto" w:fill="D9D9D9" w:themeFill="background1" w:themeFillShade="D9"/>
                  <w:vAlign w:val="center"/>
                </w:tcPr>
                <w:p w14:paraId="295C4731" w14:textId="77777777" w:rsidR="00816D82" w:rsidRPr="00BB7AB0" w:rsidRDefault="00816D82" w:rsidP="00077424">
                  <w:pPr>
                    <w:jc w:val="center"/>
                    <w:rPr>
                      <w:sz w:val="18"/>
                      <w:szCs w:val="16"/>
                    </w:rPr>
                  </w:pPr>
                  <w:r w:rsidRPr="00BB7AB0">
                    <w:rPr>
                      <w:sz w:val="18"/>
                      <w:szCs w:val="16"/>
                    </w:rPr>
                    <w:t>Minimally Connected</w:t>
                  </w:r>
                </w:p>
              </w:tc>
              <w:tc>
                <w:tcPr>
                  <w:tcW w:w="1800" w:type="dxa"/>
                  <w:tcBorders>
                    <w:top w:val="single" w:sz="4" w:space="0" w:color="auto"/>
                  </w:tcBorders>
                  <w:shd w:val="clear" w:color="auto" w:fill="auto"/>
                  <w:vAlign w:val="center"/>
                </w:tcPr>
                <w:p w14:paraId="5423DA52" w14:textId="77777777" w:rsidR="00816D82" w:rsidRPr="00BB7AB0" w:rsidRDefault="00816D82" w:rsidP="00077424">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40</w:t>
                  </w:r>
                </w:p>
              </w:tc>
              <w:tc>
                <w:tcPr>
                  <w:tcW w:w="1800" w:type="dxa"/>
                  <w:tcBorders>
                    <w:top w:val="single" w:sz="4" w:space="0" w:color="auto"/>
                  </w:tcBorders>
                  <w:shd w:val="clear" w:color="auto" w:fill="auto"/>
                  <w:vAlign w:val="center"/>
                </w:tcPr>
                <w:p w14:paraId="7E7B6C7A" w14:textId="77777777" w:rsidR="00816D82" w:rsidRPr="00BB7AB0" w:rsidRDefault="00816D82" w:rsidP="00077424">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15</w:t>
                  </w:r>
                </w:p>
              </w:tc>
              <w:tc>
                <w:tcPr>
                  <w:tcW w:w="1800" w:type="dxa"/>
                  <w:tcBorders>
                    <w:top w:val="single" w:sz="4" w:space="0" w:color="auto"/>
                  </w:tcBorders>
                  <w:shd w:val="clear" w:color="auto" w:fill="auto"/>
                  <w:vAlign w:val="center"/>
                </w:tcPr>
                <w:p w14:paraId="5FFD8BB7" w14:textId="77777777" w:rsidR="00816D82" w:rsidRPr="00BB7AB0" w:rsidRDefault="00816D82" w:rsidP="00077424">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11</w:t>
                  </w:r>
                </w:p>
              </w:tc>
              <w:tc>
                <w:tcPr>
                  <w:tcW w:w="1800" w:type="dxa"/>
                  <w:tcBorders>
                    <w:top w:val="single" w:sz="4" w:space="0" w:color="auto"/>
                  </w:tcBorders>
                  <w:shd w:val="clear" w:color="auto" w:fill="auto"/>
                  <w:vAlign w:val="center"/>
                </w:tcPr>
                <w:p w14:paraId="1CE5CE03" w14:textId="50201CCE" w:rsidR="00816D82" w:rsidRPr="00BB7AB0" w:rsidRDefault="005662F2" w:rsidP="00077424">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27.5</w:t>
                  </w:r>
                </w:p>
              </w:tc>
            </w:tr>
          </w:tbl>
          <w:p w14:paraId="61FC7DB9" w14:textId="77777777" w:rsidR="00816D82" w:rsidRDefault="00816D82" w:rsidP="00301049">
            <w:pPr>
              <w:spacing w:before="80" w:after="80"/>
              <w:rPr>
                <w:rFonts w:cstheme="minorHAnsi"/>
                <w:sz w:val="20"/>
              </w:rPr>
            </w:pPr>
            <w:r>
              <w:rPr>
                <w:rFonts w:cstheme="minorHAnsi"/>
                <w:sz w:val="20"/>
              </w:rPr>
              <w:t xml:space="preserve">The school combined </w:t>
            </w:r>
            <w:proofErr w:type="gramStart"/>
            <w:r>
              <w:rPr>
                <w:rFonts w:cstheme="minorHAnsi"/>
                <w:sz w:val="20"/>
              </w:rPr>
              <w:t>all of</w:t>
            </w:r>
            <w:proofErr w:type="gramEnd"/>
            <w:r>
              <w:rPr>
                <w:rFonts w:cstheme="minorHAnsi"/>
                <w:sz w:val="20"/>
              </w:rPr>
              <w:t xml:space="preserve"> the goals together: students who scored at grade level or above, students who scored at least half a grade level within their appropriate grade level, and students who improved at least one GLE. </w:t>
            </w: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039"/>
              <w:gridCol w:w="1039"/>
              <w:gridCol w:w="1040"/>
              <w:gridCol w:w="1039"/>
              <w:gridCol w:w="1040"/>
              <w:gridCol w:w="1039"/>
              <w:gridCol w:w="1040"/>
            </w:tblGrid>
            <w:tr w:rsidR="009E3BB5" w14:paraId="73B389CA" w14:textId="77777777" w:rsidTr="009E3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bottom w:val="single" w:sz="4" w:space="0" w:color="auto"/>
                    <w:right w:val="single" w:sz="4" w:space="0" w:color="auto"/>
                  </w:tcBorders>
                  <w:shd w:val="clear" w:color="auto" w:fill="D9D9D9" w:themeFill="background1" w:themeFillShade="D9"/>
                  <w:vAlign w:val="center"/>
                </w:tcPr>
                <w:p w14:paraId="2E6FFB73" w14:textId="77777777" w:rsidR="00816D82" w:rsidRPr="00BB7AB0" w:rsidRDefault="00816D82" w:rsidP="00810BD9">
                  <w:pPr>
                    <w:jc w:val="center"/>
                    <w:rPr>
                      <w:sz w:val="18"/>
                      <w:szCs w:val="16"/>
                    </w:rPr>
                  </w:pPr>
                  <w:r w:rsidRPr="00BB7AB0">
                    <w:rPr>
                      <w:sz w:val="18"/>
                      <w:szCs w:val="16"/>
                    </w:rPr>
                    <w:t>Engagement Phase</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0E2B12" w14:textId="77777777" w:rsidR="00816D82" w:rsidRPr="00BB7AB0" w:rsidRDefault="00816D82" w:rsidP="00810BD9">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Number of students enrolled the FAY</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6FF2B" w14:textId="77777777" w:rsidR="00816D82" w:rsidRPr="00BB7AB0" w:rsidRDefault="00816D82" w:rsidP="00810BD9">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Number of students tested</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80636" w14:textId="77777777" w:rsidR="00816D82" w:rsidRPr="00BB7AB0" w:rsidRDefault="00816D82" w:rsidP="00810BD9">
                  <w:pPr>
                    <w:jc w:val="center"/>
                    <w:cnfStyle w:val="100000000000" w:firstRow="1" w:lastRow="0" w:firstColumn="0" w:lastColumn="0" w:oddVBand="0" w:evenVBand="0" w:oddHBand="0" w:evenHBand="0" w:firstRowFirstColumn="0" w:firstRowLastColumn="0" w:lastRowFirstColumn="0" w:lastRowLastColumn="0"/>
                    <w:rPr>
                      <w:b w:val="0"/>
                      <w:bCs w:val="0"/>
                      <w:sz w:val="18"/>
                      <w:szCs w:val="16"/>
                    </w:rPr>
                  </w:pPr>
                  <w:r w:rsidRPr="00BB7AB0">
                    <w:rPr>
                      <w:sz w:val="18"/>
                      <w:szCs w:val="16"/>
                    </w:rPr>
                    <w:t>Number of student</w:t>
                  </w:r>
                  <w:r>
                    <w:rPr>
                      <w:sz w:val="18"/>
                      <w:szCs w:val="16"/>
                    </w:rPr>
                    <w:t>s</w:t>
                  </w:r>
                  <w:r w:rsidRPr="00BB7AB0">
                    <w:rPr>
                      <w:sz w:val="18"/>
                      <w:szCs w:val="16"/>
                    </w:rPr>
                    <w:t xml:space="preserve"> scoring at or above grade level</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32D8C" w14:textId="35C5C3EA" w:rsidR="00816D82" w:rsidRPr="00BB7AB0" w:rsidRDefault="00816D82" w:rsidP="00810BD9">
                  <w:pPr>
                    <w:jc w:val="center"/>
                    <w:cnfStyle w:val="100000000000" w:firstRow="1" w:lastRow="0" w:firstColumn="0" w:lastColumn="0" w:oddVBand="0" w:evenVBand="0" w:oddHBand="0" w:evenHBand="0" w:firstRowFirstColumn="0" w:firstRowLastColumn="0" w:lastRowFirstColumn="0" w:lastRowLastColumn="0"/>
                    <w:rPr>
                      <w:sz w:val="18"/>
                      <w:szCs w:val="16"/>
                    </w:rPr>
                  </w:pPr>
                  <w:r w:rsidRPr="00BB7AB0">
                    <w:rPr>
                      <w:sz w:val="18"/>
                      <w:szCs w:val="16"/>
                    </w:rPr>
                    <w:t>Number of student</w:t>
                  </w:r>
                  <w:r>
                    <w:rPr>
                      <w:sz w:val="18"/>
                      <w:szCs w:val="16"/>
                    </w:rPr>
                    <w:t xml:space="preserve">s within 0.5 </w:t>
                  </w:r>
                  <w:r w:rsidR="00595545">
                    <w:rPr>
                      <w:sz w:val="18"/>
                      <w:szCs w:val="16"/>
                    </w:rPr>
                    <w:t>GLE</w:t>
                  </w:r>
                  <w:r>
                    <w:rPr>
                      <w:sz w:val="18"/>
                      <w:szCs w:val="16"/>
                    </w:rPr>
                    <w:t xml:space="preserve"> of their assigned grade</w:t>
                  </w:r>
                </w:p>
              </w:tc>
              <w:tc>
                <w:tcPr>
                  <w:tcW w:w="1040" w:type="dxa"/>
                  <w:tcBorders>
                    <w:top w:val="single" w:sz="4" w:space="0" w:color="auto"/>
                    <w:left w:val="single" w:sz="4" w:space="0" w:color="auto"/>
                    <w:bottom w:val="single" w:sz="4" w:space="0" w:color="auto"/>
                  </w:tcBorders>
                  <w:shd w:val="clear" w:color="auto" w:fill="D9D9D9" w:themeFill="background1" w:themeFillShade="D9"/>
                  <w:vAlign w:val="center"/>
                </w:tcPr>
                <w:p w14:paraId="311704F0" w14:textId="77777777" w:rsidR="00816D82" w:rsidRPr="00BB7AB0" w:rsidRDefault="00816D82" w:rsidP="00810BD9">
                  <w:pPr>
                    <w:jc w:val="center"/>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Number of students who improved at least 1 GLE</w:t>
                  </w:r>
                </w:p>
              </w:tc>
              <w:tc>
                <w:tcPr>
                  <w:tcW w:w="1039" w:type="dxa"/>
                  <w:tcBorders>
                    <w:top w:val="single" w:sz="4" w:space="0" w:color="auto"/>
                    <w:left w:val="single" w:sz="4" w:space="0" w:color="auto"/>
                    <w:bottom w:val="single" w:sz="4" w:space="0" w:color="auto"/>
                  </w:tcBorders>
                  <w:shd w:val="clear" w:color="auto" w:fill="D9D9D9" w:themeFill="background1" w:themeFillShade="D9"/>
                  <w:vAlign w:val="center"/>
                </w:tcPr>
                <w:p w14:paraId="5B25440D" w14:textId="77777777" w:rsidR="00816D82" w:rsidRPr="00BB7AB0" w:rsidRDefault="00816D82" w:rsidP="00810BD9">
                  <w:pPr>
                    <w:jc w:val="center"/>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Total Met</w:t>
                  </w:r>
                </w:p>
              </w:tc>
              <w:tc>
                <w:tcPr>
                  <w:tcW w:w="1040" w:type="dxa"/>
                  <w:tcBorders>
                    <w:top w:val="single" w:sz="4" w:space="0" w:color="auto"/>
                    <w:left w:val="single" w:sz="4" w:space="0" w:color="auto"/>
                    <w:bottom w:val="single" w:sz="4" w:space="0" w:color="auto"/>
                  </w:tcBorders>
                  <w:shd w:val="clear" w:color="auto" w:fill="D9D9D9" w:themeFill="background1" w:themeFillShade="D9"/>
                  <w:vAlign w:val="center"/>
                </w:tcPr>
                <w:p w14:paraId="3FB090E5" w14:textId="77777777" w:rsidR="00816D82" w:rsidRDefault="00816D82" w:rsidP="00810BD9">
                  <w:pPr>
                    <w:jc w:val="center"/>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Percent Met</w:t>
                  </w:r>
                </w:p>
              </w:tc>
            </w:tr>
            <w:tr w:rsidR="00816D82" w14:paraId="0FBF5462" w14:textId="77777777" w:rsidTr="00307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tcBorders>
                  <w:shd w:val="clear" w:color="auto" w:fill="D9D9D9" w:themeFill="background1" w:themeFillShade="D9"/>
                  <w:vAlign w:val="center"/>
                </w:tcPr>
                <w:p w14:paraId="49B9FA1A" w14:textId="77777777" w:rsidR="00816D82" w:rsidRPr="00BB7AB0" w:rsidRDefault="00816D82" w:rsidP="00810BD9">
                  <w:pPr>
                    <w:jc w:val="center"/>
                    <w:rPr>
                      <w:sz w:val="18"/>
                      <w:szCs w:val="16"/>
                    </w:rPr>
                  </w:pPr>
                  <w:r w:rsidRPr="00BB7AB0">
                    <w:rPr>
                      <w:sz w:val="18"/>
                      <w:szCs w:val="16"/>
                    </w:rPr>
                    <w:t>Minimally Connected</w:t>
                  </w:r>
                </w:p>
              </w:tc>
              <w:tc>
                <w:tcPr>
                  <w:tcW w:w="1039" w:type="dxa"/>
                  <w:tcBorders>
                    <w:top w:val="single" w:sz="4" w:space="0" w:color="auto"/>
                  </w:tcBorders>
                  <w:shd w:val="clear" w:color="auto" w:fill="auto"/>
                  <w:vAlign w:val="center"/>
                </w:tcPr>
                <w:p w14:paraId="7EBC8AB0" w14:textId="77777777" w:rsidR="00816D82" w:rsidRPr="00BB7AB0" w:rsidRDefault="00816D82"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40</w:t>
                  </w:r>
                </w:p>
              </w:tc>
              <w:tc>
                <w:tcPr>
                  <w:tcW w:w="1039" w:type="dxa"/>
                  <w:tcBorders>
                    <w:top w:val="single" w:sz="4" w:space="0" w:color="auto"/>
                  </w:tcBorders>
                  <w:shd w:val="clear" w:color="auto" w:fill="auto"/>
                  <w:vAlign w:val="center"/>
                </w:tcPr>
                <w:p w14:paraId="22217A93" w14:textId="77777777" w:rsidR="00816D82" w:rsidRPr="00BB7AB0" w:rsidRDefault="00816D82"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15</w:t>
                  </w:r>
                </w:p>
              </w:tc>
              <w:tc>
                <w:tcPr>
                  <w:tcW w:w="1040" w:type="dxa"/>
                  <w:tcBorders>
                    <w:top w:val="single" w:sz="4" w:space="0" w:color="auto"/>
                  </w:tcBorders>
                  <w:shd w:val="clear" w:color="auto" w:fill="auto"/>
                  <w:vAlign w:val="center"/>
                </w:tcPr>
                <w:p w14:paraId="79681DF5" w14:textId="77777777" w:rsidR="00816D82" w:rsidRPr="00BB7AB0" w:rsidRDefault="00816D82"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1</w:t>
                  </w:r>
                </w:p>
              </w:tc>
              <w:tc>
                <w:tcPr>
                  <w:tcW w:w="1039" w:type="dxa"/>
                  <w:tcBorders>
                    <w:top w:val="single" w:sz="4" w:space="0" w:color="auto"/>
                  </w:tcBorders>
                  <w:shd w:val="clear" w:color="auto" w:fill="auto"/>
                  <w:vAlign w:val="center"/>
                </w:tcPr>
                <w:p w14:paraId="2A5247ED" w14:textId="77777777" w:rsidR="00816D82" w:rsidRDefault="00816D82"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3</w:t>
                  </w:r>
                </w:p>
              </w:tc>
              <w:tc>
                <w:tcPr>
                  <w:tcW w:w="1040" w:type="dxa"/>
                  <w:tcBorders>
                    <w:top w:val="single" w:sz="4" w:space="0" w:color="auto"/>
                  </w:tcBorders>
                  <w:shd w:val="clear" w:color="auto" w:fill="auto"/>
                  <w:vAlign w:val="center"/>
                </w:tcPr>
                <w:p w14:paraId="319E15C2" w14:textId="77777777" w:rsidR="00816D82" w:rsidRPr="00BB7AB0" w:rsidRDefault="00816D82"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11</w:t>
                  </w:r>
                </w:p>
              </w:tc>
              <w:tc>
                <w:tcPr>
                  <w:tcW w:w="1039" w:type="dxa"/>
                  <w:tcBorders>
                    <w:top w:val="single" w:sz="4" w:space="0" w:color="auto"/>
                  </w:tcBorders>
                  <w:shd w:val="clear" w:color="auto" w:fill="auto"/>
                  <w:vAlign w:val="center"/>
                </w:tcPr>
                <w:p w14:paraId="18B571F8" w14:textId="77777777" w:rsidR="00816D82" w:rsidRDefault="00816D82"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15</w:t>
                  </w:r>
                </w:p>
              </w:tc>
              <w:tc>
                <w:tcPr>
                  <w:tcW w:w="1040" w:type="dxa"/>
                  <w:tcBorders>
                    <w:top w:val="single" w:sz="4" w:space="0" w:color="auto"/>
                  </w:tcBorders>
                  <w:shd w:val="clear" w:color="auto" w:fill="auto"/>
                  <w:vAlign w:val="center"/>
                </w:tcPr>
                <w:p w14:paraId="03E1FD4E" w14:textId="7EF9C823" w:rsidR="00816D82" w:rsidRDefault="00A24077"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37.5</w:t>
                  </w:r>
                </w:p>
              </w:tc>
            </w:tr>
            <w:tr w:rsidR="00816D82" w14:paraId="52CA0242" w14:textId="77777777" w:rsidTr="00307478">
              <w:tc>
                <w:tcPr>
                  <w:cnfStyle w:val="001000000000" w:firstRow="0" w:lastRow="0" w:firstColumn="1" w:lastColumn="0" w:oddVBand="0" w:evenVBand="0" w:oddHBand="0" w:evenHBand="0" w:firstRowFirstColumn="0" w:firstRowLastColumn="0" w:lastRowFirstColumn="0" w:lastRowLastColumn="0"/>
                  <w:tcW w:w="1848" w:type="dxa"/>
                  <w:shd w:val="clear" w:color="auto" w:fill="D9D9D9" w:themeFill="background1" w:themeFillShade="D9"/>
                  <w:vAlign w:val="center"/>
                </w:tcPr>
                <w:p w14:paraId="3A14EC2C" w14:textId="77777777" w:rsidR="00816D82" w:rsidRPr="00BB7AB0" w:rsidRDefault="00816D82" w:rsidP="00810BD9">
                  <w:pPr>
                    <w:jc w:val="center"/>
                    <w:rPr>
                      <w:sz w:val="18"/>
                      <w:szCs w:val="16"/>
                    </w:rPr>
                  </w:pPr>
                  <w:r w:rsidRPr="00BB7AB0">
                    <w:rPr>
                      <w:sz w:val="18"/>
                      <w:szCs w:val="16"/>
                    </w:rPr>
                    <w:t>Partially Connected</w:t>
                  </w:r>
                </w:p>
              </w:tc>
              <w:tc>
                <w:tcPr>
                  <w:tcW w:w="1039" w:type="dxa"/>
                  <w:shd w:val="clear" w:color="auto" w:fill="auto"/>
                  <w:vAlign w:val="center"/>
                </w:tcPr>
                <w:p w14:paraId="4FB53325" w14:textId="77777777" w:rsidR="00816D82" w:rsidRPr="00BB7AB0" w:rsidRDefault="00816D82"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88</w:t>
                  </w:r>
                </w:p>
              </w:tc>
              <w:tc>
                <w:tcPr>
                  <w:tcW w:w="1039" w:type="dxa"/>
                  <w:shd w:val="clear" w:color="auto" w:fill="auto"/>
                  <w:vAlign w:val="center"/>
                </w:tcPr>
                <w:p w14:paraId="7577E024" w14:textId="77777777" w:rsidR="00816D82" w:rsidRPr="00BB7AB0" w:rsidRDefault="00816D82"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75</w:t>
                  </w:r>
                </w:p>
              </w:tc>
              <w:tc>
                <w:tcPr>
                  <w:tcW w:w="1040" w:type="dxa"/>
                  <w:shd w:val="clear" w:color="auto" w:fill="auto"/>
                  <w:vAlign w:val="center"/>
                </w:tcPr>
                <w:p w14:paraId="12DEACC8" w14:textId="77777777" w:rsidR="00816D82" w:rsidRPr="00BB7AB0" w:rsidRDefault="00816D82"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33</w:t>
                  </w:r>
                </w:p>
              </w:tc>
              <w:tc>
                <w:tcPr>
                  <w:tcW w:w="1039" w:type="dxa"/>
                  <w:shd w:val="clear" w:color="auto" w:fill="auto"/>
                  <w:vAlign w:val="center"/>
                </w:tcPr>
                <w:p w14:paraId="0397371F" w14:textId="77777777" w:rsidR="00816D82" w:rsidRDefault="00816D82"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21</w:t>
                  </w:r>
                </w:p>
              </w:tc>
              <w:tc>
                <w:tcPr>
                  <w:tcW w:w="1040" w:type="dxa"/>
                  <w:shd w:val="clear" w:color="auto" w:fill="auto"/>
                  <w:vAlign w:val="center"/>
                </w:tcPr>
                <w:p w14:paraId="5B2A5828" w14:textId="77777777" w:rsidR="00816D82" w:rsidRPr="00BB7AB0" w:rsidRDefault="00816D82"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N/A</w:t>
                  </w:r>
                </w:p>
              </w:tc>
              <w:tc>
                <w:tcPr>
                  <w:tcW w:w="1039" w:type="dxa"/>
                  <w:shd w:val="clear" w:color="auto" w:fill="auto"/>
                  <w:vAlign w:val="center"/>
                </w:tcPr>
                <w:p w14:paraId="0284E3B5" w14:textId="77777777" w:rsidR="00816D82" w:rsidRDefault="00816D82"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54</w:t>
                  </w:r>
                </w:p>
              </w:tc>
              <w:tc>
                <w:tcPr>
                  <w:tcW w:w="1040" w:type="dxa"/>
                  <w:shd w:val="clear" w:color="auto" w:fill="auto"/>
                  <w:vAlign w:val="center"/>
                </w:tcPr>
                <w:p w14:paraId="3F203CD1" w14:textId="4F7FE8A4" w:rsidR="00816D82" w:rsidRDefault="00401EFC"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61.4</w:t>
                  </w:r>
                </w:p>
              </w:tc>
            </w:tr>
            <w:tr w:rsidR="00816D82" w14:paraId="3E4658C7" w14:textId="77777777" w:rsidTr="00307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D9D9D9" w:themeFill="background1" w:themeFillShade="D9"/>
                  <w:vAlign w:val="center"/>
                </w:tcPr>
                <w:p w14:paraId="2AC570C6" w14:textId="77777777" w:rsidR="00816D82" w:rsidRPr="00BB7AB0" w:rsidRDefault="00816D82" w:rsidP="00810BD9">
                  <w:pPr>
                    <w:jc w:val="center"/>
                    <w:rPr>
                      <w:sz w:val="18"/>
                      <w:szCs w:val="16"/>
                    </w:rPr>
                  </w:pPr>
                  <w:r w:rsidRPr="00BB7AB0">
                    <w:rPr>
                      <w:sz w:val="18"/>
                      <w:szCs w:val="16"/>
                    </w:rPr>
                    <w:t>Connected</w:t>
                  </w:r>
                </w:p>
              </w:tc>
              <w:tc>
                <w:tcPr>
                  <w:tcW w:w="1039" w:type="dxa"/>
                  <w:shd w:val="clear" w:color="auto" w:fill="auto"/>
                  <w:vAlign w:val="center"/>
                </w:tcPr>
                <w:p w14:paraId="73842AC0" w14:textId="77777777" w:rsidR="00816D82" w:rsidRPr="00BB7AB0" w:rsidRDefault="00816D82"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63</w:t>
                  </w:r>
                </w:p>
              </w:tc>
              <w:tc>
                <w:tcPr>
                  <w:tcW w:w="1039" w:type="dxa"/>
                  <w:shd w:val="clear" w:color="auto" w:fill="auto"/>
                  <w:vAlign w:val="center"/>
                </w:tcPr>
                <w:p w14:paraId="30690B40" w14:textId="77777777" w:rsidR="00816D82" w:rsidRPr="00BB7AB0" w:rsidRDefault="00816D82"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60</w:t>
                  </w:r>
                </w:p>
              </w:tc>
              <w:tc>
                <w:tcPr>
                  <w:tcW w:w="1040" w:type="dxa"/>
                  <w:shd w:val="clear" w:color="auto" w:fill="auto"/>
                  <w:vAlign w:val="center"/>
                </w:tcPr>
                <w:p w14:paraId="48E167B2" w14:textId="77777777" w:rsidR="00816D82" w:rsidRPr="00BB7AB0" w:rsidRDefault="00816D82"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52</w:t>
                  </w:r>
                </w:p>
              </w:tc>
              <w:tc>
                <w:tcPr>
                  <w:tcW w:w="1039" w:type="dxa"/>
                  <w:shd w:val="clear" w:color="auto" w:fill="auto"/>
                  <w:vAlign w:val="center"/>
                </w:tcPr>
                <w:p w14:paraId="0A540284" w14:textId="77777777" w:rsidR="00816D82" w:rsidRDefault="00816D82"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5</w:t>
                  </w:r>
                </w:p>
              </w:tc>
              <w:tc>
                <w:tcPr>
                  <w:tcW w:w="1040" w:type="dxa"/>
                  <w:shd w:val="clear" w:color="auto" w:fill="auto"/>
                  <w:vAlign w:val="center"/>
                </w:tcPr>
                <w:p w14:paraId="53F1362D" w14:textId="77777777" w:rsidR="00816D82" w:rsidRPr="00BB7AB0" w:rsidRDefault="00816D82"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N/A</w:t>
                  </w:r>
                </w:p>
              </w:tc>
              <w:tc>
                <w:tcPr>
                  <w:tcW w:w="1039" w:type="dxa"/>
                  <w:shd w:val="clear" w:color="auto" w:fill="auto"/>
                  <w:vAlign w:val="center"/>
                </w:tcPr>
                <w:p w14:paraId="67B84D56" w14:textId="77777777" w:rsidR="00816D82" w:rsidRDefault="00816D82"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57</w:t>
                  </w:r>
                </w:p>
              </w:tc>
              <w:tc>
                <w:tcPr>
                  <w:tcW w:w="1040" w:type="dxa"/>
                  <w:shd w:val="clear" w:color="auto" w:fill="auto"/>
                  <w:vAlign w:val="center"/>
                </w:tcPr>
                <w:p w14:paraId="247BD926" w14:textId="779A1B42" w:rsidR="00816D82" w:rsidRDefault="00401EFC" w:rsidP="004A0F62">
                  <w:pPr>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90.5</w:t>
                  </w:r>
                </w:p>
              </w:tc>
            </w:tr>
            <w:tr w:rsidR="00816D82" w14:paraId="0DD9EF88" w14:textId="77777777" w:rsidTr="00307478">
              <w:tc>
                <w:tcPr>
                  <w:cnfStyle w:val="001000000000" w:firstRow="0" w:lastRow="0" w:firstColumn="1" w:lastColumn="0" w:oddVBand="0" w:evenVBand="0" w:oddHBand="0" w:evenHBand="0" w:firstRowFirstColumn="0" w:firstRowLastColumn="0" w:lastRowFirstColumn="0" w:lastRowLastColumn="0"/>
                  <w:tcW w:w="1848" w:type="dxa"/>
                  <w:shd w:val="clear" w:color="auto" w:fill="D9D9D9" w:themeFill="background1" w:themeFillShade="D9"/>
                  <w:vAlign w:val="center"/>
                </w:tcPr>
                <w:p w14:paraId="2BC89932" w14:textId="77777777" w:rsidR="00816D82" w:rsidRPr="00BB7AB0" w:rsidRDefault="00816D82" w:rsidP="00810BD9">
                  <w:pPr>
                    <w:jc w:val="center"/>
                    <w:rPr>
                      <w:sz w:val="18"/>
                      <w:szCs w:val="16"/>
                    </w:rPr>
                  </w:pPr>
                  <w:r w:rsidRPr="00BB7AB0">
                    <w:rPr>
                      <w:sz w:val="18"/>
                      <w:szCs w:val="16"/>
                    </w:rPr>
                    <w:t>Total</w:t>
                  </w:r>
                </w:p>
              </w:tc>
              <w:tc>
                <w:tcPr>
                  <w:tcW w:w="1039" w:type="dxa"/>
                  <w:shd w:val="clear" w:color="auto" w:fill="auto"/>
                  <w:vAlign w:val="center"/>
                </w:tcPr>
                <w:p w14:paraId="49A9D0E8" w14:textId="77777777" w:rsidR="00816D82" w:rsidRPr="00BB7AB0" w:rsidRDefault="00816D82"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191</w:t>
                  </w:r>
                </w:p>
              </w:tc>
              <w:tc>
                <w:tcPr>
                  <w:tcW w:w="1039" w:type="dxa"/>
                  <w:shd w:val="clear" w:color="auto" w:fill="auto"/>
                  <w:vAlign w:val="center"/>
                </w:tcPr>
                <w:p w14:paraId="12C02189" w14:textId="77777777" w:rsidR="00816D82" w:rsidRPr="00BB7AB0" w:rsidRDefault="00816D82"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150</w:t>
                  </w:r>
                </w:p>
              </w:tc>
              <w:tc>
                <w:tcPr>
                  <w:tcW w:w="1040" w:type="dxa"/>
                  <w:shd w:val="clear" w:color="auto" w:fill="auto"/>
                  <w:vAlign w:val="center"/>
                </w:tcPr>
                <w:p w14:paraId="6FD342A8" w14:textId="77777777" w:rsidR="00816D82" w:rsidRPr="00BB7AB0" w:rsidRDefault="00816D82"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86</w:t>
                  </w:r>
                </w:p>
              </w:tc>
              <w:tc>
                <w:tcPr>
                  <w:tcW w:w="1039" w:type="dxa"/>
                  <w:shd w:val="clear" w:color="auto" w:fill="auto"/>
                  <w:vAlign w:val="center"/>
                </w:tcPr>
                <w:p w14:paraId="16B12896" w14:textId="77777777" w:rsidR="00816D82" w:rsidRDefault="00816D82"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29</w:t>
                  </w:r>
                </w:p>
              </w:tc>
              <w:tc>
                <w:tcPr>
                  <w:tcW w:w="1040" w:type="dxa"/>
                  <w:shd w:val="clear" w:color="auto" w:fill="auto"/>
                  <w:vAlign w:val="center"/>
                </w:tcPr>
                <w:p w14:paraId="256EB838" w14:textId="77777777" w:rsidR="00816D82" w:rsidRPr="00BB7AB0" w:rsidRDefault="00816D82"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11</w:t>
                  </w:r>
                </w:p>
              </w:tc>
              <w:tc>
                <w:tcPr>
                  <w:tcW w:w="1039" w:type="dxa"/>
                  <w:shd w:val="clear" w:color="auto" w:fill="auto"/>
                  <w:vAlign w:val="center"/>
                </w:tcPr>
                <w:p w14:paraId="239DF8E3" w14:textId="77777777" w:rsidR="00816D82" w:rsidRDefault="00816D82"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126</w:t>
                  </w:r>
                </w:p>
              </w:tc>
              <w:tc>
                <w:tcPr>
                  <w:tcW w:w="1040" w:type="dxa"/>
                  <w:shd w:val="clear" w:color="auto" w:fill="auto"/>
                  <w:vAlign w:val="center"/>
                </w:tcPr>
                <w:p w14:paraId="7E61ED4F" w14:textId="6E14B5CD" w:rsidR="00816D82" w:rsidRDefault="00401EFC" w:rsidP="004A0F62">
                  <w:pPr>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81.7</w:t>
                  </w:r>
                </w:p>
              </w:tc>
            </w:tr>
          </w:tbl>
          <w:p w14:paraId="3D5FFD90" w14:textId="55670D24" w:rsidR="00816D82" w:rsidRDefault="00816D82" w:rsidP="00301049">
            <w:pPr>
              <w:spacing w:before="80" w:after="80"/>
              <w:rPr>
                <w:rFonts w:cstheme="minorHAnsi"/>
                <w:sz w:val="20"/>
              </w:rPr>
            </w:pPr>
            <w:r>
              <w:rPr>
                <w:rFonts w:cstheme="minorHAnsi"/>
                <w:sz w:val="20"/>
              </w:rPr>
              <w:lastRenderedPageBreak/>
              <w:t xml:space="preserve">The aggregated results show that 84 percent of students enrolled for the full academic year are scoring at or near grade level in reading or showing at least one grade level improvement during the year based on GLE scores. While the school did not accomplish its original goal of 90 percent, the goal </w:t>
            </w:r>
            <w:r w:rsidR="006647B9">
              <w:rPr>
                <w:rFonts w:cstheme="minorHAnsi"/>
                <w:sz w:val="20"/>
              </w:rPr>
              <w:t xml:space="preserve">below </w:t>
            </w:r>
            <w:r>
              <w:rPr>
                <w:rFonts w:cstheme="minorHAnsi"/>
                <w:sz w:val="20"/>
              </w:rPr>
              <w:t xml:space="preserve">seems more realistic and ambitious with the appropriate planning and supports for staff and students. </w:t>
            </w:r>
          </w:p>
        </w:tc>
      </w:tr>
    </w:tbl>
    <w:p w14:paraId="09FBE33A" w14:textId="77777777" w:rsidR="00B81C2B" w:rsidRDefault="00B81C2B"/>
    <w:tbl>
      <w:tblPr>
        <w:tblStyle w:val="TableGrid"/>
        <w:tblW w:w="5000" w:type="pct"/>
        <w:tblLook w:val="04A0" w:firstRow="1" w:lastRow="0" w:firstColumn="1" w:lastColumn="0" w:noHBand="0" w:noVBand="1"/>
      </w:tblPr>
      <w:tblGrid>
        <w:gridCol w:w="1870"/>
        <w:gridCol w:w="1870"/>
        <w:gridCol w:w="1870"/>
        <w:gridCol w:w="1870"/>
        <w:gridCol w:w="1870"/>
      </w:tblGrid>
      <w:tr w:rsidR="00033E83" w:rsidRPr="002B7227" w14:paraId="0BD571D9" w14:textId="77777777" w:rsidTr="00B81C2B">
        <w:trPr>
          <w:trHeight w:val="269"/>
        </w:trPr>
        <w:tc>
          <w:tcPr>
            <w:tcW w:w="5000" w:type="pct"/>
            <w:gridSpan w:val="5"/>
            <w:shd w:val="clear" w:color="auto" w:fill="C6D9F1" w:themeFill="text2" w:themeFillTint="33"/>
          </w:tcPr>
          <w:p w14:paraId="3C39AE03" w14:textId="2CB30381" w:rsidR="00033E83" w:rsidRPr="00033E83" w:rsidRDefault="00F37007" w:rsidP="00033E83">
            <w:pPr>
              <w:jc w:val="center"/>
              <w:rPr>
                <w:rFonts w:cstheme="minorHAnsi"/>
                <w:b/>
                <w:bCs/>
                <w:sz w:val="20"/>
              </w:rPr>
            </w:pPr>
            <w:r w:rsidRPr="00235FDF">
              <w:rPr>
                <w:rFonts w:cstheme="minorHAnsi"/>
                <w:b/>
                <w:bCs/>
                <w:szCs w:val="22"/>
              </w:rPr>
              <w:t xml:space="preserve">Step 3: </w:t>
            </w:r>
            <w:r w:rsidRPr="00235FDF">
              <w:rPr>
                <w:rFonts w:cstheme="minorHAnsi"/>
                <w:szCs w:val="22"/>
              </w:rPr>
              <w:t xml:space="preserve">Write the </w:t>
            </w:r>
            <w:r w:rsidR="00033E83" w:rsidRPr="00235FDF">
              <w:rPr>
                <w:rFonts w:cstheme="minorHAnsi"/>
                <w:szCs w:val="22"/>
              </w:rPr>
              <w:t>Final Accountability Plan Goal</w:t>
            </w:r>
          </w:p>
        </w:tc>
      </w:tr>
      <w:tr w:rsidR="00D567B1" w:rsidRPr="002B7227" w14:paraId="01D54C06" w14:textId="77777777" w:rsidTr="00B81C2B">
        <w:trPr>
          <w:trHeight w:val="530"/>
        </w:trPr>
        <w:tc>
          <w:tcPr>
            <w:tcW w:w="1000" w:type="pct"/>
            <w:shd w:val="clear" w:color="auto" w:fill="D9D9D9" w:themeFill="background1" w:themeFillShade="D9"/>
            <w:vAlign w:val="center"/>
          </w:tcPr>
          <w:p w14:paraId="12139247" w14:textId="65118DF1" w:rsidR="00D567B1" w:rsidRPr="00033E83" w:rsidRDefault="00D567B1" w:rsidP="00B81C2B">
            <w:pPr>
              <w:rPr>
                <w:rFonts w:cstheme="minorHAnsi"/>
                <w:sz w:val="20"/>
              </w:rPr>
            </w:pPr>
            <w:r>
              <w:rPr>
                <w:rFonts w:cstheme="minorHAnsi"/>
                <w:b/>
                <w:bCs/>
                <w:sz w:val="20"/>
              </w:rPr>
              <w:t>Goal:</w:t>
            </w:r>
          </w:p>
        </w:tc>
        <w:tc>
          <w:tcPr>
            <w:tcW w:w="1000" w:type="pct"/>
            <w:shd w:val="clear" w:color="auto" w:fill="D9D9D9" w:themeFill="background1" w:themeFillShade="D9"/>
            <w:vAlign w:val="center"/>
          </w:tcPr>
          <w:p w14:paraId="13DF72A8" w14:textId="2F5D575C" w:rsidR="00D567B1" w:rsidRPr="00586254" w:rsidRDefault="00D567B1" w:rsidP="00B81C2B">
            <w:pPr>
              <w:rPr>
                <w:rFonts w:cstheme="minorHAnsi"/>
                <w:b/>
                <w:bCs/>
                <w:sz w:val="20"/>
              </w:rPr>
            </w:pPr>
            <w:r w:rsidRPr="00586254">
              <w:rPr>
                <w:rFonts w:cstheme="minorHAnsi"/>
                <w:b/>
                <w:bCs/>
                <w:sz w:val="20"/>
              </w:rPr>
              <w:t>Minimally Connected</w:t>
            </w:r>
            <w:r w:rsidR="001C2568" w:rsidRPr="00586254">
              <w:rPr>
                <w:rFonts w:cstheme="minorHAnsi"/>
                <w:b/>
                <w:bCs/>
                <w:sz w:val="20"/>
              </w:rPr>
              <w:t xml:space="preserve"> (MC)</w:t>
            </w:r>
          </w:p>
        </w:tc>
        <w:tc>
          <w:tcPr>
            <w:tcW w:w="1000" w:type="pct"/>
            <w:shd w:val="clear" w:color="auto" w:fill="D9D9D9" w:themeFill="background1" w:themeFillShade="D9"/>
            <w:vAlign w:val="center"/>
          </w:tcPr>
          <w:p w14:paraId="7E3E47BB" w14:textId="0534A5BF" w:rsidR="00D567B1" w:rsidRPr="00586254" w:rsidRDefault="00D567B1" w:rsidP="00B81C2B">
            <w:pPr>
              <w:rPr>
                <w:rFonts w:cstheme="minorHAnsi"/>
                <w:b/>
                <w:bCs/>
                <w:sz w:val="20"/>
              </w:rPr>
            </w:pPr>
            <w:r w:rsidRPr="00586254">
              <w:rPr>
                <w:rFonts w:cstheme="minorHAnsi"/>
                <w:b/>
                <w:bCs/>
                <w:sz w:val="20"/>
              </w:rPr>
              <w:t>Partially Connected</w:t>
            </w:r>
            <w:r w:rsidR="001C2568" w:rsidRPr="00586254">
              <w:rPr>
                <w:rFonts w:cstheme="minorHAnsi"/>
                <w:b/>
                <w:bCs/>
                <w:sz w:val="20"/>
              </w:rPr>
              <w:t xml:space="preserve"> (PC)</w:t>
            </w:r>
          </w:p>
        </w:tc>
        <w:tc>
          <w:tcPr>
            <w:tcW w:w="1000" w:type="pct"/>
            <w:shd w:val="clear" w:color="auto" w:fill="D9D9D9" w:themeFill="background1" w:themeFillShade="D9"/>
            <w:vAlign w:val="center"/>
          </w:tcPr>
          <w:p w14:paraId="3652D3AF" w14:textId="0AC961DA" w:rsidR="00D567B1" w:rsidRPr="00586254" w:rsidRDefault="00D567B1" w:rsidP="00B81C2B">
            <w:pPr>
              <w:rPr>
                <w:rFonts w:cstheme="minorHAnsi"/>
                <w:b/>
                <w:bCs/>
                <w:sz w:val="20"/>
              </w:rPr>
            </w:pPr>
            <w:r w:rsidRPr="00586254">
              <w:rPr>
                <w:rFonts w:cstheme="minorHAnsi"/>
                <w:b/>
                <w:bCs/>
                <w:sz w:val="20"/>
              </w:rPr>
              <w:t>Connected</w:t>
            </w:r>
            <w:r w:rsidR="001C2568" w:rsidRPr="00586254">
              <w:rPr>
                <w:rFonts w:cstheme="minorHAnsi"/>
                <w:b/>
                <w:bCs/>
                <w:sz w:val="20"/>
              </w:rPr>
              <w:t xml:space="preserve"> (C)</w:t>
            </w:r>
          </w:p>
        </w:tc>
        <w:tc>
          <w:tcPr>
            <w:tcW w:w="1000" w:type="pct"/>
            <w:shd w:val="clear" w:color="auto" w:fill="D9D9D9" w:themeFill="background1" w:themeFillShade="D9"/>
            <w:vAlign w:val="center"/>
          </w:tcPr>
          <w:p w14:paraId="60FDC0AB" w14:textId="6D7F3781" w:rsidR="001429F5" w:rsidRPr="00586254" w:rsidRDefault="00D567B1" w:rsidP="00B81C2B">
            <w:pPr>
              <w:rPr>
                <w:rFonts w:cstheme="minorHAnsi"/>
                <w:sz w:val="20"/>
              </w:rPr>
            </w:pPr>
            <w:r w:rsidRPr="00586254">
              <w:rPr>
                <w:rFonts w:cstheme="minorHAnsi"/>
                <w:b/>
                <w:bCs/>
                <w:sz w:val="20"/>
              </w:rPr>
              <w:t>Data to be reported:</w:t>
            </w:r>
          </w:p>
        </w:tc>
      </w:tr>
      <w:tr w:rsidR="00D567B1" w:rsidRPr="002B7227" w14:paraId="79F0D412" w14:textId="77777777" w:rsidTr="00033E83">
        <w:trPr>
          <w:trHeight w:val="1766"/>
        </w:trPr>
        <w:tc>
          <w:tcPr>
            <w:tcW w:w="1000" w:type="pct"/>
          </w:tcPr>
          <w:p w14:paraId="04D6B7C1" w14:textId="5C348544" w:rsidR="00D567B1" w:rsidRDefault="00B81C2B" w:rsidP="00452330">
            <w:pPr>
              <w:rPr>
                <w:rFonts w:cstheme="minorHAnsi"/>
                <w:b/>
                <w:bCs/>
                <w:sz w:val="20"/>
              </w:rPr>
            </w:pPr>
            <w:r>
              <w:rPr>
                <w:rFonts w:cstheme="minorHAnsi"/>
                <w:sz w:val="20"/>
              </w:rPr>
              <w:t>By the end of each year, at least 90 percent of students who are enrolled for the full academic year (FAY) will either perform no more than 0.5 grade level behind in reading or show at least one grade level growth between the beginning of the year and the end of the year.</w:t>
            </w:r>
          </w:p>
        </w:tc>
        <w:tc>
          <w:tcPr>
            <w:tcW w:w="1000" w:type="pct"/>
          </w:tcPr>
          <w:p w14:paraId="3C541D70" w14:textId="0CE089C9" w:rsidR="00D567B1" w:rsidRDefault="001C2568" w:rsidP="00452330">
            <w:pPr>
              <w:rPr>
                <w:rFonts w:cstheme="minorHAnsi"/>
                <w:sz w:val="20"/>
              </w:rPr>
            </w:pPr>
            <w:r>
              <w:rPr>
                <w:rFonts w:cstheme="minorHAnsi"/>
                <w:sz w:val="20"/>
              </w:rPr>
              <w:t xml:space="preserve">MC students </w:t>
            </w:r>
            <w:r w:rsidR="00335380">
              <w:rPr>
                <w:rFonts w:cstheme="minorHAnsi"/>
                <w:sz w:val="20"/>
              </w:rPr>
              <w:t xml:space="preserve">will </w:t>
            </w:r>
            <w:r>
              <w:rPr>
                <w:rFonts w:cstheme="minorHAnsi"/>
                <w:sz w:val="20"/>
              </w:rPr>
              <w:t>increase at least one full grade level equivalent (GLE) between the fall and spring NWEA reading assessment</w:t>
            </w:r>
            <w:r w:rsidR="00335380">
              <w:rPr>
                <w:rFonts w:cstheme="minorHAnsi"/>
                <w:sz w:val="20"/>
              </w:rPr>
              <w:t>.</w:t>
            </w:r>
            <w:r>
              <w:rPr>
                <w:rFonts w:cstheme="minorHAnsi"/>
                <w:sz w:val="20"/>
              </w:rPr>
              <w:t xml:space="preserve"> </w:t>
            </w:r>
          </w:p>
        </w:tc>
        <w:tc>
          <w:tcPr>
            <w:tcW w:w="1000" w:type="pct"/>
          </w:tcPr>
          <w:p w14:paraId="01FA1F9E" w14:textId="131CEAF3" w:rsidR="00D567B1" w:rsidRDefault="00586254" w:rsidP="00452330">
            <w:pPr>
              <w:rPr>
                <w:rFonts w:cstheme="minorHAnsi"/>
                <w:sz w:val="20"/>
              </w:rPr>
            </w:pPr>
            <w:r>
              <w:rPr>
                <w:rFonts w:cstheme="minorHAnsi"/>
                <w:sz w:val="20"/>
              </w:rPr>
              <w:t xml:space="preserve">PC students </w:t>
            </w:r>
            <w:r w:rsidR="00335380">
              <w:rPr>
                <w:rFonts w:cstheme="minorHAnsi"/>
                <w:sz w:val="20"/>
              </w:rPr>
              <w:t>will</w:t>
            </w:r>
            <w:r>
              <w:rPr>
                <w:rFonts w:cstheme="minorHAnsi"/>
                <w:sz w:val="20"/>
              </w:rPr>
              <w:t xml:space="preserve"> score no more than half a grade level behind their appropriate grade level by the spring NWEA reading assessment</w:t>
            </w:r>
            <w:r w:rsidR="00335380">
              <w:rPr>
                <w:rFonts w:cstheme="minorHAnsi"/>
                <w:sz w:val="20"/>
              </w:rPr>
              <w:t>.</w:t>
            </w:r>
          </w:p>
        </w:tc>
        <w:tc>
          <w:tcPr>
            <w:tcW w:w="1000" w:type="pct"/>
          </w:tcPr>
          <w:p w14:paraId="739BA046" w14:textId="1D12964D" w:rsidR="00D567B1" w:rsidRDefault="004F677B" w:rsidP="00452330">
            <w:pPr>
              <w:rPr>
                <w:rFonts w:cstheme="minorHAnsi"/>
                <w:sz w:val="20"/>
              </w:rPr>
            </w:pPr>
            <w:r>
              <w:rPr>
                <w:rFonts w:cstheme="minorHAnsi"/>
                <w:sz w:val="20"/>
              </w:rPr>
              <w:t>C</w:t>
            </w:r>
            <w:r w:rsidR="00586254">
              <w:rPr>
                <w:rFonts w:cstheme="minorHAnsi"/>
                <w:sz w:val="20"/>
              </w:rPr>
              <w:t xml:space="preserve"> students </w:t>
            </w:r>
            <w:r>
              <w:rPr>
                <w:rFonts w:cstheme="minorHAnsi"/>
                <w:sz w:val="20"/>
              </w:rPr>
              <w:t>will</w:t>
            </w:r>
            <w:r w:rsidR="00586254">
              <w:rPr>
                <w:rFonts w:cstheme="minorHAnsi"/>
                <w:sz w:val="20"/>
              </w:rPr>
              <w:t xml:space="preserve"> score at or above grade level on the end of year spring NWEA reading assessment</w:t>
            </w:r>
            <w:r>
              <w:rPr>
                <w:rFonts w:cstheme="minorHAnsi"/>
                <w:sz w:val="20"/>
              </w:rPr>
              <w:t>.</w:t>
            </w:r>
          </w:p>
        </w:tc>
        <w:tc>
          <w:tcPr>
            <w:tcW w:w="1000" w:type="pct"/>
          </w:tcPr>
          <w:p w14:paraId="3F4FD3DD" w14:textId="77777777" w:rsidR="00B81C2B" w:rsidRDefault="00B81C2B" w:rsidP="00B81C2B">
            <w:pPr>
              <w:rPr>
                <w:rFonts w:cstheme="minorHAnsi"/>
                <w:sz w:val="20"/>
              </w:rPr>
            </w:pPr>
            <w:r>
              <w:rPr>
                <w:rFonts w:cstheme="minorHAnsi"/>
                <w:sz w:val="20"/>
              </w:rPr>
              <w:t xml:space="preserve">Denominator: </w:t>
            </w:r>
          </w:p>
          <w:p w14:paraId="747FA378" w14:textId="77777777" w:rsidR="00B81C2B" w:rsidRDefault="00B81C2B" w:rsidP="00B81C2B">
            <w:pPr>
              <w:rPr>
                <w:rFonts w:cstheme="minorHAnsi"/>
                <w:sz w:val="20"/>
              </w:rPr>
            </w:pPr>
            <w:r>
              <w:rPr>
                <w:rFonts w:cstheme="minorHAnsi"/>
                <w:sz w:val="20"/>
              </w:rPr>
              <w:t># of C FAY students [PLUS] # of PC FAY students [PLUS] # of MC FAY students</w:t>
            </w:r>
          </w:p>
          <w:p w14:paraId="5FAF18CB" w14:textId="77777777" w:rsidR="00B81C2B" w:rsidRDefault="00B81C2B" w:rsidP="00B81C2B">
            <w:pPr>
              <w:rPr>
                <w:rFonts w:cstheme="minorHAnsi"/>
                <w:sz w:val="20"/>
              </w:rPr>
            </w:pPr>
          </w:p>
          <w:p w14:paraId="5B571AA8" w14:textId="77777777" w:rsidR="00B81C2B" w:rsidRDefault="00B81C2B" w:rsidP="00B81C2B">
            <w:pPr>
              <w:rPr>
                <w:rFonts w:cstheme="minorHAnsi"/>
                <w:sz w:val="20"/>
              </w:rPr>
            </w:pPr>
            <w:r>
              <w:rPr>
                <w:rFonts w:cstheme="minorHAnsi"/>
                <w:sz w:val="20"/>
              </w:rPr>
              <w:t>Numerator:</w:t>
            </w:r>
          </w:p>
          <w:p w14:paraId="3460A042" w14:textId="37A682FD" w:rsidR="00D567B1" w:rsidRDefault="00B81C2B" w:rsidP="00B81C2B">
            <w:pPr>
              <w:rPr>
                <w:rFonts w:cstheme="minorHAnsi"/>
                <w:sz w:val="20"/>
              </w:rPr>
            </w:pPr>
            <w:r>
              <w:rPr>
                <w:rFonts w:cstheme="minorHAnsi"/>
                <w:sz w:val="20"/>
              </w:rPr>
              <w:t># of C students scoring at or above grade level [PLUS] # of PC students who scored within 0.5 GLE of their current grade level [PLUS] # of MC students who showed at least one GLE increase</w:t>
            </w:r>
          </w:p>
        </w:tc>
      </w:tr>
    </w:tbl>
    <w:p w14:paraId="1F7CB763" w14:textId="7FECC1B5" w:rsidR="00750EFB" w:rsidRDefault="00750EFB" w:rsidP="008C2341">
      <w:pPr>
        <w:spacing w:before="200"/>
      </w:pPr>
      <w:r>
        <w:t xml:space="preserve">Additional </w:t>
      </w:r>
      <w:r w:rsidR="00181350">
        <w:t xml:space="preserve">examples of </w:t>
      </w:r>
      <w:r>
        <w:t xml:space="preserve">responsive goals are provided below in Appendix B. </w:t>
      </w:r>
    </w:p>
    <w:p w14:paraId="59D8CD2B" w14:textId="5B4920D0" w:rsidR="007A4B8E" w:rsidRDefault="00B55400" w:rsidP="008C2341">
      <w:pPr>
        <w:spacing w:before="200"/>
      </w:pPr>
      <w:r>
        <w:t xml:space="preserve">Not all goals related to student performance </w:t>
      </w:r>
      <w:r w:rsidR="00E64380">
        <w:t xml:space="preserve">must be differentiated. For example, the state’s graduation rates are based on cohorts and students graduating within four or five years after entering grade 9. For ACSs that enroll students who are off-track for their cohort, a cohort-based graduation rate does not work well. </w:t>
      </w:r>
    </w:p>
    <w:p w14:paraId="125437CB" w14:textId="72ACF53F" w:rsidR="00E64380" w:rsidRDefault="008D553C" w:rsidP="008C2341">
      <w:pPr>
        <w:spacing w:before="200"/>
      </w:pPr>
      <w:r>
        <w:t xml:space="preserve">Here is an example of a goal the school can create that meets the requirement for goals related to </w:t>
      </w:r>
      <w:r w:rsidR="00CE38FB">
        <w:t xml:space="preserve">high school completion and is not responsive or differentiated.  </w:t>
      </w:r>
      <w:r>
        <w:t xml:space="preserve"> </w:t>
      </w:r>
    </w:p>
    <w:tbl>
      <w:tblPr>
        <w:tblStyle w:val="TableGrid"/>
        <w:tblW w:w="5000" w:type="pct"/>
        <w:tblLook w:val="04A0" w:firstRow="1" w:lastRow="0" w:firstColumn="1" w:lastColumn="0" w:noHBand="0" w:noVBand="1"/>
      </w:tblPr>
      <w:tblGrid>
        <w:gridCol w:w="4675"/>
        <w:gridCol w:w="4675"/>
      </w:tblGrid>
      <w:tr w:rsidR="00B55400" w:rsidRPr="00C90D7F" w14:paraId="23337DCA" w14:textId="77777777" w:rsidTr="00452330">
        <w:trPr>
          <w:trHeight w:val="20"/>
        </w:trPr>
        <w:tc>
          <w:tcPr>
            <w:tcW w:w="5000" w:type="pct"/>
            <w:gridSpan w:val="2"/>
            <w:shd w:val="clear" w:color="auto" w:fill="C6D9F1" w:themeFill="text2" w:themeFillTint="33"/>
          </w:tcPr>
          <w:p w14:paraId="61520916" w14:textId="74A95D47" w:rsidR="00B55400" w:rsidRPr="00B81C2B" w:rsidRDefault="00B55400" w:rsidP="00452330">
            <w:pPr>
              <w:pStyle w:val="ListParagraph"/>
              <w:spacing w:before="40" w:after="40"/>
              <w:ind w:left="0"/>
              <w:rPr>
                <w:rFonts w:cstheme="minorHAnsi"/>
                <w:b/>
                <w:szCs w:val="22"/>
                <w:u w:val="single"/>
              </w:rPr>
            </w:pPr>
            <w:r>
              <w:rPr>
                <w:rFonts w:cstheme="minorHAnsi"/>
                <w:b/>
                <w:szCs w:val="22"/>
                <w:u w:val="single"/>
              </w:rPr>
              <w:t xml:space="preserve">Example #2: </w:t>
            </w:r>
          </w:p>
        </w:tc>
      </w:tr>
      <w:tr w:rsidR="00B81C2B" w:rsidRPr="00853207" w14:paraId="48945573" w14:textId="77777777" w:rsidTr="00B81C2B">
        <w:trPr>
          <w:trHeight w:val="69"/>
        </w:trPr>
        <w:tc>
          <w:tcPr>
            <w:tcW w:w="2500" w:type="pct"/>
            <w:shd w:val="clear" w:color="auto" w:fill="D9D9D9" w:themeFill="background1" w:themeFillShade="D9"/>
            <w:vAlign w:val="center"/>
          </w:tcPr>
          <w:p w14:paraId="333112BC" w14:textId="506CA559" w:rsidR="00B81C2B" w:rsidRPr="00853207" w:rsidRDefault="00B81C2B" w:rsidP="00B81C2B">
            <w:pPr>
              <w:pStyle w:val="ListParagraph"/>
              <w:spacing w:before="40" w:after="40"/>
              <w:ind w:left="0"/>
              <w:rPr>
                <w:rFonts w:cstheme="minorHAnsi"/>
                <w:b/>
                <w:szCs w:val="22"/>
              </w:rPr>
            </w:pPr>
            <w:r>
              <w:rPr>
                <w:rFonts w:cstheme="minorHAnsi"/>
                <w:b/>
                <w:szCs w:val="22"/>
              </w:rPr>
              <w:t>Goal:</w:t>
            </w:r>
          </w:p>
        </w:tc>
        <w:tc>
          <w:tcPr>
            <w:tcW w:w="2500" w:type="pct"/>
            <w:shd w:val="clear" w:color="auto" w:fill="D9D9D9" w:themeFill="background1" w:themeFillShade="D9"/>
            <w:vAlign w:val="center"/>
          </w:tcPr>
          <w:p w14:paraId="096D7E56" w14:textId="692D12A9" w:rsidR="00B81C2B" w:rsidRPr="00853207" w:rsidRDefault="00B81C2B" w:rsidP="00B81C2B">
            <w:pPr>
              <w:pStyle w:val="ListParagraph"/>
              <w:spacing w:before="40" w:after="40"/>
              <w:ind w:left="0"/>
              <w:rPr>
                <w:rFonts w:cstheme="minorHAnsi"/>
                <w:b/>
                <w:szCs w:val="22"/>
              </w:rPr>
            </w:pPr>
            <w:r>
              <w:rPr>
                <w:rFonts w:cstheme="minorHAnsi"/>
                <w:b/>
                <w:szCs w:val="22"/>
              </w:rPr>
              <w:t>Data to be reported:</w:t>
            </w:r>
          </w:p>
        </w:tc>
      </w:tr>
      <w:tr w:rsidR="00B81C2B" w:rsidRPr="00853207" w14:paraId="28516F46" w14:textId="77777777" w:rsidTr="00172CD1">
        <w:trPr>
          <w:trHeight w:val="1520"/>
        </w:trPr>
        <w:tc>
          <w:tcPr>
            <w:tcW w:w="2500" w:type="pct"/>
          </w:tcPr>
          <w:p w14:paraId="2BC3A57C" w14:textId="03169F8A" w:rsidR="00B81C2B" w:rsidRPr="00B81C2B" w:rsidRDefault="00B81C2B" w:rsidP="00452330">
            <w:pPr>
              <w:rPr>
                <w:rFonts w:cstheme="minorHAnsi"/>
                <w:bCs/>
                <w:sz w:val="20"/>
              </w:rPr>
            </w:pPr>
            <w:r w:rsidRPr="00B81C2B">
              <w:rPr>
                <w:rFonts w:cstheme="minorHAnsi"/>
                <w:bCs/>
                <w:sz w:val="20"/>
              </w:rPr>
              <w:t xml:space="preserve">Each year, at least 90 percent of students who, as of October 1, need no more than 5 core credits and who have completed </w:t>
            </w:r>
            <w:proofErr w:type="gramStart"/>
            <w:r w:rsidRPr="00B81C2B">
              <w:rPr>
                <w:rFonts w:cstheme="minorHAnsi"/>
                <w:bCs/>
                <w:sz w:val="20"/>
              </w:rPr>
              <w:t>all of</w:t>
            </w:r>
            <w:proofErr w:type="gramEnd"/>
            <w:r w:rsidRPr="00B81C2B">
              <w:rPr>
                <w:rFonts w:cstheme="minorHAnsi"/>
                <w:bCs/>
                <w:sz w:val="20"/>
              </w:rPr>
              <w:t xml:space="preserve"> their competency determinations will complete high school with a high school diploma by the end of the year, including summer graduates before July 31.</w:t>
            </w:r>
          </w:p>
        </w:tc>
        <w:tc>
          <w:tcPr>
            <w:tcW w:w="2500" w:type="pct"/>
          </w:tcPr>
          <w:p w14:paraId="043E9A0D" w14:textId="70A88E28" w:rsidR="00B81C2B" w:rsidRDefault="00B81C2B" w:rsidP="00452330">
            <w:pPr>
              <w:rPr>
                <w:rFonts w:cstheme="minorHAnsi"/>
                <w:sz w:val="20"/>
              </w:rPr>
            </w:pPr>
            <w:r w:rsidRPr="00B81C2B">
              <w:rPr>
                <w:rFonts w:cstheme="minorHAnsi"/>
                <w:sz w:val="20"/>
              </w:rPr>
              <w:t>Num</w:t>
            </w:r>
            <w:r>
              <w:rPr>
                <w:rFonts w:cstheme="minorHAnsi"/>
                <w:sz w:val="20"/>
              </w:rPr>
              <w:t>erator: Total number of students who graduated between Oct 1 and July 31</w:t>
            </w:r>
          </w:p>
          <w:p w14:paraId="16C34692" w14:textId="77777777" w:rsidR="00B81C2B" w:rsidRDefault="00B81C2B" w:rsidP="00452330">
            <w:pPr>
              <w:rPr>
                <w:rFonts w:cstheme="minorHAnsi"/>
                <w:sz w:val="20"/>
              </w:rPr>
            </w:pPr>
          </w:p>
          <w:p w14:paraId="455350D9" w14:textId="2E4D459A" w:rsidR="00B81C2B" w:rsidRPr="00B81C2B" w:rsidRDefault="00B81C2B" w:rsidP="00452330">
            <w:pPr>
              <w:rPr>
                <w:rFonts w:cstheme="minorHAnsi"/>
                <w:sz w:val="20"/>
              </w:rPr>
            </w:pPr>
            <w:r>
              <w:rPr>
                <w:rFonts w:cstheme="minorHAnsi"/>
                <w:sz w:val="20"/>
              </w:rPr>
              <w:t xml:space="preserve">Denominator: Number of students who, as of Oct 1, needed no more than 5 core credits to graduate AND who had </w:t>
            </w:r>
            <w:r w:rsidR="00172CD1">
              <w:rPr>
                <w:rFonts w:cstheme="minorHAnsi"/>
                <w:sz w:val="20"/>
              </w:rPr>
              <w:t xml:space="preserve">completed their competency determinations. </w:t>
            </w:r>
          </w:p>
        </w:tc>
      </w:tr>
    </w:tbl>
    <w:p w14:paraId="12F6F1F7" w14:textId="6526C69A" w:rsidR="00B55400" w:rsidRDefault="006D52F7" w:rsidP="008C2341">
      <w:pPr>
        <w:spacing w:before="200"/>
      </w:pPr>
      <w:r>
        <w:t xml:space="preserve">When ACSs create responsive goals, the school </w:t>
      </w:r>
      <w:r w:rsidR="0027313A">
        <w:t>should consider the following:</w:t>
      </w:r>
    </w:p>
    <w:p w14:paraId="23FCC6F0" w14:textId="6C9F2425" w:rsidR="0080141E" w:rsidRDefault="0027313A" w:rsidP="0027313A">
      <w:pPr>
        <w:pStyle w:val="ListParagraph"/>
        <w:numPr>
          <w:ilvl w:val="0"/>
          <w:numId w:val="25"/>
        </w:numPr>
        <w:rPr>
          <w:b/>
          <w:bCs/>
        </w:rPr>
      </w:pPr>
      <w:r>
        <w:rPr>
          <w:b/>
          <w:bCs/>
        </w:rPr>
        <w:t xml:space="preserve">Accompany any goals related to assessments with a goal related to </w:t>
      </w:r>
      <w:r w:rsidR="0080141E">
        <w:rPr>
          <w:b/>
          <w:bCs/>
        </w:rPr>
        <w:t xml:space="preserve">increasing </w:t>
      </w:r>
      <w:r>
        <w:rPr>
          <w:b/>
          <w:bCs/>
        </w:rPr>
        <w:t xml:space="preserve">participation rates. </w:t>
      </w:r>
    </w:p>
    <w:p w14:paraId="2578DB3E" w14:textId="27DCE2D7" w:rsidR="007A4B8E" w:rsidRPr="0023104D" w:rsidRDefault="007A4B8E" w:rsidP="0080141E">
      <w:pPr>
        <w:pStyle w:val="ListParagraph"/>
        <w:numPr>
          <w:ilvl w:val="1"/>
          <w:numId w:val="25"/>
        </w:numPr>
        <w:rPr>
          <w:b/>
          <w:bCs/>
        </w:rPr>
      </w:pPr>
      <w:r>
        <w:lastRenderedPageBreak/>
        <w:t xml:space="preserve">Due to small cohort sizes, or student test aversion, many ACSs do not have sufficient testing data to produce aggregated results on statewide </w:t>
      </w:r>
      <w:r w:rsidR="00572F74">
        <w:t xml:space="preserve">or non-statewide </w:t>
      </w:r>
      <w:r>
        <w:t>assessments. The statewide accountability system defines low assessment participation as less than 95 percent of the student population (for all students for student groups). Therefore, any goal the school creates related to non-statewide assessments should include a target assessment rate of at least 95 percent participation to ensure the school is aiming to capture data that accurately reflects students’ academic achievement and growth.</w:t>
      </w:r>
    </w:p>
    <w:p w14:paraId="27FBF8FC" w14:textId="6D1CB6E0" w:rsidR="0023104D" w:rsidRDefault="0023104D" w:rsidP="0023104D">
      <w:pPr>
        <w:pStyle w:val="ListParagraph"/>
        <w:numPr>
          <w:ilvl w:val="1"/>
          <w:numId w:val="25"/>
        </w:numPr>
      </w:pPr>
      <w:r>
        <w:t xml:space="preserve">When participation in academic assessments is far below 95 percent, schools may create specific goals </w:t>
      </w:r>
      <w:r w:rsidR="00844E05">
        <w:t>for</w:t>
      </w:r>
      <w:r>
        <w:t xml:space="preserve"> increasing participation rates of all students</w:t>
      </w:r>
      <w:r w:rsidR="004A1E3C">
        <w:t xml:space="preserve"> (Ex. Each year, the school will aim for a participation rate of at least 75 percent and not below 60 percent for </w:t>
      </w:r>
      <w:r w:rsidR="004C5FFE">
        <w:t>Connect</w:t>
      </w:r>
      <w:r w:rsidR="001C48C8">
        <w:t>ed</w:t>
      </w:r>
      <w:r w:rsidR="004C5FFE">
        <w:t xml:space="preserve"> students, and a participation rate of at least 60 percent and not below 50 percent for minimally connected and partially connected students)</w:t>
      </w:r>
      <w:r w:rsidR="001B6F3B">
        <w:t>.</w:t>
      </w:r>
    </w:p>
    <w:p w14:paraId="748AD3ED" w14:textId="187D0C1A" w:rsidR="0080141E" w:rsidRPr="0080141E" w:rsidRDefault="0080141E" w:rsidP="0080141E">
      <w:pPr>
        <w:pStyle w:val="ListParagraph"/>
        <w:numPr>
          <w:ilvl w:val="1"/>
          <w:numId w:val="25"/>
        </w:numPr>
      </w:pPr>
      <w:r w:rsidRPr="0080141E">
        <w:t>The Department recognizes that due to the unique population alternative schools serve, a 95 percent target assessment rate might not be an attainable goal for the school. Schools should be creating target assessment rates that are attainable and ambitious for the school. However, if the target assessment rate does not reflect most of the student population, the Department will expect the school to collect other quantitative and qualitative data to demonstrate student academic progress.</w:t>
      </w:r>
    </w:p>
    <w:p w14:paraId="430E78C1" w14:textId="77777777" w:rsidR="007A4B8E" w:rsidRDefault="007A4B8E" w:rsidP="007A4B8E">
      <w:pPr>
        <w:pStyle w:val="ListParagraph"/>
        <w:numPr>
          <w:ilvl w:val="0"/>
          <w:numId w:val="25"/>
        </w:numPr>
      </w:pPr>
      <w:r w:rsidRPr="002F51A8">
        <w:rPr>
          <w:b/>
          <w:bCs/>
        </w:rPr>
        <w:t>When applicable, use nationwide data for alternative schools to determine achievement goals.</w:t>
      </w:r>
      <w:r>
        <w:t xml:space="preserve"> (Resource: </w:t>
      </w:r>
      <w:hyperlink r:id="rId25" w:history="1">
        <w:r w:rsidRPr="00027EC4">
          <w:rPr>
            <w:rStyle w:val="Hyperlink"/>
          </w:rPr>
          <w:t>A-GAME Data Hub</w:t>
        </w:r>
      </w:hyperlink>
      <w:r>
        <w:t xml:space="preserve"> and </w:t>
      </w:r>
      <w:hyperlink r:id="rId26" w:anchor="aescdata" w:history="1">
        <w:r w:rsidRPr="0002296C">
          <w:rPr>
            <w:rStyle w:val="Hyperlink"/>
          </w:rPr>
          <w:t>A-GAME Dashboards</w:t>
        </w:r>
      </w:hyperlink>
      <w:r>
        <w:t>)</w:t>
      </w:r>
    </w:p>
    <w:p w14:paraId="5E839B69" w14:textId="7A438DD4" w:rsidR="007A4B8E" w:rsidRDefault="007A4B8E" w:rsidP="007A4B8E">
      <w:pPr>
        <w:pStyle w:val="ListParagraph"/>
        <w:numPr>
          <w:ilvl w:val="0"/>
          <w:numId w:val="25"/>
        </w:numPr>
      </w:pPr>
      <w:r w:rsidRPr="002F51A8">
        <w:rPr>
          <w:b/>
          <w:bCs/>
        </w:rPr>
        <w:t>When applicable, use research to determine benchmarks for goals.</w:t>
      </w:r>
      <w:r>
        <w:t xml:space="preserve"> For example, the A-GAME has a </w:t>
      </w:r>
      <w:hyperlink r:id="rId27" w:history="1">
        <w:r w:rsidRPr="00EE43F2">
          <w:rPr>
            <w:rStyle w:val="Hyperlink"/>
          </w:rPr>
          <w:t>Resource Packet</w:t>
        </w:r>
      </w:hyperlink>
      <w:r>
        <w:t xml:space="preserve"> that provides research explaining how students who attend alternative charter schools traditionally perform on the NWEA MAP and Star 360 assessments compared to their peers in </w:t>
      </w:r>
      <w:r w:rsidR="009360A9">
        <w:t xml:space="preserve">traditional </w:t>
      </w:r>
      <w:r>
        <w:t>public schools. The average student growth percentile or trends in performance should help schools create goals that are ambitious and realistic. When prior research is not available, the school’s own historic</w:t>
      </w:r>
      <w:r w:rsidR="00CD1D62">
        <w:t>al</w:t>
      </w:r>
      <w:r>
        <w:t xml:space="preserve"> data should be used to benchmark student outcomes and set future goals.</w:t>
      </w:r>
    </w:p>
    <w:p w14:paraId="10CF72C0" w14:textId="2B64232C" w:rsidR="007650B6" w:rsidRDefault="007A4B8E" w:rsidP="007A4B8E">
      <w:pPr>
        <w:pStyle w:val="ListParagraph"/>
        <w:numPr>
          <w:ilvl w:val="0"/>
          <w:numId w:val="25"/>
        </w:numPr>
      </w:pPr>
      <w:r w:rsidRPr="002F51A8">
        <w:rPr>
          <w:b/>
          <w:bCs/>
        </w:rPr>
        <w:t>Start with the skills/knowledge, not the assessment.</w:t>
      </w:r>
      <w:r>
        <w:t xml:space="preserve"> Determine what skills and knowledge students are expected t</w:t>
      </w:r>
      <w:r w:rsidR="002F51A8">
        <w:t>o</w:t>
      </w:r>
      <w:r>
        <w:t xml:space="preserve"> have at the end of the grade or upon graduation and then find the best way(s) to measure attainment. For example: students are expected to graduate being able to read media, manuals, and guides necessary to be career and college ready. This may translate to having a minimum reading Lexile level of 1050. Set the goal at having a reading Lexile level of 1050 and then determine the assessment that can best measure that achievement and growth towards it.</w:t>
      </w:r>
    </w:p>
    <w:p w14:paraId="3BA60682" w14:textId="77777777" w:rsidR="00452330" w:rsidRDefault="00452330" w:rsidP="00452330">
      <w:pPr>
        <w:ind w:left="360"/>
      </w:pPr>
    </w:p>
    <w:p w14:paraId="105F198E" w14:textId="77777777" w:rsidR="00452330" w:rsidRDefault="00452330">
      <w:pPr>
        <w:spacing w:before="200" w:line="276" w:lineRule="auto"/>
        <w:sectPr w:rsidR="00452330" w:rsidSect="004337E7">
          <w:footerReference w:type="default" r:id="rId28"/>
          <w:pgSz w:w="12240" w:h="15840"/>
          <w:pgMar w:top="1440" w:right="1440" w:bottom="1440" w:left="1440" w:header="720" w:footer="720" w:gutter="0"/>
          <w:cols w:space="720"/>
          <w:docGrid w:linePitch="360"/>
        </w:sectPr>
      </w:pPr>
    </w:p>
    <w:p w14:paraId="486AF067" w14:textId="71A2E41C" w:rsidR="005364BD" w:rsidRDefault="005364BD" w:rsidP="005364BD">
      <w:pPr>
        <w:pStyle w:val="Heading1"/>
      </w:pPr>
      <w:bookmarkStart w:id="8" w:name="_Toc130294545"/>
      <w:r>
        <w:lastRenderedPageBreak/>
        <w:t xml:space="preserve">Appendix A: </w:t>
      </w:r>
      <w:r w:rsidR="00F55510">
        <w:t xml:space="preserve">Category </w:t>
      </w:r>
      <w:r>
        <w:t>Data Points</w:t>
      </w:r>
      <w:bookmarkEnd w:id="8"/>
    </w:p>
    <w:tbl>
      <w:tblPr>
        <w:tblStyle w:val="TableGrid"/>
        <w:tblW w:w="0" w:type="auto"/>
        <w:tblLook w:val="04A0" w:firstRow="1" w:lastRow="0" w:firstColumn="1" w:lastColumn="0" w:noHBand="0" w:noVBand="1"/>
      </w:tblPr>
      <w:tblGrid>
        <w:gridCol w:w="2590"/>
        <w:gridCol w:w="2590"/>
        <w:gridCol w:w="2590"/>
        <w:gridCol w:w="2590"/>
        <w:gridCol w:w="2590"/>
      </w:tblGrid>
      <w:tr w:rsidR="000A5661" w14:paraId="1F584A8B" w14:textId="77777777" w:rsidTr="000A5661">
        <w:tc>
          <w:tcPr>
            <w:tcW w:w="12950" w:type="dxa"/>
            <w:gridSpan w:val="5"/>
            <w:shd w:val="clear" w:color="auto" w:fill="C6D9F1" w:themeFill="text2" w:themeFillTint="33"/>
            <w:vAlign w:val="center"/>
          </w:tcPr>
          <w:p w14:paraId="1B657C25" w14:textId="4EB5F62F" w:rsidR="000A5661" w:rsidRPr="003070DD" w:rsidRDefault="003070DD" w:rsidP="000A5661">
            <w:pPr>
              <w:rPr>
                <w:sz w:val="20"/>
                <w:szCs w:val="18"/>
              </w:rPr>
            </w:pPr>
            <w:r>
              <w:rPr>
                <w:b/>
                <w:bCs/>
                <w:sz w:val="20"/>
                <w:szCs w:val="18"/>
              </w:rPr>
              <w:t>Category 1: Student Engagement Behaviors</w:t>
            </w:r>
          </w:p>
        </w:tc>
      </w:tr>
      <w:tr w:rsidR="000A5661" w14:paraId="2F46F277" w14:textId="77777777" w:rsidTr="001810F3">
        <w:tc>
          <w:tcPr>
            <w:tcW w:w="2590" w:type="dxa"/>
            <w:shd w:val="clear" w:color="auto" w:fill="D9D9D9" w:themeFill="background1" w:themeFillShade="D9"/>
            <w:vAlign w:val="center"/>
          </w:tcPr>
          <w:p w14:paraId="19308BB1" w14:textId="172CE184" w:rsidR="000A5661" w:rsidRPr="001810F3" w:rsidRDefault="003070DD" w:rsidP="001810F3">
            <w:pPr>
              <w:jc w:val="center"/>
              <w:rPr>
                <w:b/>
                <w:bCs/>
                <w:sz w:val="20"/>
                <w:szCs w:val="18"/>
              </w:rPr>
            </w:pPr>
            <w:r w:rsidRPr="001810F3">
              <w:rPr>
                <w:b/>
                <w:bCs/>
                <w:sz w:val="20"/>
                <w:szCs w:val="18"/>
              </w:rPr>
              <w:t>Data Point</w:t>
            </w:r>
          </w:p>
        </w:tc>
        <w:tc>
          <w:tcPr>
            <w:tcW w:w="2590" w:type="dxa"/>
            <w:shd w:val="clear" w:color="auto" w:fill="D9D9D9" w:themeFill="background1" w:themeFillShade="D9"/>
            <w:vAlign w:val="center"/>
          </w:tcPr>
          <w:p w14:paraId="766BCCEE" w14:textId="5A7F5D49" w:rsidR="000A5661" w:rsidRPr="001810F3" w:rsidRDefault="003070DD" w:rsidP="001810F3">
            <w:pPr>
              <w:jc w:val="center"/>
              <w:rPr>
                <w:b/>
                <w:bCs/>
                <w:sz w:val="20"/>
                <w:szCs w:val="18"/>
              </w:rPr>
            </w:pPr>
            <w:r w:rsidRPr="001810F3">
              <w:rPr>
                <w:b/>
                <w:bCs/>
                <w:sz w:val="20"/>
                <w:szCs w:val="18"/>
              </w:rPr>
              <w:t>Minimally Connected (MC)</w:t>
            </w:r>
          </w:p>
        </w:tc>
        <w:tc>
          <w:tcPr>
            <w:tcW w:w="2590" w:type="dxa"/>
            <w:shd w:val="clear" w:color="auto" w:fill="D9D9D9" w:themeFill="background1" w:themeFillShade="D9"/>
            <w:vAlign w:val="center"/>
          </w:tcPr>
          <w:p w14:paraId="20A1B92E" w14:textId="3AD0EAD6" w:rsidR="000A5661" w:rsidRPr="001810F3" w:rsidRDefault="003070DD" w:rsidP="001810F3">
            <w:pPr>
              <w:jc w:val="center"/>
              <w:rPr>
                <w:b/>
                <w:bCs/>
                <w:sz w:val="20"/>
                <w:szCs w:val="18"/>
              </w:rPr>
            </w:pPr>
            <w:r w:rsidRPr="001810F3">
              <w:rPr>
                <w:b/>
                <w:bCs/>
                <w:sz w:val="20"/>
                <w:szCs w:val="18"/>
              </w:rPr>
              <w:t>Partially Connected (PC)</w:t>
            </w:r>
          </w:p>
        </w:tc>
        <w:tc>
          <w:tcPr>
            <w:tcW w:w="2590" w:type="dxa"/>
            <w:shd w:val="clear" w:color="auto" w:fill="D9D9D9" w:themeFill="background1" w:themeFillShade="D9"/>
            <w:vAlign w:val="center"/>
          </w:tcPr>
          <w:p w14:paraId="7749D0C8" w14:textId="51238EC2" w:rsidR="000A5661" w:rsidRPr="001810F3" w:rsidRDefault="003070DD" w:rsidP="001810F3">
            <w:pPr>
              <w:jc w:val="center"/>
              <w:rPr>
                <w:b/>
                <w:bCs/>
                <w:sz w:val="20"/>
                <w:szCs w:val="18"/>
              </w:rPr>
            </w:pPr>
            <w:r w:rsidRPr="001810F3">
              <w:rPr>
                <w:b/>
                <w:bCs/>
                <w:sz w:val="20"/>
                <w:szCs w:val="18"/>
              </w:rPr>
              <w:t>Connected (C)</w:t>
            </w:r>
          </w:p>
        </w:tc>
        <w:tc>
          <w:tcPr>
            <w:tcW w:w="2590" w:type="dxa"/>
            <w:shd w:val="clear" w:color="auto" w:fill="D9D9D9" w:themeFill="background1" w:themeFillShade="D9"/>
            <w:vAlign w:val="center"/>
          </w:tcPr>
          <w:p w14:paraId="65DB75E6" w14:textId="0ACD65EA" w:rsidR="000A5661" w:rsidRPr="001810F3" w:rsidRDefault="00EE6BEB" w:rsidP="001810F3">
            <w:pPr>
              <w:jc w:val="center"/>
              <w:rPr>
                <w:b/>
                <w:bCs/>
                <w:sz w:val="20"/>
                <w:szCs w:val="18"/>
              </w:rPr>
            </w:pPr>
            <w:r>
              <w:rPr>
                <w:b/>
                <w:bCs/>
                <w:sz w:val="20"/>
                <w:szCs w:val="18"/>
              </w:rPr>
              <w:t>Sug</w:t>
            </w:r>
            <w:r w:rsidR="00C21B0F">
              <w:rPr>
                <w:b/>
                <w:bCs/>
                <w:sz w:val="20"/>
                <w:szCs w:val="18"/>
              </w:rPr>
              <w:t>gested</w:t>
            </w:r>
            <w:r w:rsidRPr="001810F3">
              <w:rPr>
                <w:b/>
                <w:bCs/>
                <w:sz w:val="20"/>
                <w:szCs w:val="18"/>
              </w:rPr>
              <w:t xml:space="preserve"> </w:t>
            </w:r>
            <w:r w:rsidR="003070DD" w:rsidRPr="001810F3">
              <w:rPr>
                <w:b/>
                <w:bCs/>
                <w:sz w:val="20"/>
                <w:szCs w:val="18"/>
              </w:rPr>
              <w:t xml:space="preserve">Data </w:t>
            </w:r>
            <w:r w:rsidR="00C21B0F">
              <w:rPr>
                <w:b/>
                <w:bCs/>
                <w:sz w:val="20"/>
                <w:szCs w:val="18"/>
              </w:rPr>
              <w:t>Methods</w:t>
            </w:r>
          </w:p>
        </w:tc>
      </w:tr>
      <w:tr w:rsidR="000A5661" w14:paraId="65D9E637" w14:textId="77777777" w:rsidTr="001810F3">
        <w:tc>
          <w:tcPr>
            <w:tcW w:w="2590" w:type="dxa"/>
            <w:shd w:val="clear" w:color="auto" w:fill="D9D9D9" w:themeFill="background1" w:themeFillShade="D9"/>
            <w:vAlign w:val="center"/>
          </w:tcPr>
          <w:p w14:paraId="4FD08703" w14:textId="2A10E156" w:rsidR="000A5661" w:rsidRPr="001810F3" w:rsidRDefault="00495145" w:rsidP="000A5661">
            <w:pPr>
              <w:rPr>
                <w:b/>
                <w:bCs/>
                <w:sz w:val="20"/>
                <w:szCs w:val="18"/>
              </w:rPr>
            </w:pPr>
            <w:r w:rsidRPr="001810F3">
              <w:rPr>
                <w:b/>
                <w:bCs/>
                <w:sz w:val="20"/>
                <w:szCs w:val="18"/>
              </w:rPr>
              <w:t>Attendance</w:t>
            </w:r>
          </w:p>
        </w:tc>
        <w:tc>
          <w:tcPr>
            <w:tcW w:w="2590" w:type="dxa"/>
            <w:vAlign w:val="center"/>
          </w:tcPr>
          <w:p w14:paraId="63F964D3" w14:textId="7C21FD0E" w:rsidR="0002072B" w:rsidRDefault="003E1E09" w:rsidP="0002072B">
            <w:pPr>
              <w:pStyle w:val="ListParagraph"/>
              <w:numPr>
                <w:ilvl w:val="0"/>
                <w:numId w:val="36"/>
              </w:numPr>
              <w:rPr>
                <w:sz w:val="20"/>
                <w:szCs w:val="18"/>
              </w:rPr>
            </w:pPr>
            <w:r>
              <w:rPr>
                <w:sz w:val="20"/>
                <w:szCs w:val="18"/>
              </w:rPr>
              <w:t xml:space="preserve">Attended </w:t>
            </w:r>
            <w:r w:rsidR="004C6D52">
              <w:rPr>
                <w:sz w:val="20"/>
                <w:szCs w:val="18"/>
              </w:rPr>
              <w:t>school during the p</w:t>
            </w:r>
            <w:r w:rsidR="00A350D3" w:rsidRPr="0002072B">
              <w:rPr>
                <w:sz w:val="20"/>
                <w:szCs w:val="18"/>
              </w:rPr>
              <w:t xml:space="preserve">rior </w:t>
            </w:r>
            <w:r>
              <w:rPr>
                <w:sz w:val="20"/>
                <w:szCs w:val="18"/>
              </w:rPr>
              <w:t xml:space="preserve">school </w:t>
            </w:r>
            <w:r w:rsidR="00A350D3" w:rsidRPr="0002072B">
              <w:rPr>
                <w:sz w:val="20"/>
                <w:szCs w:val="18"/>
              </w:rPr>
              <w:t xml:space="preserve">year </w:t>
            </w:r>
            <w:r w:rsidR="00944029">
              <w:rPr>
                <w:sz w:val="20"/>
                <w:szCs w:val="18"/>
              </w:rPr>
              <w:t xml:space="preserve">less than </w:t>
            </w:r>
            <w:r w:rsidR="00A350D3" w:rsidRPr="0002072B">
              <w:rPr>
                <w:sz w:val="20"/>
                <w:szCs w:val="18"/>
              </w:rPr>
              <w:t>50 percent</w:t>
            </w:r>
            <w:r w:rsidR="005A360A">
              <w:rPr>
                <w:sz w:val="20"/>
                <w:szCs w:val="18"/>
              </w:rPr>
              <w:t xml:space="preserve"> of the time</w:t>
            </w:r>
            <w:r w:rsidR="0002072B">
              <w:rPr>
                <w:sz w:val="20"/>
                <w:szCs w:val="18"/>
              </w:rPr>
              <w:t>,</w:t>
            </w:r>
            <w:r w:rsidR="00A350D3" w:rsidRPr="0002072B">
              <w:rPr>
                <w:sz w:val="20"/>
                <w:szCs w:val="18"/>
              </w:rPr>
              <w:t xml:space="preserve"> or </w:t>
            </w:r>
          </w:p>
          <w:p w14:paraId="0DD85862" w14:textId="306FE9FA" w:rsidR="000A5661" w:rsidRPr="0002072B" w:rsidRDefault="00210D7A" w:rsidP="0002072B">
            <w:pPr>
              <w:pStyle w:val="ListParagraph"/>
              <w:numPr>
                <w:ilvl w:val="0"/>
                <w:numId w:val="36"/>
              </w:numPr>
              <w:rPr>
                <w:sz w:val="20"/>
                <w:szCs w:val="18"/>
              </w:rPr>
            </w:pPr>
            <w:r>
              <w:rPr>
                <w:sz w:val="20"/>
                <w:szCs w:val="18"/>
              </w:rPr>
              <w:t>D</w:t>
            </w:r>
            <w:r w:rsidR="00A350D3" w:rsidRPr="0002072B">
              <w:rPr>
                <w:sz w:val="20"/>
                <w:szCs w:val="18"/>
              </w:rPr>
              <w:t xml:space="preserve">ropped out of school and currently attends </w:t>
            </w:r>
            <w:r w:rsidR="009E6EBE">
              <w:rPr>
                <w:sz w:val="20"/>
                <w:szCs w:val="18"/>
              </w:rPr>
              <w:t xml:space="preserve">school </w:t>
            </w:r>
            <w:r w:rsidR="00A350D3" w:rsidRPr="0002072B">
              <w:rPr>
                <w:sz w:val="20"/>
                <w:szCs w:val="18"/>
              </w:rPr>
              <w:t>less than 50 percent of the time</w:t>
            </w:r>
          </w:p>
        </w:tc>
        <w:tc>
          <w:tcPr>
            <w:tcW w:w="2590" w:type="dxa"/>
            <w:vAlign w:val="center"/>
          </w:tcPr>
          <w:p w14:paraId="6E5A5F6E" w14:textId="1511ED24" w:rsidR="000A5661" w:rsidRPr="005534F9" w:rsidRDefault="009E6EBE" w:rsidP="005534F9">
            <w:pPr>
              <w:pStyle w:val="ListParagraph"/>
              <w:numPr>
                <w:ilvl w:val="0"/>
                <w:numId w:val="36"/>
              </w:numPr>
              <w:rPr>
                <w:sz w:val="20"/>
                <w:szCs w:val="18"/>
              </w:rPr>
            </w:pPr>
            <w:r>
              <w:rPr>
                <w:sz w:val="20"/>
                <w:szCs w:val="18"/>
              </w:rPr>
              <w:t>Attended school during the p</w:t>
            </w:r>
            <w:r w:rsidR="005534F9" w:rsidRPr="005534F9">
              <w:rPr>
                <w:sz w:val="20"/>
                <w:szCs w:val="18"/>
              </w:rPr>
              <w:t xml:space="preserve">rior </w:t>
            </w:r>
            <w:r w:rsidR="003E1E09">
              <w:rPr>
                <w:sz w:val="20"/>
                <w:szCs w:val="18"/>
              </w:rPr>
              <w:t xml:space="preserve">school </w:t>
            </w:r>
            <w:r w:rsidR="005534F9" w:rsidRPr="005534F9">
              <w:rPr>
                <w:sz w:val="20"/>
                <w:szCs w:val="18"/>
              </w:rPr>
              <w:t xml:space="preserve">year </w:t>
            </w:r>
            <w:r w:rsidR="001B107D">
              <w:rPr>
                <w:sz w:val="20"/>
                <w:szCs w:val="18"/>
              </w:rPr>
              <w:t>between</w:t>
            </w:r>
            <w:r w:rsidR="001B107D" w:rsidRPr="005534F9">
              <w:rPr>
                <w:sz w:val="20"/>
                <w:szCs w:val="18"/>
              </w:rPr>
              <w:t xml:space="preserve"> </w:t>
            </w:r>
            <w:r w:rsidR="005534F9" w:rsidRPr="005534F9">
              <w:rPr>
                <w:sz w:val="20"/>
                <w:szCs w:val="18"/>
              </w:rPr>
              <w:t xml:space="preserve">50 </w:t>
            </w:r>
            <w:r w:rsidR="001B107D">
              <w:rPr>
                <w:sz w:val="20"/>
                <w:szCs w:val="18"/>
              </w:rPr>
              <w:t xml:space="preserve">to 69 </w:t>
            </w:r>
            <w:r w:rsidR="005534F9" w:rsidRPr="005534F9">
              <w:rPr>
                <w:sz w:val="20"/>
                <w:szCs w:val="18"/>
              </w:rPr>
              <w:t>percent of the time, or</w:t>
            </w:r>
          </w:p>
          <w:p w14:paraId="3FC3565B" w14:textId="4203188C" w:rsidR="005534F9" w:rsidRPr="005534F9" w:rsidRDefault="005534F9" w:rsidP="005534F9">
            <w:pPr>
              <w:pStyle w:val="ListParagraph"/>
              <w:numPr>
                <w:ilvl w:val="0"/>
                <w:numId w:val="36"/>
              </w:numPr>
              <w:rPr>
                <w:sz w:val="20"/>
                <w:szCs w:val="18"/>
              </w:rPr>
            </w:pPr>
            <w:r w:rsidRPr="005534F9">
              <w:rPr>
                <w:sz w:val="20"/>
                <w:szCs w:val="18"/>
              </w:rPr>
              <w:t>Currently attends 50 to 69 percent of the time</w:t>
            </w:r>
          </w:p>
        </w:tc>
        <w:tc>
          <w:tcPr>
            <w:tcW w:w="2590" w:type="dxa"/>
            <w:vAlign w:val="center"/>
          </w:tcPr>
          <w:p w14:paraId="57AA5940" w14:textId="3D534399" w:rsidR="000A5661" w:rsidRDefault="005A360A" w:rsidP="005534F9">
            <w:pPr>
              <w:pStyle w:val="ListParagraph"/>
              <w:numPr>
                <w:ilvl w:val="0"/>
                <w:numId w:val="36"/>
              </w:numPr>
              <w:rPr>
                <w:sz w:val="20"/>
                <w:szCs w:val="18"/>
              </w:rPr>
            </w:pPr>
            <w:r>
              <w:rPr>
                <w:sz w:val="20"/>
                <w:szCs w:val="18"/>
              </w:rPr>
              <w:t>Attended school during the p</w:t>
            </w:r>
            <w:r w:rsidR="005534F9">
              <w:rPr>
                <w:sz w:val="20"/>
                <w:szCs w:val="18"/>
              </w:rPr>
              <w:t xml:space="preserve">rior year </w:t>
            </w:r>
            <w:r w:rsidR="00F006AA">
              <w:rPr>
                <w:sz w:val="20"/>
                <w:szCs w:val="18"/>
              </w:rPr>
              <w:t>at least</w:t>
            </w:r>
            <w:r w:rsidR="005534F9">
              <w:rPr>
                <w:sz w:val="20"/>
                <w:szCs w:val="18"/>
              </w:rPr>
              <w:t xml:space="preserve"> 70 percent of the time, and/or</w:t>
            </w:r>
          </w:p>
          <w:p w14:paraId="43D4C816" w14:textId="77E95C81" w:rsidR="005534F9" w:rsidRPr="005534F9" w:rsidRDefault="005534F9" w:rsidP="005534F9">
            <w:pPr>
              <w:pStyle w:val="ListParagraph"/>
              <w:numPr>
                <w:ilvl w:val="0"/>
                <w:numId w:val="36"/>
              </w:numPr>
              <w:rPr>
                <w:sz w:val="20"/>
                <w:szCs w:val="18"/>
              </w:rPr>
            </w:pPr>
            <w:r>
              <w:rPr>
                <w:sz w:val="20"/>
                <w:szCs w:val="18"/>
              </w:rPr>
              <w:t>Currently attends at least 70 percent of the time</w:t>
            </w:r>
          </w:p>
        </w:tc>
        <w:tc>
          <w:tcPr>
            <w:tcW w:w="2590" w:type="dxa"/>
            <w:vAlign w:val="center"/>
          </w:tcPr>
          <w:p w14:paraId="550CC477" w14:textId="6E41BDD2" w:rsidR="000A5661" w:rsidRPr="000A5661" w:rsidRDefault="005408D3" w:rsidP="000A5661">
            <w:pPr>
              <w:rPr>
                <w:sz w:val="20"/>
                <w:szCs w:val="18"/>
              </w:rPr>
            </w:pPr>
            <w:r>
              <w:rPr>
                <w:sz w:val="20"/>
                <w:szCs w:val="18"/>
              </w:rPr>
              <w:t>Student average daily attendance within the school’s Student Information System (SIS) for the first four to six weeks of enrollment, or (for continuing students) the first four to six weeks of the school year.</w:t>
            </w:r>
            <w:r w:rsidR="00833C3B">
              <w:rPr>
                <w:rStyle w:val="FootnoteReference"/>
                <w:sz w:val="20"/>
                <w:szCs w:val="18"/>
              </w:rPr>
              <w:footnoteReference w:id="3"/>
            </w:r>
            <w:r>
              <w:rPr>
                <w:sz w:val="20"/>
                <w:szCs w:val="18"/>
              </w:rPr>
              <w:t xml:space="preserve"> </w:t>
            </w:r>
          </w:p>
        </w:tc>
      </w:tr>
      <w:tr w:rsidR="000A5661" w14:paraId="2BA6ABB2" w14:textId="77777777" w:rsidTr="001810F3">
        <w:tc>
          <w:tcPr>
            <w:tcW w:w="2590" w:type="dxa"/>
            <w:shd w:val="clear" w:color="auto" w:fill="D9D9D9" w:themeFill="background1" w:themeFillShade="D9"/>
            <w:vAlign w:val="center"/>
          </w:tcPr>
          <w:p w14:paraId="7361B5C7" w14:textId="2173A151" w:rsidR="000A5661" w:rsidRPr="001810F3" w:rsidRDefault="00A350D3" w:rsidP="000A5661">
            <w:pPr>
              <w:rPr>
                <w:b/>
                <w:bCs/>
                <w:sz w:val="20"/>
                <w:szCs w:val="18"/>
              </w:rPr>
            </w:pPr>
            <w:r w:rsidRPr="001810F3">
              <w:rPr>
                <w:b/>
                <w:bCs/>
                <w:sz w:val="20"/>
                <w:szCs w:val="18"/>
              </w:rPr>
              <w:t>Engagement Behaviors</w:t>
            </w:r>
          </w:p>
        </w:tc>
        <w:tc>
          <w:tcPr>
            <w:tcW w:w="2590" w:type="dxa"/>
            <w:vAlign w:val="center"/>
          </w:tcPr>
          <w:p w14:paraId="06877F6B" w14:textId="22556C1E" w:rsidR="001810F3" w:rsidRPr="00985375" w:rsidRDefault="009D60CD" w:rsidP="00985375">
            <w:pPr>
              <w:rPr>
                <w:sz w:val="20"/>
                <w:szCs w:val="18"/>
              </w:rPr>
            </w:pPr>
            <w:r>
              <w:rPr>
                <w:sz w:val="20"/>
                <w:szCs w:val="18"/>
              </w:rPr>
              <w:t>On average</w:t>
            </w:r>
            <w:r w:rsidR="0014745F">
              <w:rPr>
                <w:sz w:val="20"/>
                <w:szCs w:val="18"/>
              </w:rPr>
              <w:t>,</w:t>
            </w:r>
            <w:r>
              <w:rPr>
                <w:sz w:val="20"/>
                <w:szCs w:val="18"/>
              </w:rPr>
              <w:t xml:space="preserve"> students have fewer than 2 touch points per week</w:t>
            </w:r>
            <w:r w:rsidR="0014745F">
              <w:rPr>
                <w:sz w:val="20"/>
                <w:szCs w:val="18"/>
              </w:rPr>
              <w:t xml:space="preserve"> (fewer than 8 touch points</w:t>
            </w:r>
            <w:r w:rsidR="00CB6CB3">
              <w:rPr>
                <w:rStyle w:val="FootnoteReference"/>
                <w:sz w:val="20"/>
                <w:szCs w:val="18"/>
              </w:rPr>
              <w:footnoteReference w:id="4"/>
            </w:r>
            <w:r w:rsidR="0014745F">
              <w:rPr>
                <w:sz w:val="20"/>
                <w:szCs w:val="18"/>
              </w:rPr>
              <w:t xml:space="preserve"> </w:t>
            </w:r>
            <w:r w:rsidR="0000505D">
              <w:rPr>
                <w:sz w:val="20"/>
                <w:szCs w:val="18"/>
              </w:rPr>
              <w:t>in a month</w:t>
            </w:r>
            <w:r w:rsidR="0014745F">
              <w:rPr>
                <w:sz w:val="20"/>
                <w:szCs w:val="18"/>
              </w:rPr>
              <w:t>)</w:t>
            </w:r>
          </w:p>
        </w:tc>
        <w:tc>
          <w:tcPr>
            <w:tcW w:w="2590" w:type="dxa"/>
            <w:vAlign w:val="center"/>
          </w:tcPr>
          <w:p w14:paraId="172FE38C" w14:textId="16B9A6FB" w:rsidR="000A5661" w:rsidRPr="000A5661" w:rsidRDefault="0014745F" w:rsidP="000A5661">
            <w:pPr>
              <w:rPr>
                <w:sz w:val="20"/>
                <w:szCs w:val="18"/>
              </w:rPr>
            </w:pPr>
            <w:r>
              <w:rPr>
                <w:sz w:val="20"/>
                <w:szCs w:val="18"/>
              </w:rPr>
              <w:t xml:space="preserve">On average, students have </w:t>
            </w:r>
            <w:r w:rsidR="0022259A">
              <w:rPr>
                <w:sz w:val="20"/>
                <w:szCs w:val="18"/>
              </w:rPr>
              <w:t xml:space="preserve">two or </w:t>
            </w:r>
            <w:r>
              <w:rPr>
                <w:sz w:val="20"/>
                <w:szCs w:val="18"/>
              </w:rPr>
              <w:t xml:space="preserve">more but less than three touch points per week (between </w:t>
            </w:r>
            <w:r w:rsidR="003E1E09">
              <w:rPr>
                <w:sz w:val="20"/>
                <w:szCs w:val="18"/>
              </w:rPr>
              <w:t xml:space="preserve">8-11 touch points </w:t>
            </w:r>
            <w:r w:rsidR="0000505D">
              <w:rPr>
                <w:sz w:val="20"/>
                <w:szCs w:val="18"/>
              </w:rPr>
              <w:t>in a month</w:t>
            </w:r>
            <w:r w:rsidR="003E1E09">
              <w:rPr>
                <w:sz w:val="20"/>
                <w:szCs w:val="18"/>
              </w:rPr>
              <w:t>)</w:t>
            </w:r>
            <w:r>
              <w:rPr>
                <w:sz w:val="20"/>
                <w:szCs w:val="18"/>
              </w:rPr>
              <w:t xml:space="preserve"> </w:t>
            </w:r>
          </w:p>
        </w:tc>
        <w:tc>
          <w:tcPr>
            <w:tcW w:w="2590" w:type="dxa"/>
            <w:vAlign w:val="center"/>
          </w:tcPr>
          <w:p w14:paraId="233923C4" w14:textId="6B47A061" w:rsidR="000A5661" w:rsidRPr="000A5661" w:rsidRDefault="005A360A" w:rsidP="000A5661">
            <w:pPr>
              <w:rPr>
                <w:sz w:val="20"/>
                <w:szCs w:val="18"/>
              </w:rPr>
            </w:pPr>
            <w:r>
              <w:rPr>
                <w:sz w:val="20"/>
                <w:szCs w:val="18"/>
              </w:rPr>
              <w:t xml:space="preserve">On average, students have three </w:t>
            </w:r>
            <w:r w:rsidR="0022259A">
              <w:rPr>
                <w:sz w:val="20"/>
                <w:szCs w:val="18"/>
              </w:rPr>
              <w:t xml:space="preserve">or more </w:t>
            </w:r>
            <w:r>
              <w:rPr>
                <w:sz w:val="20"/>
                <w:szCs w:val="18"/>
              </w:rPr>
              <w:t xml:space="preserve">touch points per week (at least 12 </w:t>
            </w:r>
            <w:r w:rsidR="0000505D">
              <w:rPr>
                <w:sz w:val="20"/>
                <w:szCs w:val="18"/>
              </w:rPr>
              <w:t>in a month</w:t>
            </w:r>
            <w:r>
              <w:rPr>
                <w:sz w:val="20"/>
                <w:szCs w:val="18"/>
              </w:rPr>
              <w:t>)</w:t>
            </w:r>
          </w:p>
        </w:tc>
        <w:tc>
          <w:tcPr>
            <w:tcW w:w="2590" w:type="dxa"/>
            <w:vAlign w:val="center"/>
          </w:tcPr>
          <w:p w14:paraId="21082B66" w14:textId="77777777" w:rsidR="00D32A25" w:rsidRDefault="00ED1A3E" w:rsidP="00D32A25">
            <w:pPr>
              <w:rPr>
                <w:sz w:val="20"/>
                <w:szCs w:val="18"/>
              </w:rPr>
            </w:pPr>
            <w:r>
              <w:rPr>
                <w:sz w:val="20"/>
                <w:szCs w:val="18"/>
              </w:rPr>
              <w:t>For new students, a</w:t>
            </w:r>
            <w:r w:rsidR="0000505D">
              <w:rPr>
                <w:sz w:val="20"/>
                <w:szCs w:val="18"/>
              </w:rPr>
              <w:t xml:space="preserve"> touch point log </w:t>
            </w:r>
            <w:r w:rsidR="009963DD">
              <w:rPr>
                <w:sz w:val="20"/>
                <w:szCs w:val="18"/>
              </w:rPr>
              <w:t>would be completed during</w:t>
            </w:r>
            <w:r w:rsidR="0000505D">
              <w:rPr>
                <w:sz w:val="20"/>
                <w:szCs w:val="18"/>
              </w:rPr>
              <w:t xml:space="preserve"> the first four to six weeks students are enrolled</w:t>
            </w:r>
            <w:r w:rsidR="009963DD">
              <w:rPr>
                <w:sz w:val="20"/>
                <w:szCs w:val="18"/>
              </w:rPr>
              <w:t xml:space="preserve">. </w:t>
            </w:r>
          </w:p>
          <w:p w14:paraId="289D196A" w14:textId="77777777" w:rsidR="00D32A25" w:rsidRDefault="00D32A25" w:rsidP="00D32A25">
            <w:pPr>
              <w:rPr>
                <w:sz w:val="20"/>
                <w:szCs w:val="18"/>
              </w:rPr>
            </w:pPr>
          </w:p>
          <w:p w14:paraId="3D0C82D8" w14:textId="229B269F" w:rsidR="00ED1A3E" w:rsidRDefault="00ED1A3E" w:rsidP="00D32A25">
            <w:pPr>
              <w:rPr>
                <w:sz w:val="20"/>
                <w:szCs w:val="18"/>
              </w:rPr>
            </w:pPr>
            <w:r>
              <w:rPr>
                <w:sz w:val="20"/>
                <w:szCs w:val="18"/>
              </w:rPr>
              <w:t xml:space="preserve">For continuing students, </w:t>
            </w:r>
            <w:r w:rsidR="009963DD">
              <w:rPr>
                <w:sz w:val="20"/>
                <w:szCs w:val="18"/>
              </w:rPr>
              <w:t xml:space="preserve">a touch point log </w:t>
            </w:r>
            <w:r w:rsidR="00D32A25">
              <w:rPr>
                <w:sz w:val="20"/>
                <w:szCs w:val="18"/>
              </w:rPr>
              <w:t>should be completed</w:t>
            </w:r>
            <w:r w:rsidR="00BE00AF">
              <w:rPr>
                <w:sz w:val="20"/>
                <w:szCs w:val="18"/>
              </w:rPr>
              <w:t xml:space="preserve"> </w:t>
            </w:r>
            <w:r w:rsidR="00D32A25">
              <w:rPr>
                <w:sz w:val="20"/>
                <w:szCs w:val="18"/>
              </w:rPr>
              <w:t xml:space="preserve">during the first four to six weeks of the school year. </w:t>
            </w:r>
          </w:p>
          <w:p w14:paraId="7C531306" w14:textId="77777777" w:rsidR="00D32A25" w:rsidRDefault="00D32A25" w:rsidP="00D32A25">
            <w:pPr>
              <w:rPr>
                <w:sz w:val="20"/>
                <w:szCs w:val="18"/>
              </w:rPr>
            </w:pPr>
          </w:p>
          <w:p w14:paraId="621DC8A1" w14:textId="24045E74" w:rsidR="00D32A25" w:rsidRPr="000A5661" w:rsidRDefault="00D32A25" w:rsidP="00D32A25">
            <w:pPr>
              <w:rPr>
                <w:sz w:val="20"/>
                <w:szCs w:val="18"/>
              </w:rPr>
            </w:pPr>
            <w:r>
              <w:rPr>
                <w:sz w:val="20"/>
                <w:szCs w:val="18"/>
              </w:rPr>
              <w:t>The log should include the date, time, length, adult (e.g., teacher, counselor), type (see list), and method (e.g., in-person, telephone, video).</w:t>
            </w:r>
          </w:p>
        </w:tc>
      </w:tr>
      <w:tr w:rsidR="000A5661" w14:paraId="31C2F5C2" w14:textId="77777777" w:rsidTr="001810F3">
        <w:tc>
          <w:tcPr>
            <w:tcW w:w="2590" w:type="dxa"/>
            <w:shd w:val="clear" w:color="auto" w:fill="D9D9D9" w:themeFill="background1" w:themeFillShade="D9"/>
            <w:vAlign w:val="center"/>
          </w:tcPr>
          <w:p w14:paraId="34159206" w14:textId="0C2BBF37" w:rsidR="000A5661" w:rsidRPr="001810F3" w:rsidRDefault="00A350D3" w:rsidP="000A5661">
            <w:pPr>
              <w:rPr>
                <w:b/>
                <w:bCs/>
                <w:sz w:val="20"/>
                <w:szCs w:val="18"/>
              </w:rPr>
            </w:pPr>
            <w:r w:rsidRPr="001810F3">
              <w:rPr>
                <w:b/>
                <w:bCs/>
                <w:sz w:val="20"/>
                <w:szCs w:val="18"/>
              </w:rPr>
              <w:lastRenderedPageBreak/>
              <w:t>Discipline</w:t>
            </w:r>
          </w:p>
        </w:tc>
        <w:tc>
          <w:tcPr>
            <w:tcW w:w="2590" w:type="dxa"/>
            <w:vAlign w:val="center"/>
          </w:tcPr>
          <w:p w14:paraId="4E8392D3" w14:textId="17418585" w:rsidR="00712555" w:rsidRDefault="00712555" w:rsidP="00712555">
            <w:pPr>
              <w:pStyle w:val="ListParagraph"/>
              <w:numPr>
                <w:ilvl w:val="0"/>
                <w:numId w:val="37"/>
              </w:numPr>
              <w:rPr>
                <w:sz w:val="20"/>
                <w:szCs w:val="18"/>
              </w:rPr>
            </w:pPr>
            <w:r w:rsidRPr="00712555">
              <w:rPr>
                <w:sz w:val="20"/>
                <w:szCs w:val="18"/>
              </w:rPr>
              <w:t xml:space="preserve">Previously expelled, </w:t>
            </w:r>
            <w:r>
              <w:rPr>
                <w:sz w:val="20"/>
                <w:szCs w:val="18"/>
              </w:rPr>
              <w:t>or</w:t>
            </w:r>
          </w:p>
          <w:p w14:paraId="65510749" w14:textId="1E1C1CE4" w:rsidR="00712555" w:rsidRDefault="005F0183" w:rsidP="00712555">
            <w:pPr>
              <w:pStyle w:val="ListParagraph"/>
              <w:numPr>
                <w:ilvl w:val="0"/>
                <w:numId w:val="37"/>
              </w:numPr>
              <w:rPr>
                <w:sz w:val="20"/>
                <w:szCs w:val="18"/>
              </w:rPr>
            </w:pPr>
            <w:r>
              <w:rPr>
                <w:sz w:val="20"/>
                <w:szCs w:val="18"/>
              </w:rPr>
              <w:t>Received more than three out-of-school suspensions (OSS) during the prior school year, or</w:t>
            </w:r>
          </w:p>
          <w:p w14:paraId="378D1B50" w14:textId="167A14E3" w:rsidR="005F0183" w:rsidRDefault="005F0183" w:rsidP="00712555">
            <w:pPr>
              <w:pStyle w:val="ListParagraph"/>
              <w:numPr>
                <w:ilvl w:val="0"/>
                <w:numId w:val="37"/>
              </w:numPr>
              <w:rPr>
                <w:sz w:val="20"/>
                <w:szCs w:val="18"/>
              </w:rPr>
            </w:pPr>
            <w:r>
              <w:rPr>
                <w:sz w:val="20"/>
                <w:szCs w:val="18"/>
              </w:rPr>
              <w:t>Received more than five in-school-</w:t>
            </w:r>
            <w:r w:rsidR="00C67931">
              <w:rPr>
                <w:sz w:val="20"/>
                <w:szCs w:val="18"/>
              </w:rPr>
              <w:t>suspensions</w:t>
            </w:r>
            <w:r>
              <w:rPr>
                <w:sz w:val="20"/>
                <w:szCs w:val="18"/>
              </w:rPr>
              <w:t xml:space="preserve"> during the prior school year, or</w:t>
            </w:r>
          </w:p>
          <w:p w14:paraId="3A8FB929" w14:textId="50C8052D" w:rsidR="00712555" w:rsidRPr="00C67931" w:rsidRDefault="00D049E7" w:rsidP="000A5661">
            <w:pPr>
              <w:pStyle w:val="ListParagraph"/>
              <w:numPr>
                <w:ilvl w:val="0"/>
                <w:numId w:val="37"/>
              </w:numPr>
              <w:rPr>
                <w:sz w:val="20"/>
                <w:szCs w:val="18"/>
              </w:rPr>
            </w:pPr>
            <w:r>
              <w:rPr>
                <w:sz w:val="20"/>
                <w:szCs w:val="18"/>
              </w:rPr>
              <w:t xml:space="preserve">Student exhibits behavioral issues during the </w:t>
            </w:r>
            <w:r w:rsidR="00975315">
              <w:rPr>
                <w:sz w:val="20"/>
                <w:szCs w:val="18"/>
              </w:rPr>
              <w:t xml:space="preserve">first </w:t>
            </w:r>
            <w:r w:rsidR="00AD21E6">
              <w:rPr>
                <w:sz w:val="20"/>
                <w:szCs w:val="18"/>
              </w:rPr>
              <w:t>four to six weeks</w:t>
            </w:r>
            <w:r>
              <w:rPr>
                <w:sz w:val="20"/>
                <w:szCs w:val="18"/>
              </w:rPr>
              <w:t xml:space="preserve"> </w:t>
            </w:r>
            <w:r w:rsidR="00975315">
              <w:rPr>
                <w:sz w:val="20"/>
                <w:szCs w:val="18"/>
              </w:rPr>
              <w:t>of enrollment</w:t>
            </w:r>
            <w:r w:rsidR="00774B70">
              <w:rPr>
                <w:sz w:val="20"/>
                <w:szCs w:val="18"/>
              </w:rPr>
              <w:t>, r</w:t>
            </w:r>
            <w:r>
              <w:rPr>
                <w:sz w:val="20"/>
                <w:szCs w:val="18"/>
              </w:rPr>
              <w:t>esult</w:t>
            </w:r>
            <w:r w:rsidR="00774B70">
              <w:rPr>
                <w:sz w:val="20"/>
                <w:szCs w:val="18"/>
              </w:rPr>
              <w:t>ing</w:t>
            </w:r>
            <w:r>
              <w:rPr>
                <w:sz w:val="20"/>
                <w:szCs w:val="18"/>
              </w:rPr>
              <w:t xml:space="preserve"> in </w:t>
            </w:r>
            <w:r w:rsidR="003F28A9">
              <w:rPr>
                <w:sz w:val="20"/>
                <w:szCs w:val="18"/>
              </w:rPr>
              <w:t>an OSS.</w:t>
            </w:r>
          </w:p>
        </w:tc>
        <w:tc>
          <w:tcPr>
            <w:tcW w:w="2590" w:type="dxa"/>
            <w:vAlign w:val="center"/>
          </w:tcPr>
          <w:p w14:paraId="6CBFC7D3" w14:textId="77777777" w:rsidR="000A5661" w:rsidRDefault="00774B70" w:rsidP="00C67931">
            <w:pPr>
              <w:pStyle w:val="ListParagraph"/>
              <w:numPr>
                <w:ilvl w:val="0"/>
                <w:numId w:val="37"/>
              </w:numPr>
              <w:rPr>
                <w:sz w:val="20"/>
                <w:szCs w:val="18"/>
              </w:rPr>
            </w:pPr>
            <w:r>
              <w:rPr>
                <w:sz w:val="20"/>
                <w:szCs w:val="18"/>
              </w:rPr>
              <w:t>Received at least one OSS during the prior school year, or</w:t>
            </w:r>
          </w:p>
          <w:p w14:paraId="3033C49F" w14:textId="5DF18E20" w:rsidR="00774B70" w:rsidRDefault="00774B70" w:rsidP="00C67931">
            <w:pPr>
              <w:pStyle w:val="ListParagraph"/>
              <w:numPr>
                <w:ilvl w:val="0"/>
                <w:numId w:val="37"/>
              </w:numPr>
              <w:rPr>
                <w:sz w:val="20"/>
                <w:szCs w:val="18"/>
              </w:rPr>
            </w:pPr>
            <w:r>
              <w:rPr>
                <w:sz w:val="20"/>
                <w:szCs w:val="18"/>
              </w:rPr>
              <w:t xml:space="preserve">Received three to five </w:t>
            </w:r>
            <w:r w:rsidR="001A7A18">
              <w:rPr>
                <w:sz w:val="20"/>
                <w:szCs w:val="18"/>
              </w:rPr>
              <w:t>in-school suspensions (</w:t>
            </w:r>
            <w:r>
              <w:rPr>
                <w:sz w:val="20"/>
                <w:szCs w:val="18"/>
              </w:rPr>
              <w:t>ISS</w:t>
            </w:r>
            <w:r w:rsidR="001A7A18">
              <w:rPr>
                <w:sz w:val="20"/>
                <w:szCs w:val="18"/>
              </w:rPr>
              <w:t>)</w:t>
            </w:r>
            <w:r>
              <w:rPr>
                <w:sz w:val="20"/>
                <w:szCs w:val="18"/>
              </w:rPr>
              <w:t xml:space="preserve"> during the prior school year, or</w:t>
            </w:r>
          </w:p>
          <w:p w14:paraId="36BF3096" w14:textId="54FEB8CF" w:rsidR="00774B70" w:rsidRPr="00C67931" w:rsidRDefault="00774B70" w:rsidP="00C67931">
            <w:pPr>
              <w:pStyle w:val="ListParagraph"/>
              <w:numPr>
                <w:ilvl w:val="0"/>
                <w:numId w:val="37"/>
              </w:numPr>
              <w:rPr>
                <w:sz w:val="20"/>
                <w:szCs w:val="18"/>
              </w:rPr>
            </w:pPr>
            <w:r>
              <w:rPr>
                <w:sz w:val="20"/>
                <w:szCs w:val="18"/>
              </w:rPr>
              <w:t xml:space="preserve">Student exhibits behavioral issues during the first </w:t>
            </w:r>
            <w:r w:rsidR="00975315">
              <w:rPr>
                <w:sz w:val="20"/>
                <w:szCs w:val="18"/>
              </w:rPr>
              <w:t xml:space="preserve">four to six weeks </w:t>
            </w:r>
            <w:r>
              <w:rPr>
                <w:sz w:val="20"/>
                <w:szCs w:val="18"/>
              </w:rPr>
              <w:t xml:space="preserve">of </w:t>
            </w:r>
            <w:r w:rsidR="003F28A9">
              <w:rPr>
                <w:sz w:val="20"/>
                <w:szCs w:val="18"/>
              </w:rPr>
              <w:t xml:space="preserve">the </w:t>
            </w:r>
            <w:r>
              <w:rPr>
                <w:sz w:val="20"/>
                <w:szCs w:val="18"/>
              </w:rPr>
              <w:t>school year</w:t>
            </w:r>
            <w:r w:rsidR="003F28A9">
              <w:rPr>
                <w:sz w:val="20"/>
                <w:szCs w:val="18"/>
              </w:rPr>
              <w:t xml:space="preserve">, resulting in </w:t>
            </w:r>
            <w:r w:rsidR="005752DD">
              <w:rPr>
                <w:sz w:val="20"/>
                <w:szCs w:val="18"/>
              </w:rPr>
              <w:t xml:space="preserve">three or more </w:t>
            </w:r>
            <w:r w:rsidR="003D03EA">
              <w:rPr>
                <w:sz w:val="20"/>
                <w:szCs w:val="18"/>
              </w:rPr>
              <w:t>removal</w:t>
            </w:r>
            <w:r w:rsidR="005752DD">
              <w:rPr>
                <w:sz w:val="20"/>
                <w:szCs w:val="18"/>
              </w:rPr>
              <w:t>s</w:t>
            </w:r>
            <w:r w:rsidR="003D03EA">
              <w:rPr>
                <w:sz w:val="20"/>
                <w:szCs w:val="18"/>
              </w:rPr>
              <w:t xml:space="preserve"> from the classroom or </w:t>
            </w:r>
            <w:r w:rsidR="003F28A9">
              <w:rPr>
                <w:sz w:val="20"/>
                <w:szCs w:val="18"/>
              </w:rPr>
              <w:t xml:space="preserve">ISS. </w:t>
            </w:r>
          </w:p>
        </w:tc>
        <w:tc>
          <w:tcPr>
            <w:tcW w:w="2590" w:type="dxa"/>
            <w:vAlign w:val="center"/>
          </w:tcPr>
          <w:p w14:paraId="3AE3B91A" w14:textId="77777777" w:rsidR="000A5661" w:rsidRDefault="00E87664" w:rsidP="00E87664">
            <w:pPr>
              <w:pStyle w:val="ListParagraph"/>
              <w:numPr>
                <w:ilvl w:val="0"/>
                <w:numId w:val="37"/>
              </w:numPr>
              <w:rPr>
                <w:sz w:val="20"/>
                <w:szCs w:val="18"/>
              </w:rPr>
            </w:pPr>
            <w:r>
              <w:rPr>
                <w:sz w:val="20"/>
                <w:szCs w:val="18"/>
              </w:rPr>
              <w:t>No record of OSS during the prior school year, or</w:t>
            </w:r>
          </w:p>
          <w:p w14:paraId="69EA7D0E" w14:textId="604F0AEE" w:rsidR="00E87664" w:rsidRDefault="00E87664" w:rsidP="00E87664">
            <w:pPr>
              <w:pStyle w:val="ListParagraph"/>
              <w:numPr>
                <w:ilvl w:val="0"/>
                <w:numId w:val="37"/>
              </w:numPr>
              <w:rPr>
                <w:sz w:val="20"/>
                <w:szCs w:val="18"/>
              </w:rPr>
            </w:pPr>
            <w:r>
              <w:rPr>
                <w:sz w:val="20"/>
                <w:szCs w:val="18"/>
              </w:rPr>
              <w:t xml:space="preserve">Received fewer than three ISS during the first </w:t>
            </w:r>
            <w:r w:rsidR="00492F3E">
              <w:rPr>
                <w:sz w:val="20"/>
                <w:szCs w:val="18"/>
              </w:rPr>
              <w:t>four to six weeks of enrollment</w:t>
            </w:r>
            <w:r w:rsidR="003D03EA">
              <w:rPr>
                <w:sz w:val="20"/>
                <w:szCs w:val="18"/>
              </w:rPr>
              <w:t xml:space="preserve"> or no record of any ISS, or</w:t>
            </w:r>
          </w:p>
          <w:p w14:paraId="5FB7CA66" w14:textId="11400094" w:rsidR="003D03EA" w:rsidRPr="00E87664" w:rsidRDefault="003D03EA" w:rsidP="00E87664">
            <w:pPr>
              <w:pStyle w:val="ListParagraph"/>
              <w:numPr>
                <w:ilvl w:val="0"/>
                <w:numId w:val="37"/>
              </w:numPr>
              <w:rPr>
                <w:sz w:val="20"/>
                <w:szCs w:val="18"/>
              </w:rPr>
            </w:pPr>
            <w:r>
              <w:rPr>
                <w:sz w:val="20"/>
                <w:szCs w:val="18"/>
              </w:rPr>
              <w:t xml:space="preserve">Student exhibits no more than two behavioral issues that result in removal from classroom of ISS. </w:t>
            </w:r>
          </w:p>
        </w:tc>
        <w:tc>
          <w:tcPr>
            <w:tcW w:w="2590" w:type="dxa"/>
            <w:vAlign w:val="center"/>
          </w:tcPr>
          <w:p w14:paraId="1B562BEE" w14:textId="6FA6E546" w:rsidR="000A5661" w:rsidRDefault="00591758" w:rsidP="000A5661">
            <w:pPr>
              <w:rPr>
                <w:sz w:val="20"/>
                <w:szCs w:val="18"/>
              </w:rPr>
            </w:pPr>
            <w:r>
              <w:rPr>
                <w:sz w:val="20"/>
                <w:szCs w:val="18"/>
              </w:rPr>
              <w:t>For new students, the school would review a student’s prior discipline records</w:t>
            </w:r>
            <w:r w:rsidR="00E45471">
              <w:rPr>
                <w:sz w:val="20"/>
                <w:szCs w:val="18"/>
              </w:rPr>
              <w:t xml:space="preserve"> and the first four to six weeks the student is enrolled</w:t>
            </w:r>
            <w:r>
              <w:rPr>
                <w:sz w:val="20"/>
                <w:szCs w:val="18"/>
              </w:rPr>
              <w:t xml:space="preserve">. </w:t>
            </w:r>
          </w:p>
          <w:p w14:paraId="57780100" w14:textId="77777777" w:rsidR="00591758" w:rsidRDefault="00591758" w:rsidP="000A5661">
            <w:pPr>
              <w:rPr>
                <w:sz w:val="20"/>
                <w:szCs w:val="18"/>
              </w:rPr>
            </w:pPr>
          </w:p>
          <w:p w14:paraId="3FF9E8FE" w14:textId="77777777" w:rsidR="00591758" w:rsidRDefault="00591758" w:rsidP="000A5661">
            <w:pPr>
              <w:rPr>
                <w:sz w:val="20"/>
                <w:szCs w:val="18"/>
              </w:rPr>
            </w:pPr>
            <w:r>
              <w:rPr>
                <w:sz w:val="20"/>
                <w:szCs w:val="18"/>
              </w:rPr>
              <w:t>For continuing students, the school would review a student’s discipline record from the previous year</w:t>
            </w:r>
            <w:r w:rsidR="00287532">
              <w:rPr>
                <w:sz w:val="20"/>
                <w:szCs w:val="18"/>
              </w:rPr>
              <w:t xml:space="preserve"> and the first four to six weeks of the current school year</w:t>
            </w:r>
            <w:r w:rsidR="00E45471">
              <w:rPr>
                <w:sz w:val="20"/>
                <w:szCs w:val="18"/>
              </w:rPr>
              <w:t xml:space="preserve">. </w:t>
            </w:r>
          </w:p>
          <w:p w14:paraId="5BFCB489" w14:textId="77777777" w:rsidR="00287532" w:rsidRDefault="00287532" w:rsidP="000A5661">
            <w:pPr>
              <w:rPr>
                <w:sz w:val="20"/>
                <w:szCs w:val="18"/>
              </w:rPr>
            </w:pPr>
          </w:p>
          <w:p w14:paraId="28DC9814" w14:textId="587EFB9D" w:rsidR="00287532" w:rsidRPr="000A5661" w:rsidRDefault="00287532" w:rsidP="000A5661">
            <w:pPr>
              <w:rPr>
                <w:sz w:val="20"/>
                <w:szCs w:val="18"/>
              </w:rPr>
            </w:pPr>
            <w:r>
              <w:rPr>
                <w:sz w:val="20"/>
                <w:szCs w:val="18"/>
              </w:rPr>
              <w:t xml:space="preserve">The discipline log should include the date, time, </w:t>
            </w:r>
            <w:r w:rsidR="000134A6">
              <w:rPr>
                <w:sz w:val="20"/>
                <w:szCs w:val="18"/>
              </w:rPr>
              <w:t xml:space="preserve">type of behavior, and resulting consequence. </w:t>
            </w:r>
          </w:p>
        </w:tc>
      </w:tr>
    </w:tbl>
    <w:p w14:paraId="3FA8552A" w14:textId="1EDCFEA1" w:rsidR="004F06BC" w:rsidRDefault="004F06BC" w:rsidP="00743797">
      <w:pPr>
        <w:spacing w:after="0"/>
      </w:pPr>
    </w:p>
    <w:p w14:paraId="1F211A7E" w14:textId="77777777" w:rsidR="004F06BC" w:rsidRDefault="004F06BC">
      <w:pPr>
        <w:spacing w:before="200" w:line="276" w:lineRule="auto"/>
      </w:pPr>
      <w:r>
        <w:br w:type="page"/>
      </w:r>
    </w:p>
    <w:tbl>
      <w:tblPr>
        <w:tblStyle w:val="TableGrid"/>
        <w:tblW w:w="0" w:type="auto"/>
        <w:tblLook w:val="04A0" w:firstRow="1" w:lastRow="0" w:firstColumn="1" w:lastColumn="0" w:noHBand="0" w:noVBand="1"/>
      </w:tblPr>
      <w:tblGrid>
        <w:gridCol w:w="2590"/>
        <w:gridCol w:w="2590"/>
        <w:gridCol w:w="2590"/>
        <w:gridCol w:w="2590"/>
        <w:gridCol w:w="2590"/>
      </w:tblGrid>
      <w:tr w:rsidR="001810F3" w14:paraId="221871A3" w14:textId="77777777" w:rsidTr="00B06A1D">
        <w:tc>
          <w:tcPr>
            <w:tcW w:w="12950" w:type="dxa"/>
            <w:gridSpan w:val="5"/>
            <w:shd w:val="clear" w:color="auto" w:fill="C6D9F1" w:themeFill="text2" w:themeFillTint="33"/>
            <w:vAlign w:val="center"/>
          </w:tcPr>
          <w:p w14:paraId="6ECBF8E6" w14:textId="17EF5003" w:rsidR="001810F3" w:rsidRPr="003070DD" w:rsidRDefault="001810F3" w:rsidP="00B06A1D">
            <w:pPr>
              <w:rPr>
                <w:sz w:val="20"/>
                <w:szCs w:val="18"/>
              </w:rPr>
            </w:pPr>
            <w:r>
              <w:rPr>
                <w:b/>
                <w:bCs/>
                <w:sz w:val="20"/>
                <w:szCs w:val="18"/>
              </w:rPr>
              <w:lastRenderedPageBreak/>
              <w:t xml:space="preserve">Category 2: </w:t>
            </w:r>
            <w:r w:rsidR="0024657B">
              <w:rPr>
                <w:b/>
                <w:bCs/>
                <w:sz w:val="20"/>
                <w:szCs w:val="18"/>
              </w:rPr>
              <w:t>Academic Assessments</w:t>
            </w:r>
          </w:p>
        </w:tc>
      </w:tr>
      <w:tr w:rsidR="001810F3" w14:paraId="3EA13715" w14:textId="77777777" w:rsidTr="00B06A1D">
        <w:tc>
          <w:tcPr>
            <w:tcW w:w="2590" w:type="dxa"/>
            <w:shd w:val="clear" w:color="auto" w:fill="D9D9D9" w:themeFill="background1" w:themeFillShade="D9"/>
            <w:vAlign w:val="center"/>
          </w:tcPr>
          <w:p w14:paraId="1ECC4B37" w14:textId="77777777" w:rsidR="001810F3" w:rsidRPr="001810F3" w:rsidRDefault="001810F3" w:rsidP="00B06A1D">
            <w:pPr>
              <w:jc w:val="center"/>
              <w:rPr>
                <w:b/>
                <w:bCs/>
                <w:sz w:val="20"/>
                <w:szCs w:val="18"/>
              </w:rPr>
            </w:pPr>
            <w:r w:rsidRPr="001810F3">
              <w:rPr>
                <w:b/>
                <w:bCs/>
                <w:sz w:val="20"/>
                <w:szCs w:val="18"/>
              </w:rPr>
              <w:t>Data Point</w:t>
            </w:r>
          </w:p>
        </w:tc>
        <w:tc>
          <w:tcPr>
            <w:tcW w:w="2590" w:type="dxa"/>
            <w:shd w:val="clear" w:color="auto" w:fill="D9D9D9" w:themeFill="background1" w:themeFillShade="D9"/>
            <w:vAlign w:val="center"/>
          </w:tcPr>
          <w:p w14:paraId="1E6E3E05" w14:textId="77777777" w:rsidR="001810F3" w:rsidRPr="001810F3" w:rsidRDefault="001810F3" w:rsidP="00B06A1D">
            <w:pPr>
              <w:jc w:val="center"/>
              <w:rPr>
                <w:b/>
                <w:bCs/>
                <w:sz w:val="20"/>
                <w:szCs w:val="18"/>
              </w:rPr>
            </w:pPr>
            <w:r w:rsidRPr="001810F3">
              <w:rPr>
                <w:b/>
                <w:bCs/>
                <w:sz w:val="20"/>
                <w:szCs w:val="18"/>
              </w:rPr>
              <w:t>Minimally Connected (MC)</w:t>
            </w:r>
          </w:p>
        </w:tc>
        <w:tc>
          <w:tcPr>
            <w:tcW w:w="2590" w:type="dxa"/>
            <w:shd w:val="clear" w:color="auto" w:fill="D9D9D9" w:themeFill="background1" w:themeFillShade="D9"/>
            <w:vAlign w:val="center"/>
          </w:tcPr>
          <w:p w14:paraId="064E12C6" w14:textId="77777777" w:rsidR="001810F3" w:rsidRPr="001810F3" w:rsidRDefault="001810F3" w:rsidP="00B06A1D">
            <w:pPr>
              <w:jc w:val="center"/>
              <w:rPr>
                <w:b/>
                <w:bCs/>
                <w:sz w:val="20"/>
                <w:szCs w:val="18"/>
              </w:rPr>
            </w:pPr>
            <w:r w:rsidRPr="001810F3">
              <w:rPr>
                <w:b/>
                <w:bCs/>
                <w:sz w:val="20"/>
                <w:szCs w:val="18"/>
              </w:rPr>
              <w:t>Partially Connected (PC)</w:t>
            </w:r>
          </w:p>
        </w:tc>
        <w:tc>
          <w:tcPr>
            <w:tcW w:w="2590" w:type="dxa"/>
            <w:shd w:val="clear" w:color="auto" w:fill="D9D9D9" w:themeFill="background1" w:themeFillShade="D9"/>
            <w:vAlign w:val="center"/>
          </w:tcPr>
          <w:p w14:paraId="7C32D7F2" w14:textId="77777777" w:rsidR="001810F3" w:rsidRPr="001810F3" w:rsidRDefault="001810F3" w:rsidP="00B06A1D">
            <w:pPr>
              <w:jc w:val="center"/>
              <w:rPr>
                <w:b/>
                <w:bCs/>
                <w:sz w:val="20"/>
                <w:szCs w:val="18"/>
              </w:rPr>
            </w:pPr>
            <w:r w:rsidRPr="001810F3">
              <w:rPr>
                <w:b/>
                <w:bCs/>
                <w:sz w:val="20"/>
                <w:szCs w:val="18"/>
              </w:rPr>
              <w:t>Connected (C)</w:t>
            </w:r>
          </w:p>
        </w:tc>
        <w:tc>
          <w:tcPr>
            <w:tcW w:w="2590" w:type="dxa"/>
            <w:shd w:val="clear" w:color="auto" w:fill="D9D9D9" w:themeFill="background1" w:themeFillShade="D9"/>
            <w:vAlign w:val="center"/>
          </w:tcPr>
          <w:p w14:paraId="45934A96" w14:textId="77777777" w:rsidR="001810F3" w:rsidRPr="001810F3" w:rsidRDefault="001810F3" w:rsidP="00B06A1D">
            <w:pPr>
              <w:jc w:val="center"/>
              <w:rPr>
                <w:b/>
                <w:bCs/>
                <w:sz w:val="20"/>
                <w:szCs w:val="18"/>
              </w:rPr>
            </w:pPr>
            <w:r w:rsidRPr="001810F3">
              <w:rPr>
                <w:b/>
                <w:bCs/>
                <w:sz w:val="20"/>
                <w:szCs w:val="18"/>
              </w:rPr>
              <w:t>Approved Data Sources</w:t>
            </w:r>
          </w:p>
        </w:tc>
      </w:tr>
      <w:tr w:rsidR="001810F3" w14:paraId="64155102" w14:textId="77777777" w:rsidTr="00B06A1D">
        <w:tc>
          <w:tcPr>
            <w:tcW w:w="2590" w:type="dxa"/>
            <w:shd w:val="clear" w:color="auto" w:fill="D9D9D9" w:themeFill="background1" w:themeFillShade="D9"/>
            <w:vAlign w:val="center"/>
          </w:tcPr>
          <w:p w14:paraId="49CAEB42" w14:textId="023DAF3C" w:rsidR="001810F3" w:rsidRPr="001810F3" w:rsidRDefault="0024657B" w:rsidP="00B06A1D">
            <w:pPr>
              <w:rPr>
                <w:b/>
                <w:bCs/>
                <w:sz w:val="20"/>
                <w:szCs w:val="18"/>
              </w:rPr>
            </w:pPr>
            <w:r>
              <w:rPr>
                <w:b/>
                <w:bCs/>
                <w:sz w:val="20"/>
                <w:szCs w:val="18"/>
              </w:rPr>
              <w:t>Reading Lexile Levels</w:t>
            </w:r>
          </w:p>
        </w:tc>
        <w:tc>
          <w:tcPr>
            <w:tcW w:w="2590" w:type="dxa"/>
            <w:vAlign w:val="center"/>
          </w:tcPr>
          <w:p w14:paraId="08B01986" w14:textId="53634685" w:rsidR="001810F3" w:rsidRDefault="00DF10A9" w:rsidP="00B06A1D">
            <w:pPr>
              <w:pStyle w:val="ListParagraph"/>
              <w:numPr>
                <w:ilvl w:val="0"/>
                <w:numId w:val="36"/>
              </w:numPr>
              <w:rPr>
                <w:sz w:val="20"/>
                <w:szCs w:val="18"/>
              </w:rPr>
            </w:pPr>
            <w:r>
              <w:rPr>
                <w:sz w:val="20"/>
                <w:szCs w:val="18"/>
              </w:rPr>
              <w:t xml:space="preserve">Reading Lexile level of </w:t>
            </w:r>
            <w:r w:rsidR="00A16E93">
              <w:rPr>
                <w:sz w:val="20"/>
                <w:szCs w:val="18"/>
              </w:rPr>
              <w:t xml:space="preserve">699 </w:t>
            </w:r>
            <w:r>
              <w:rPr>
                <w:sz w:val="20"/>
                <w:szCs w:val="18"/>
              </w:rPr>
              <w:t>or below (grade 3 or below), or</w:t>
            </w:r>
          </w:p>
          <w:p w14:paraId="66CFD549" w14:textId="0984CFCC" w:rsidR="001810F3" w:rsidRPr="0002072B" w:rsidRDefault="00DF10A9" w:rsidP="00B06A1D">
            <w:pPr>
              <w:pStyle w:val="ListParagraph"/>
              <w:numPr>
                <w:ilvl w:val="0"/>
                <w:numId w:val="36"/>
              </w:numPr>
              <w:rPr>
                <w:sz w:val="20"/>
                <w:szCs w:val="18"/>
              </w:rPr>
            </w:pPr>
            <w:r>
              <w:rPr>
                <w:sz w:val="20"/>
                <w:szCs w:val="18"/>
              </w:rPr>
              <w:t>Refuses to participate in assessment</w:t>
            </w:r>
          </w:p>
        </w:tc>
        <w:tc>
          <w:tcPr>
            <w:tcW w:w="2590" w:type="dxa"/>
            <w:vAlign w:val="center"/>
          </w:tcPr>
          <w:p w14:paraId="13464AC3" w14:textId="24AEDA4C" w:rsidR="001810F3" w:rsidRPr="005534F9" w:rsidRDefault="00DF10A9" w:rsidP="00B06A1D">
            <w:pPr>
              <w:pStyle w:val="ListParagraph"/>
              <w:numPr>
                <w:ilvl w:val="0"/>
                <w:numId w:val="36"/>
              </w:numPr>
              <w:rPr>
                <w:sz w:val="20"/>
                <w:szCs w:val="18"/>
              </w:rPr>
            </w:pPr>
            <w:r>
              <w:rPr>
                <w:sz w:val="20"/>
                <w:szCs w:val="18"/>
              </w:rPr>
              <w:t>Reading Lexile Level of 700-</w:t>
            </w:r>
            <w:r w:rsidR="00A16E93">
              <w:rPr>
                <w:sz w:val="20"/>
                <w:szCs w:val="18"/>
              </w:rPr>
              <w:t xml:space="preserve">999 </w:t>
            </w:r>
            <w:r>
              <w:rPr>
                <w:sz w:val="20"/>
                <w:szCs w:val="18"/>
              </w:rPr>
              <w:t>(reads between</w:t>
            </w:r>
            <w:r w:rsidR="0023362D">
              <w:rPr>
                <w:sz w:val="20"/>
                <w:szCs w:val="18"/>
              </w:rPr>
              <w:t xml:space="preserve"> grades 4 and 7)</w:t>
            </w:r>
            <w:r>
              <w:rPr>
                <w:sz w:val="20"/>
                <w:szCs w:val="18"/>
              </w:rPr>
              <w:t xml:space="preserve"> </w:t>
            </w:r>
          </w:p>
        </w:tc>
        <w:tc>
          <w:tcPr>
            <w:tcW w:w="2590" w:type="dxa"/>
            <w:vAlign w:val="center"/>
          </w:tcPr>
          <w:p w14:paraId="730A9E9B" w14:textId="274E4161" w:rsidR="001810F3" w:rsidRPr="005534F9" w:rsidRDefault="0023362D" w:rsidP="00B06A1D">
            <w:pPr>
              <w:pStyle w:val="ListParagraph"/>
              <w:numPr>
                <w:ilvl w:val="0"/>
                <w:numId w:val="36"/>
              </w:numPr>
              <w:rPr>
                <w:sz w:val="20"/>
                <w:szCs w:val="18"/>
              </w:rPr>
            </w:pPr>
            <w:r>
              <w:rPr>
                <w:sz w:val="20"/>
                <w:szCs w:val="18"/>
              </w:rPr>
              <w:t>Reading Lexile level 1000 or above (reads at or above grades 7 and 8)</w:t>
            </w:r>
          </w:p>
        </w:tc>
        <w:tc>
          <w:tcPr>
            <w:tcW w:w="2590" w:type="dxa"/>
            <w:vAlign w:val="center"/>
          </w:tcPr>
          <w:p w14:paraId="7973A1DB" w14:textId="5E7C182E" w:rsidR="001810F3" w:rsidRPr="000A5661" w:rsidRDefault="00BA085B" w:rsidP="00B06A1D">
            <w:pPr>
              <w:rPr>
                <w:sz w:val="20"/>
                <w:szCs w:val="18"/>
              </w:rPr>
            </w:pPr>
            <w:r>
              <w:rPr>
                <w:sz w:val="20"/>
                <w:szCs w:val="18"/>
              </w:rPr>
              <w:t xml:space="preserve">Reading Lexile levels are provided in many diagnostic, formative, and summative assessments. </w:t>
            </w:r>
            <w:r w:rsidR="004C1E30">
              <w:rPr>
                <w:sz w:val="20"/>
                <w:szCs w:val="18"/>
              </w:rPr>
              <w:t xml:space="preserve">Notify the Department </w:t>
            </w:r>
            <w:r w:rsidR="00FA1F7E">
              <w:rPr>
                <w:sz w:val="20"/>
                <w:szCs w:val="18"/>
              </w:rPr>
              <w:t>which</w:t>
            </w:r>
            <w:r w:rsidR="004C1E30">
              <w:rPr>
                <w:sz w:val="20"/>
                <w:szCs w:val="18"/>
              </w:rPr>
              <w:t xml:space="preserve"> assessment the school will use </w:t>
            </w:r>
            <w:r w:rsidR="00CF443C">
              <w:rPr>
                <w:sz w:val="20"/>
                <w:szCs w:val="18"/>
              </w:rPr>
              <w:t>to assess students’ reading Lexile level.</w:t>
            </w:r>
          </w:p>
        </w:tc>
      </w:tr>
      <w:tr w:rsidR="001810F3" w14:paraId="55E21026" w14:textId="77777777" w:rsidTr="00B06A1D">
        <w:tc>
          <w:tcPr>
            <w:tcW w:w="2590" w:type="dxa"/>
            <w:shd w:val="clear" w:color="auto" w:fill="D9D9D9" w:themeFill="background1" w:themeFillShade="D9"/>
            <w:vAlign w:val="center"/>
          </w:tcPr>
          <w:p w14:paraId="20D19CB6" w14:textId="167BA9B3" w:rsidR="001810F3" w:rsidRPr="001810F3" w:rsidRDefault="0024657B" w:rsidP="00B06A1D">
            <w:pPr>
              <w:rPr>
                <w:b/>
                <w:bCs/>
                <w:sz w:val="20"/>
                <w:szCs w:val="18"/>
              </w:rPr>
            </w:pPr>
            <w:r>
              <w:rPr>
                <w:b/>
                <w:bCs/>
                <w:sz w:val="20"/>
                <w:szCs w:val="18"/>
              </w:rPr>
              <w:t>Reading Skill</w:t>
            </w:r>
          </w:p>
        </w:tc>
        <w:tc>
          <w:tcPr>
            <w:tcW w:w="2590" w:type="dxa"/>
            <w:vAlign w:val="center"/>
          </w:tcPr>
          <w:p w14:paraId="6BCD1688" w14:textId="77777777" w:rsidR="001810F3" w:rsidRDefault="00CF443C" w:rsidP="00B06A1D">
            <w:pPr>
              <w:pStyle w:val="ListParagraph"/>
              <w:numPr>
                <w:ilvl w:val="0"/>
                <w:numId w:val="38"/>
              </w:numPr>
              <w:rPr>
                <w:sz w:val="20"/>
                <w:szCs w:val="18"/>
              </w:rPr>
            </w:pPr>
            <w:r>
              <w:rPr>
                <w:sz w:val="20"/>
                <w:szCs w:val="18"/>
              </w:rPr>
              <w:t>Four or more grade levels behind their same-aged peers in reading, or</w:t>
            </w:r>
          </w:p>
          <w:p w14:paraId="353EBEEE" w14:textId="06342604" w:rsidR="00CF443C" w:rsidRPr="000134A6" w:rsidRDefault="00CF443C" w:rsidP="00B06A1D">
            <w:pPr>
              <w:pStyle w:val="ListParagraph"/>
              <w:numPr>
                <w:ilvl w:val="0"/>
                <w:numId w:val="38"/>
              </w:numPr>
              <w:rPr>
                <w:sz w:val="20"/>
                <w:szCs w:val="18"/>
              </w:rPr>
            </w:pPr>
            <w:r>
              <w:rPr>
                <w:sz w:val="20"/>
                <w:szCs w:val="18"/>
              </w:rPr>
              <w:t>Refuses to participate in assessment</w:t>
            </w:r>
          </w:p>
        </w:tc>
        <w:tc>
          <w:tcPr>
            <w:tcW w:w="2590" w:type="dxa"/>
            <w:vAlign w:val="center"/>
          </w:tcPr>
          <w:p w14:paraId="432F84E8" w14:textId="35E0A818" w:rsidR="001810F3" w:rsidRPr="000A5661" w:rsidRDefault="00CF443C" w:rsidP="00B06A1D">
            <w:pPr>
              <w:rPr>
                <w:sz w:val="20"/>
                <w:szCs w:val="18"/>
              </w:rPr>
            </w:pPr>
            <w:r>
              <w:rPr>
                <w:sz w:val="20"/>
                <w:szCs w:val="18"/>
              </w:rPr>
              <w:t xml:space="preserve">Between </w:t>
            </w:r>
            <w:r w:rsidR="00BD043D">
              <w:rPr>
                <w:sz w:val="20"/>
                <w:szCs w:val="18"/>
              </w:rPr>
              <w:t>2</w:t>
            </w:r>
            <w:r>
              <w:rPr>
                <w:sz w:val="20"/>
                <w:szCs w:val="18"/>
              </w:rPr>
              <w:t xml:space="preserve"> </w:t>
            </w:r>
            <w:r w:rsidR="0077430C">
              <w:rPr>
                <w:sz w:val="20"/>
                <w:szCs w:val="18"/>
              </w:rPr>
              <w:t xml:space="preserve">to </w:t>
            </w:r>
            <w:r w:rsidR="00BD043D">
              <w:rPr>
                <w:sz w:val="20"/>
                <w:szCs w:val="18"/>
              </w:rPr>
              <w:t>3.9</w:t>
            </w:r>
            <w:r>
              <w:rPr>
                <w:sz w:val="20"/>
                <w:szCs w:val="18"/>
              </w:rPr>
              <w:t xml:space="preserve"> grade levels behind their same-aged peers in reading</w:t>
            </w:r>
          </w:p>
        </w:tc>
        <w:tc>
          <w:tcPr>
            <w:tcW w:w="2590" w:type="dxa"/>
            <w:vAlign w:val="center"/>
          </w:tcPr>
          <w:p w14:paraId="110A86F6" w14:textId="4A22BEBB" w:rsidR="001810F3" w:rsidRPr="000A5661" w:rsidRDefault="00CF443C" w:rsidP="00B06A1D">
            <w:pPr>
              <w:rPr>
                <w:sz w:val="20"/>
                <w:szCs w:val="18"/>
              </w:rPr>
            </w:pPr>
            <w:r>
              <w:rPr>
                <w:sz w:val="20"/>
                <w:szCs w:val="18"/>
              </w:rPr>
              <w:t xml:space="preserve">Fewer than </w:t>
            </w:r>
            <w:r w:rsidR="00081F02">
              <w:rPr>
                <w:sz w:val="20"/>
                <w:szCs w:val="18"/>
              </w:rPr>
              <w:t>two grade levels behind their same-aged peers in reading</w:t>
            </w:r>
          </w:p>
        </w:tc>
        <w:tc>
          <w:tcPr>
            <w:tcW w:w="2590" w:type="dxa"/>
            <w:vAlign w:val="center"/>
          </w:tcPr>
          <w:p w14:paraId="0874EF07" w14:textId="77777777" w:rsidR="001810F3" w:rsidRDefault="00081F02" w:rsidP="00B06A1D">
            <w:pPr>
              <w:rPr>
                <w:sz w:val="20"/>
                <w:szCs w:val="18"/>
              </w:rPr>
            </w:pPr>
            <w:r>
              <w:rPr>
                <w:sz w:val="20"/>
                <w:szCs w:val="18"/>
              </w:rPr>
              <w:t>Any standardized or normative assessment that reports grade level equivalent (GLE) or from which the GLE can be assessed using grade level norms and have been approved by the Department for use. Approved assessments include:</w:t>
            </w:r>
          </w:p>
          <w:p w14:paraId="346F1B71" w14:textId="77777777" w:rsidR="00081F02" w:rsidRDefault="00081F02" w:rsidP="00081F02">
            <w:pPr>
              <w:pStyle w:val="ListParagraph"/>
              <w:numPr>
                <w:ilvl w:val="0"/>
                <w:numId w:val="39"/>
              </w:numPr>
              <w:rPr>
                <w:sz w:val="20"/>
                <w:szCs w:val="18"/>
              </w:rPr>
            </w:pPr>
            <w:r>
              <w:rPr>
                <w:sz w:val="20"/>
                <w:szCs w:val="18"/>
              </w:rPr>
              <w:t>Star 360 reading</w:t>
            </w:r>
          </w:p>
          <w:p w14:paraId="488C6E53" w14:textId="77777777" w:rsidR="00081F02" w:rsidRDefault="00081F02" w:rsidP="00081F02">
            <w:pPr>
              <w:pStyle w:val="ListParagraph"/>
              <w:numPr>
                <w:ilvl w:val="0"/>
                <w:numId w:val="39"/>
              </w:numPr>
              <w:rPr>
                <w:sz w:val="20"/>
                <w:szCs w:val="18"/>
              </w:rPr>
            </w:pPr>
            <w:r>
              <w:rPr>
                <w:sz w:val="20"/>
                <w:szCs w:val="18"/>
              </w:rPr>
              <w:t>NWEA MAP reading</w:t>
            </w:r>
          </w:p>
          <w:p w14:paraId="7403EE83" w14:textId="188EE464" w:rsidR="00081F02" w:rsidRPr="00081F02" w:rsidRDefault="00081F02" w:rsidP="00081F02">
            <w:pPr>
              <w:pStyle w:val="ListParagraph"/>
              <w:numPr>
                <w:ilvl w:val="0"/>
                <w:numId w:val="39"/>
              </w:numPr>
              <w:rPr>
                <w:sz w:val="20"/>
                <w:szCs w:val="18"/>
              </w:rPr>
            </w:pPr>
            <w:r>
              <w:rPr>
                <w:sz w:val="20"/>
                <w:szCs w:val="18"/>
              </w:rPr>
              <w:t>Achieve 3000</w:t>
            </w:r>
          </w:p>
        </w:tc>
      </w:tr>
      <w:tr w:rsidR="001810F3" w14:paraId="48C4AC33" w14:textId="77777777" w:rsidTr="00B06A1D">
        <w:tc>
          <w:tcPr>
            <w:tcW w:w="2590" w:type="dxa"/>
            <w:shd w:val="clear" w:color="auto" w:fill="D9D9D9" w:themeFill="background1" w:themeFillShade="D9"/>
            <w:vAlign w:val="center"/>
          </w:tcPr>
          <w:p w14:paraId="5C9265AF" w14:textId="6F7A59F8" w:rsidR="001810F3" w:rsidRPr="001810F3" w:rsidRDefault="0024657B" w:rsidP="00B06A1D">
            <w:pPr>
              <w:rPr>
                <w:b/>
                <w:bCs/>
                <w:sz w:val="20"/>
                <w:szCs w:val="18"/>
              </w:rPr>
            </w:pPr>
            <w:r>
              <w:rPr>
                <w:b/>
                <w:bCs/>
                <w:sz w:val="20"/>
                <w:szCs w:val="18"/>
              </w:rPr>
              <w:t>Math Skill</w:t>
            </w:r>
          </w:p>
        </w:tc>
        <w:tc>
          <w:tcPr>
            <w:tcW w:w="2590" w:type="dxa"/>
            <w:vAlign w:val="center"/>
          </w:tcPr>
          <w:p w14:paraId="39BD8DDF" w14:textId="47BB83EB" w:rsidR="001810F3" w:rsidRDefault="00EF7488" w:rsidP="00B06A1D">
            <w:pPr>
              <w:pStyle w:val="ListParagraph"/>
              <w:numPr>
                <w:ilvl w:val="0"/>
                <w:numId w:val="37"/>
              </w:numPr>
              <w:rPr>
                <w:sz w:val="20"/>
                <w:szCs w:val="18"/>
              </w:rPr>
            </w:pPr>
            <w:r>
              <w:rPr>
                <w:sz w:val="20"/>
                <w:szCs w:val="18"/>
              </w:rPr>
              <w:t>Four or more grade levels behind their same-aged peers in mathematics, or</w:t>
            </w:r>
          </w:p>
          <w:p w14:paraId="4E041EB8" w14:textId="06505460" w:rsidR="00EF7488" w:rsidRPr="00C67931" w:rsidRDefault="00EF7488" w:rsidP="00B06A1D">
            <w:pPr>
              <w:pStyle w:val="ListParagraph"/>
              <w:numPr>
                <w:ilvl w:val="0"/>
                <w:numId w:val="37"/>
              </w:numPr>
              <w:rPr>
                <w:sz w:val="20"/>
                <w:szCs w:val="18"/>
              </w:rPr>
            </w:pPr>
            <w:r>
              <w:rPr>
                <w:sz w:val="20"/>
                <w:szCs w:val="18"/>
              </w:rPr>
              <w:t>Refuses to participate in assessment</w:t>
            </w:r>
          </w:p>
        </w:tc>
        <w:tc>
          <w:tcPr>
            <w:tcW w:w="2590" w:type="dxa"/>
            <w:vAlign w:val="center"/>
          </w:tcPr>
          <w:p w14:paraId="091BCBCA" w14:textId="1F228A37" w:rsidR="001810F3" w:rsidRPr="00EF7488" w:rsidRDefault="00EF7488" w:rsidP="00EF7488">
            <w:pPr>
              <w:rPr>
                <w:sz w:val="20"/>
                <w:szCs w:val="18"/>
              </w:rPr>
            </w:pPr>
            <w:r>
              <w:rPr>
                <w:sz w:val="20"/>
                <w:szCs w:val="18"/>
              </w:rPr>
              <w:t xml:space="preserve">Between </w:t>
            </w:r>
            <w:r w:rsidR="00BD043D">
              <w:rPr>
                <w:sz w:val="20"/>
                <w:szCs w:val="18"/>
              </w:rPr>
              <w:t>2</w:t>
            </w:r>
            <w:r>
              <w:rPr>
                <w:sz w:val="20"/>
                <w:szCs w:val="18"/>
              </w:rPr>
              <w:t xml:space="preserve"> </w:t>
            </w:r>
            <w:r w:rsidR="0077430C">
              <w:rPr>
                <w:sz w:val="20"/>
                <w:szCs w:val="18"/>
              </w:rPr>
              <w:t xml:space="preserve">to </w:t>
            </w:r>
            <w:r w:rsidR="00BD043D">
              <w:rPr>
                <w:sz w:val="20"/>
                <w:szCs w:val="18"/>
              </w:rPr>
              <w:t>3.9</w:t>
            </w:r>
            <w:r>
              <w:rPr>
                <w:sz w:val="20"/>
                <w:szCs w:val="18"/>
              </w:rPr>
              <w:t xml:space="preserve"> grade levels behind their same-aged peers in mathematics</w:t>
            </w:r>
            <w:r w:rsidR="001810F3" w:rsidRPr="00EF7488">
              <w:rPr>
                <w:sz w:val="20"/>
                <w:szCs w:val="18"/>
              </w:rPr>
              <w:t xml:space="preserve"> </w:t>
            </w:r>
          </w:p>
        </w:tc>
        <w:tc>
          <w:tcPr>
            <w:tcW w:w="2590" w:type="dxa"/>
            <w:vAlign w:val="center"/>
          </w:tcPr>
          <w:p w14:paraId="7F5D4A11" w14:textId="4B90A6E0" w:rsidR="001810F3" w:rsidRPr="00EF7488" w:rsidRDefault="00EF7488" w:rsidP="00EF7488">
            <w:pPr>
              <w:rPr>
                <w:sz w:val="20"/>
                <w:szCs w:val="18"/>
              </w:rPr>
            </w:pPr>
            <w:r w:rsidRPr="00EF7488">
              <w:rPr>
                <w:sz w:val="20"/>
                <w:szCs w:val="18"/>
              </w:rPr>
              <w:t>Less than two grade levels behind their same-aged peers in mathematics</w:t>
            </w:r>
            <w:r w:rsidR="001810F3" w:rsidRPr="00EF7488">
              <w:rPr>
                <w:sz w:val="20"/>
                <w:szCs w:val="18"/>
              </w:rPr>
              <w:t xml:space="preserve"> </w:t>
            </w:r>
          </w:p>
        </w:tc>
        <w:tc>
          <w:tcPr>
            <w:tcW w:w="2590" w:type="dxa"/>
            <w:vAlign w:val="center"/>
          </w:tcPr>
          <w:p w14:paraId="0E2A51BD" w14:textId="77777777" w:rsidR="00EF7488" w:rsidRDefault="00EF7488" w:rsidP="00EF7488">
            <w:pPr>
              <w:rPr>
                <w:sz w:val="20"/>
                <w:szCs w:val="18"/>
              </w:rPr>
            </w:pPr>
            <w:r>
              <w:rPr>
                <w:sz w:val="20"/>
                <w:szCs w:val="18"/>
              </w:rPr>
              <w:t>Any standardized or normative assessment that reports grade level equivalent (GLE) or from which the GLE can be assessed using grade level norms and have been approved by the Department for use. Approved assessments include:</w:t>
            </w:r>
          </w:p>
          <w:p w14:paraId="088E6667" w14:textId="77777777" w:rsidR="00EF7488" w:rsidRDefault="00EF7488" w:rsidP="00EF7488">
            <w:pPr>
              <w:pStyle w:val="ListParagraph"/>
              <w:numPr>
                <w:ilvl w:val="0"/>
                <w:numId w:val="39"/>
              </w:numPr>
              <w:rPr>
                <w:sz w:val="20"/>
                <w:szCs w:val="18"/>
              </w:rPr>
            </w:pPr>
            <w:r>
              <w:rPr>
                <w:sz w:val="20"/>
                <w:szCs w:val="18"/>
              </w:rPr>
              <w:t>Star 360 reading</w:t>
            </w:r>
          </w:p>
          <w:p w14:paraId="307541FF" w14:textId="77777777" w:rsidR="001810F3" w:rsidRDefault="00EF7488" w:rsidP="00EF7488">
            <w:pPr>
              <w:pStyle w:val="ListParagraph"/>
              <w:numPr>
                <w:ilvl w:val="0"/>
                <w:numId w:val="39"/>
              </w:numPr>
              <w:rPr>
                <w:sz w:val="20"/>
                <w:szCs w:val="18"/>
              </w:rPr>
            </w:pPr>
            <w:r>
              <w:rPr>
                <w:sz w:val="20"/>
                <w:szCs w:val="18"/>
              </w:rPr>
              <w:t>NWEA MAP reading</w:t>
            </w:r>
          </w:p>
          <w:p w14:paraId="598E7252" w14:textId="0EE2EE88" w:rsidR="00EF7488" w:rsidRPr="00EF7488" w:rsidRDefault="00EF7488" w:rsidP="00EF7488">
            <w:pPr>
              <w:pStyle w:val="ListParagraph"/>
              <w:numPr>
                <w:ilvl w:val="0"/>
                <w:numId w:val="39"/>
              </w:numPr>
              <w:rPr>
                <w:sz w:val="20"/>
                <w:szCs w:val="18"/>
              </w:rPr>
            </w:pPr>
            <w:proofErr w:type="spellStart"/>
            <w:r>
              <w:rPr>
                <w:sz w:val="20"/>
                <w:szCs w:val="18"/>
              </w:rPr>
              <w:t>iXL</w:t>
            </w:r>
            <w:proofErr w:type="spellEnd"/>
          </w:p>
        </w:tc>
      </w:tr>
    </w:tbl>
    <w:p w14:paraId="2333C6AB" w14:textId="3A6FD0E0" w:rsidR="00452330" w:rsidRDefault="00452330" w:rsidP="00743797">
      <w:pPr>
        <w:spacing w:after="0"/>
      </w:pPr>
    </w:p>
    <w:tbl>
      <w:tblPr>
        <w:tblStyle w:val="TableGrid"/>
        <w:tblW w:w="0" w:type="auto"/>
        <w:tblLook w:val="04A0" w:firstRow="1" w:lastRow="0" w:firstColumn="1" w:lastColumn="0" w:noHBand="0" w:noVBand="1"/>
      </w:tblPr>
      <w:tblGrid>
        <w:gridCol w:w="2590"/>
        <w:gridCol w:w="2590"/>
        <w:gridCol w:w="2590"/>
        <w:gridCol w:w="2590"/>
        <w:gridCol w:w="2590"/>
      </w:tblGrid>
      <w:tr w:rsidR="00743797" w14:paraId="79C1F676" w14:textId="77777777" w:rsidTr="00B06A1D">
        <w:tc>
          <w:tcPr>
            <w:tcW w:w="12950" w:type="dxa"/>
            <w:gridSpan w:val="5"/>
            <w:shd w:val="clear" w:color="auto" w:fill="C6D9F1" w:themeFill="text2" w:themeFillTint="33"/>
            <w:vAlign w:val="center"/>
          </w:tcPr>
          <w:p w14:paraId="7ECC2C07" w14:textId="04F7B856" w:rsidR="00743797" w:rsidRPr="003070DD" w:rsidRDefault="00743797" w:rsidP="00B06A1D">
            <w:pPr>
              <w:rPr>
                <w:sz w:val="20"/>
                <w:szCs w:val="18"/>
              </w:rPr>
            </w:pPr>
            <w:r>
              <w:rPr>
                <w:b/>
                <w:bCs/>
                <w:sz w:val="20"/>
                <w:szCs w:val="18"/>
              </w:rPr>
              <w:lastRenderedPageBreak/>
              <w:t>Category 3: On-Track to Graduate</w:t>
            </w:r>
          </w:p>
        </w:tc>
      </w:tr>
      <w:tr w:rsidR="00743797" w14:paraId="755C077C" w14:textId="77777777" w:rsidTr="00B06A1D">
        <w:tc>
          <w:tcPr>
            <w:tcW w:w="2590" w:type="dxa"/>
            <w:shd w:val="clear" w:color="auto" w:fill="D9D9D9" w:themeFill="background1" w:themeFillShade="D9"/>
            <w:vAlign w:val="center"/>
          </w:tcPr>
          <w:p w14:paraId="2118F8B1" w14:textId="77777777" w:rsidR="00743797" w:rsidRPr="001810F3" w:rsidRDefault="00743797" w:rsidP="00B06A1D">
            <w:pPr>
              <w:jc w:val="center"/>
              <w:rPr>
                <w:b/>
                <w:bCs/>
                <w:sz w:val="20"/>
                <w:szCs w:val="18"/>
              </w:rPr>
            </w:pPr>
            <w:r w:rsidRPr="001810F3">
              <w:rPr>
                <w:b/>
                <w:bCs/>
                <w:sz w:val="20"/>
                <w:szCs w:val="18"/>
              </w:rPr>
              <w:t>Data Point</w:t>
            </w:r>
          </w:p>
        </w:tc>
        <w:tc>
          <w:tcPr>
            <w:tcW w:w="2590" w:type="dxa"/>
            <w:shd w:val="clear" w:color="auto" w:fill="D9D9D9" w:themeFill="background1" w:themeFillShade="D9"/>
            <w:vAlign w:val="center"/>
          </w:tcPr>
          <w:p w14:paraId="56096076" w14:textId="77777777" w:rsidR="00743797" w:rsidRPr="001810F3" w:rsidRDefault="00743797" w:rsidP="00B06A1D">
            <w:pPr>
              <w:jc w:val="center"/>
              <w:rPr>
                <w:b/>
                <w:bCs/>
                <w:sz w:val="20"/>
                <w:szCs w:val="18"/>
              </w:rPr>
            </w:pPr>
            <w:r w:rsidRPr="001810F3">
              <w:rPr>
                <w:b/>
                <w:bCs/>
                <w:sz w:val="20"/>
                <w:szCs w:val="18"/>
              </w:rPr>
              <w:t>Minimally Connected (MC)</w:t>
            </w:r>
          </w:p>
        </w:tc>
        <w:tc>
          <w:tcPr>
            <w:tcW w:w="2590" w:type="dxa"/>
            <w:shd w:val="clear" w:color="auto" w:fill="D9D9D9" w:themeFill="background1" w:themeFillShade="D9"/>
            <w:vAlign w:val="center"/>
          </w:tcPr>
          <w:p w14:paraId="40C6779E" w14:textId="77777777" w:rsidR="00743797" w:rsidRPr="001810F3" w:rsidRDefault="00743797" w:rsidP="00B06A1D">
            <w:pPr>
              <w:jc w:val="center"/>
              <w:rPr>
                <w:b/>
                <w:bCs/>
                <w:sz w:val="20"/>
                <w:szCs w:val="18"/>
              </w:rPr>
            </w:pPr>
            <w:r w:rsidRPr="001810F3">
              <w:rPr>
                <w:b/>
                <w:bCs/>
                <w:sz w:val="20"/>
                <w:szCs w:val="18"/>
              </w:rPr>
              <w:t>Partially Connected (PC)</w:t>
            </w:r>
          </w:p>
        </w:tc>
        <w:tc>
          <w:tcPr>
            <w:tcW w:w="2590" w:type="dxa"/>
            <w:shd w:val="clear" w:color="auto" w:fill="D9D9D9" w:themeFill="background1" w:themeFillShade="D9"/>
            <w:vAlign w:val="center"/>
          </w:tcPr>
          <w:p w14:paraId="18E7BFB1" w14:textId="77777777" w:rsidR="00743797" w:rsidRPr="001810F3" w:rsidRDefault="00743797" w:rsidP="00B06A1D">
            <w:pPr>
              <w:jc w:val="center"/>
              <w:rPr>
                <w:b/>
                <w:bCs/>
                <w:sz w:val="20"/>
                <w:szCs w:val="18"/>
              </w:rPr>
            </w:pPr>
            <w:r w:rsidRPr="001810F3">
              <w:rPr>
                <w:b/>
                <w:bCs/>
                <w:sz w:val="20"/>
                <w:szCs w:val="18"/>
              </w:rPr>
              <w:t>Connected (C)</w:t>
            </w:r>
          </w:p>
        </w:tc>
        <w:tc>
          <w:tcPr>
            <w:tcW w:w="2590" w:type="dxa"/>
            <w:shd w:val="clear" w:color="auto" w:fill="D9D9D9" w:themeFill="background1" w:themeFillShade="D9"/>
            <w:vAlign w:val="center"/>
          </w:tcPr>
          <w:p w14:paraId="0DB1B43C" w14:textId="77777777" w:rsidR="00743797" w:rsidRPr="001810F3" w:rsidRDefault="00743797" w:rsidP="00B06A1D">
            <w:pPr>
              <w:jc w:val="center"/>
              <w:rPr>
                <w:b/>
                <w:bCs/>
                <w:sz w:val="20"/>
                <w:szCs w:val="18"/>
              </w:rPr>
            </w:pPr>
            <w:r w:rsidRPr="001810F3">
              <w:rPr>
                <w:b/>
                <w:bCs/>
                <w:sz w:val="20"/>
                <w:szCs w:val="18"/>
              </w:rPr>
              <w:t>Approved Data Sources</w:t>
            </w:r>
          </w:p>
        </w:tc>
      </w:tr>
      <w:tr w:rsidR="00743797" w14:paraId="62352241" w14:textId="77777777" w:rsidTr="00B06A1D">
        <w:tc>
          <w:tcPr>
            <w:tcW w:w="2590" w:type="dxa"/>
            <w:shd w:val="clear" w:color="auto" w:fill="D9D9D9" w:themeFill="background1" w:themeFillShade="D9"/>
            <w:vAlign w:val="center"/>
          </w:tcPr>
          <w:p w14:paraId="669807E5" w14:textId="5BC78076" w:rsidR="00743797" w:rsidRPr="001810F3" w:rsidRDefault="00743797" w:rsidP="00B06A1D">
            <w:pPr>
              <w:rPr>
                <w:b/>
                <w:bCs/>
                <w:sz w:val="20"/>
                <w:szCs w:val="18"/>
              </w:rPr>
            </w:pPr>
            <w:r>
              <w:rPr>
                <w:b/>
                <w:bCs/>
                <w:sz w:val="20"/>
                <w:szCs w:val="18"/>
              </w:rPr>
              <w:t>Credit Accumulation</w:t>
            </w:r>
          </w:p>
        </w:tc>
        <w:tc>
          <w:tcPr>
            <w:tcW w:w="2590" w:type="dxa"/>
            <w:vAlign w:val="center"/>
          </w:tcPr>
          <w:p w14:paraId="03767067" w14:textId="2E82C1BC" w:rsidR="00743797" w:rsidRPr="00845046" w:rsidRDefault="00845046" w:rsidP="00845046">
            <w:pPr>
              <w:rPr>
                <w:sz w:val="20"/>
                <w:szCs w:val="18"/>
              </w:rPr>
            </w:pPr>
            <w:r>
              <w:rPr>
                <w:sz w:val="20"/>
                <w:szCs w:val="18"/>
              </w:rPr>
              <w:t>At least two years</w:t>
            </w:r>
            <w:r w:rsidR="00BD043D">
              <w:rPr>
                <w:sz w:val="20"/>
                <w:szCs w:val="18"/>
              </w:rPr>
              <w:t xml:space="preserve"> or more</w:t>
            </w:r>
            <w:r>
              <w:rPr>
                <w:sz w:val="20"/>
                <w:szCs w:val="18"/>
              </w:rPr>
              <w:t xml:space="preserve"> off track in accumulated credits</w:t>
            </w:r>
          </w:p>
        </w:tc>
        <w:tc>
          <w:tcPr>
            <w:tcW w:w="2590" w:type="dxa"/>
            <w:vAlign w:val="center"/>
          </w:tcPr>
          <w:p w14:paraId="71C2DEE1" w14:textId="202793AB" w:rsidR="00743797" w:rsidRPr="00845046" w:rsidRDefault="00845046" w:rsidP="00845046">
            <w:pPr>
              <w:rPr>
                <w:sz w:val="20"/>
                <w:szCs w:val="18"/>
              </w:rPr>
            </w:pPr>
            <w:r>
              <w:rPr>
                <w:sz w:val="20"/>
                <w:szCs w:val="18"/>
              </w:rPr>
              <w:t>More than one year but less than two years off track in accumulated credits</w:t>
            </w:r>
          </w:p>
        </w:tc>
        <w:tc>
          <w:tcPr>
            <w:tcW w:w="2590" w:type="dxa"/>
            <w:vAlign w:val="center"/>
          </w:tcPr>
          <w:p w14:paraId="5BED582B" w14:textId="532B00DF" w:rsidR="00743797" w:rsidRPr="00B332C1" w:rsidRDefault="00B332C1" w:rsidP="00B332C1">
            <w:pPr>
              <w:rPr>
                <w:sz w:val="20"/>
                <w:szCs w:val="18"/>
              </w:rPr>
            </w:pPr>
            <w:r>
              <w:rPr>
                <w:sz w:val="20"/>
                <w:szCs w:val="18"/>
              </w:rPr>
              <w:t xml:space="preserve">Less than </w:t>
            </w:r>
            <w:r w:rsidR="00BD043D">
              <w:rPr>
                <w:sz w:val="20"/>
                <w:szCs w:val="18"/>
              </w:rPr>
              <w:t xml:space="preserve">or equal to </w:t>
            </w:r>
            <w:r>
              <w:rPr>
                <w:sz w:val="20"/>
                <w:szCs w:val="18"/>
              </w:rPr>
              <w:t>one year off track in accumulated credits</w:t>
            </w:r>
          </w:p>
        </w:tc>
        <w:tc>
          <w:tcPr>
            <w:tcW w:w="2590" w:type="dxa"/>
            <w:vAlign w:val="center"/>
          </w:tcPr>
          <w:p w14:paraId="18C2A2F1" w14:textId="4D2EB018" w:rsidR="00743797" w:rsidRDefault="00B332C1" w:rsidP="00B06A1D">
            <w:pPr>
              <w:rPr>
                <w:sz w:val="20"/>
                <w:szCs w:val="18"/>
              </w:rPr>
            </w:pPr>
            <w:r>
              <w:rPr>
                <w:sz w:val="20"/>
                <w:szCs w:val="18"/>
              </w:rPr>
              <w:t>For new students, the school can review students’ transcripts.</w:t>
            </w:r>
          </w:p>
          <w:p w14:paraId="3A7A65E1" w14:textId="77777777" w:rsidR="00B332C1" w:rsidRDefault="00B332C1" w:rsidP="00B06A1D">
            <w:pPr>
              <w:rPr>
                <w:sz w:val="20"/>
                <w:szCs w:val="18"/>
              </w:rPr>
            </w:pPr>
          </w:p>
          <w:p w14:paraId="3B5C6255" w14:textId="3E310517" w:rsidR="00B332C1" w:rsidRPr="000A5661" w:rsidRDefault="00B332C1" w:rsidP="00B06A1D">
            <w:pPr>
              <w:rPr>
                <w:sz w:val="20"/>
                <w:szCs w:val="18"/>
              </w:rPr>
            </w:pPr>
            <w:r>
              <w:rPr>
                <w:sz w:val="20"/>
                <w:szCs w:val="18"/>
              </w:rPr>
              <w:t xml:space="preserve">For continuing students, the school </w:t>
            </w:r>
            <w:r w:rsidR="00E32DE7">
              <w:rPr>
                <w:sz w:val="20"/>
                <w:szCs w:val="18"/>
              </w:rPr>
              <w:t>can review students’ credit earning records.</w:t>
            </w:r>
          </w:p>
        </w:tc>
      </w:tr>
      <w:tr w:rsidR="00743797" w14:paraId="093CD433" w14:textId="77777777" w:rsidTr="00B06A1D">
        <w:tc>
          <w:tcPr>
            <w:tcW w:w="2590" w:type="dxa"/>
            <w:shd w:val="clear" w:color="auto" w:fill="D9D9D9" w:themeFill="background1" w:themeFillShade="D9"/>
            <w:vAlign w:val="center"/>
          </w:tcPr>
          <w:p w14:paraId="2B700D7A" w14:textId="761C8BFB" w:rsidR="00743797" w:rsidRPr="001810F3" w:rsidRDefault="00743797" w:rsidP="00B06A1D">
            <w:pPr>
              <w:rPr>
                <w:b/>
                <w:bCs/>
                <w:sz w:val="20"/>
                <w:szCs w:val="18"/>
              </w:rPr>
            </w:pPr>
            <w:r>
              <w:rPr>
                <w:b/>
                <w:bCs/>
                <w:sz w:val="20"/>
                <w:szCs w:val="18"/>
              </w:rPr>
              <w:t>Age</w:t>
            </w:r>
          </w:p>
        </w:tc>
        <w:tc>
          <w:tcPr>
            <w:tcW w:w="2590" w:type="dxa"/>
            <w:vAlign w:val="center"/>
          </w:tcPr>
          <w:p w14:paraId="1A667810" w14:textId="3C5B0A4C" w:rsidR="00743797" w:rsidRPr="00E32DE7" w:rsidRDefault="00E32DE7" w:rsidP="00E32DE7">
            <w:pPr>
              <w:rPr>
                <w:sz w:val="20"/>
                <w:szCs w:val="18"/>
              </w:rPr>
            </w:pPr>
            <w:r>
              <w:rPr>
                <w:sz w:val="20"/>
                <w:szCs w:val="18"/>
              </w:rPr>
              <w:t>20 years or older</w:t>
            </w:r>
          </w:p>
        </w:tc>
        <w:tc>
          <w:tcPr>
            <w:tcW w:w="2590" w:type="dxa"/>
            <w:vAlign w:val="center"/>
          </w:tcPr>
          <w:p w14:paraId="6818BEB3" w14:textId="59B889A8" w:rsidR="00743797" w:rsidRPr="000A5661" w:rsidRDefault="00E32DE7" w:rsidP="00B06A1D">
            <w:pPr>
              <w:rPr>
                <w:sz w:val="20"/>
                <w:szCs w:val="18"/>
              </w:rPr>
            </w:pPr>
            <w:r>
              <w:rPr>
                <w:sz w:val="20"/>
                <w:szCs w:val="18"/>
              </w:rPr>
              <w:t>Between 1</w:t>
            </w:r>
            <w:r w:rsidR="00DD552D">
              <w:rPr>
                <w:sz w:val="20"/>
                <w:szCs w:val="18"/>
              </w:rPr>
              <w:t>8</w:t>
            </w:r>
            <w:r>
              <w:rPr>
                <w:sz w:val="20"/>
                <w:szCs w:val="18"/>
              </w:rPr>
              <w:t xml:space="preserve"> to 19 years old</w:t>
            </w:r>
          </w:p>
        </w:tc>
        <w:tc>
          <w:tcPr>
            <w:tcW w:w="2590" w:type="dxa"/>
            <w:vAlign w:val="center"/>
          </w:tcPr>
          <w:p w14:paraId="1858BE68" w14:textId="2FD583B7" w:rsidR="00743797" w:rsidRPr="000A5661" w:rsidRDefault="00E32DE7" w:rsidP="00B06A1D">
            <w:pPr>
              <w:rPr>
                <w:sz w:val="20"/>
                <w:szCs w:val="18"/>
              </w:rPr>
            </w:pPr>
            <w:r>
              <w:rPr>
                <w:sz w:val="20"/>
                <w:szCs w:val="18"/>
              </w:rPr>
              <w:t>17 years or younger</w:t>
            </w:r>
          </w:p>
        </w:tc>
        <w:tc>
          <w:tcPr>
            <w:tcW w:w="2590" w:type="dxa"/>
            <w:vAlign w:val="center"/>
          </w:tcPr>
          <w:p w14:paraId="483736C4" w14:textId="39456B32" w:rsidR="00743797" w:rsidRPr="00E32DE7" w:rsidRDefault="00E32DE7" w:rsidP="00E32DE7">
            <w:pPr>
              <w:rPr>
                <w:sz w:val="20"/>
                <w:szCs w:val="18"/>
              </w:rPr>
            </w:pPr>
            <w:r w:rsidRPr="00E32DE7">
              <w:rPr>
                <w:sz w:val="20"/>
                <w:szCs w:val="18"/>
              </w:rPr>
              <w:t>Student</w:t>
            </w:r>
            <w:r>
              <w:rPr>
                <w:sz w:val="20"/>
                <w:szCs w:val="18"/>
              </w:rPr>
              <w:t>’s age as of October 1</w:t>
            </w:r>
          </w:p>
        </w:tc>
      </w:tr>
      <w:tr w:rsidR="00743797" w14:paraId="6BAF6609" w14:textId="77777777" w:rsidTr="00B06A1D">
        <w:tc>
          <w:tcPr>
            <w:tcW w:w="2590" w:type="dxa"/>
            <w:shd w:val="clear" w:color="auto" w:fill="D9D9D9" w:themeFill="background1" w:themeFillShade="D9"/>
            <w:vAlign w:val="center"/>
          </w:tcPr>
          <w:p w14:paraId="7DA55794" w14:textId="3EA1BCE0" w:rsidR="00743797" w:rsidRPr="001810F3" w:rsidRDefault="00845046" w:rsidP="00B06A1D">
            <w:pPr>
              <w:rPr>
                <w:b/>
                <w:bCs/>
                <w:sz w:val="20"/>
                <w:szCs w:val="18"/>
              </w:rPr>
            </w:pPr>
            <w:r>
              <w:rPr>
                <w:b/>
                <w:bCs/>
                <w:sz w:val="20"/>
                <w:szCs w:val="18"/>
              </w:rPr>
              <w:t>School Enrollment Gaps</w:t>
            </w:r>
          </w:p>
        </w:tc>
        <w:tc>
          <w:tcPr>
            <w:tcW w:w="2590" w:type="dxa"/>
            <w:vAlign w:val="center"/>
          </w:tcPr>
          <w:p w14:paraId="511B1F2F" w14:textId="39E8D989" w:rsidR="00743797" w:rsidRPr="00E32DE7" w:rsidRDefault="00E32DE7" w:rsidP="00E32DE7">
            <w:pPr>
              <w:rPr>
                <w:sz w:val="20"/>
                <w:szCs w:val="18"/>
              </w:rPr>
            </w:pPr>
            <w:r>
              <w:rPr>
                <w:sz w:val="20"/>
                <w:szCs w:val="18"/>
              </w:rPr>
              <w:t>Lapses in school enrollment or attendance of at least 45 school days</w:t>
            </w:r>
            <w:r w:rsidR="0038750D">
              <w:rPr>
                <w:sz w:val="20"/>
                <w:szCs w:val="18"/>
              </w:rPr>
              <w:t xml:space="preserve"> in a row</w:t>
            </w:r>
            <w:r w:rsidR="00931BF5">
              <w:rPr>
                <w:sz w:val="20"/>
                <w:szCs w:val="18"/>
              </w:rPr>
              <w:t xml:space="preserve"> (prior to enrollment in the ACS)</w:t>
            </w:r>
          </w:p>
        </w:tc>
        <w:tc>
          <w:tcPr>
            <w:tcW w:w="2590" w:type="dxa"/>
            <w:vAlign w:val="center"/>
          </w:tcPr>
          <w:p w14:paraId="18883388" w14:textId="35CF7BA6" w:rsidR="00743797" w:rsidRPr="00EF7488" w:rsidRDefault="00E32DE7" w:rsidP="00B06A1D">
            <w:pPr>
              <w:rPr>
                <w:sz w:val="20"/>
                <w:szCs w:val="18"/>
              </w:rPr>
            </w:pPr>
            <w:r>
              <w:rPr>
                <w:sz w:val="20"/>
                <w:szCs w:val="18"/>
              </w:rPr>
              <w:t>Lapses in school enrollment or attendance of 10 to 44 days</w:t>
            </w:r>
            <w:r w:rsidR="0038750D">
              <w:rPr>
                <w:sz w:val="20"/>
                <w:szCs w:val="18"/>
              </w:rPr>
              <w:t xml:space="preserve"> in a row</w:t>
            </w:r>
            <w:r w:rsidR="00931BF5">
              <w:rPr>
                <w:sz w:val="20"/>
                <w:szCs w:val="18"/>
              </w:rPr>
              <w:t xml:space="preserve"> (prior to enrollment in the ACS)</w:t>
            </w:r>
          </w:p>
        </w:tc>
        <w:tc>
          <w:tcPr>
            <w:tcW w:w="2590" w:type="dxa"/>
            <w:vAlign w:val="center"/>
          </w:tcPr>
          <w:p w14:paraId="3C2D99A2" w14:textId="65B029AA" w:rsidR="00743797" w:rsidRPr="00EF7488" w:rsidRDefault="00E32DE7" w:rsidP="00B06A1D">
            <w:pPr>
              <w:rPr>
                <w:sz w:val="20"/>
                <w:szCs w:val="18"/>
              </w:rPr>
            </w:pPr>
            <w:r>
              <w:rPr>
                <w:sz w:val="20"/>
                <w:szCs w:val="18"/>
              </w:rPr>
              <w:t xml:space="preserve">A lapse of no more than 10 days </w:t>
            </w:r>
            <w:r w:rsidR="0038750D">
              <w:rPr>
                <w:sz w:val="20"/>
                <w:szCs w:val="18"/>
              </w:rPr>
              <w:t xml:space="preserve">in a row </w:t>
            </w:r>
            <w:r>
              <w:rPr>
                <w:sz w:val="20"/>
                <w:szCs w:val="18"/>
              </w:rPr>
              <w:t>in school enrollment or attendance</w:t>
            </w:r>
            <w:r w:rsidR="00931BF5">
              <w:rPr>
                <w:sz w:val="20"/>
                <w:szCs w:val="18"/>
              </w:rPr>
              <w:t xml:space="preserve"> (prior to the enrollment in the ACS)</w:t>
            </w:r>
          </w:p>
        </w:tc>
        <w:tc>
          <w:tcPr>
            <w:tcW w:w="2590" w:type="dxa"/>
            <w:vAlign w:val="center"/>
          </w:tcPr>
          <w:p w14:paraId="71AF4322" w14:textId="30C7F8CB" w:rsidR="00743797" w:rsidRPr="00E32DE7" w:rsidRDefault="00E32DE7" w:rsidP="00E32DE7">
            <w:pPr>
              <w:rPr>
                <w:sz w:val="20"/>
                <w:szCs w:val="18"/>
              </w:rPr>
            </w:pPr>
            <w:r>
              <w:rPr>
                <w:sz w:val="20"/>
                <w:szCs w:val="18"/>
              </w:rPr>
              <w:t>Student’s last date of attendance as recorded in the Student Information System (SIS)</w:t>
            </w:r>
          </w:p>
        </w:tc>
      </w:tr>
      <w:tr w:rsidR="00845046" w14:paraId="778E7F2F" w14:textId="77777777" w:rsidTr="00B06A1D">
        <w:tc>
          <w:tcPr>
            <w:tcW w:w="2590" w:type="dxa"/>
            <w:shd w:val="clear" w:color="auto" w:fill="D9D9D9" w:themeFill="background1" w:themeFillShade="D9"/>
            <w:vAlign w:val="center"/>
          </w:tcPr>
          <w:p w14:paraId="2286ADDB" w14:textId="6CDC0395" w:rsidR="00845046" w:rsidRDefault="00845046" w:rsidP="00B06A1D">
            <w:pPr>
              <w:rPr>
                <w:b/>
                <w:bCs/>
                <w:sz w:val="20"/>
                <w:szCs w:val="18"/>
              </w:rPr>
            </w:pPr>
            <w:r>
              <w:rPr>
                <w:b/>
                <w:bCs/>
                <w:sz w:val="20"/>
                <w:szCs w:val="18"/>
              </w:rPr>
              <w:t>Prior High Schools</w:t>
            </w:r>
          </w:p>
        </w:tc>
        <w:tc>
          <w:tcPr>
            <w:tcW w:w="2590" w:type="dxa"/>
            <w:vAlign w:val="center"/>
          </w:tcPr>
          <w:p w14:paraId="23C8708B" w14:textId="109BB0DB" w:rsidR="00845046" w:rsidRPr="00E32DE7" w:rsidRDefault="00E32DE7" w:rsidP="00E32DE7">
            <w:pPr>
              <w:rPr>
                <w:sz w:val="20"/>
                <w:szCs w:val="18"/>
              </w:rPr>
            </w:pPr>
            <w:r>
              <w:rPr>
                <w:sz w:val="20"/>
                <w:szCs w:val="18"/>
              </w:rPr>
              <w:t>More than 2 prior high schools</w:t>
            </w:r>
          </w:p>
        </w:tc>
        <w:tc>
          <w:tcPr>
            <w:tcW w:w="2590" w:type="dxa"/>
            <w:vAlign w:val="center"/>
          </w:tcPr>
          <w:p w14:paraId="5B9250FF" w14:textId="5DA093C9" w:rsidR="00845046" w:rsidRDefault="00E32DE7" w:rsidP="00B06A1D">
            <w:pPr>
              <w:rPr>
                <w:sz w:val="20"/>
                <w:szCs w:val="18"/>
              </w:rPr>
            </w:pPr>
            <w:r>
              <w:rPr>
                <w:sz w:val="20"/>
                <w:szCs w:val="18"/>
              </w:rPr>
              <w:t>2 prior high schools</w:t>
            </w:r>
          </w:p>
        </w:tc>
        <w:tc>
          <w:tcPr>
            <w:tcW w:w="2590" w:type="dxa"/>
            <w:vAlign w:val="center"/>
          </w:tcPr>
          <w:p w14:paraId="173A31F0" w14:textId="1FB15EC7" w:rsidR="00845046" w:rsidRPr="00EF7488" w:rsidRDefault="00E32DE7" w:rsidP="00B06A1D">
            <w:pPr>
              <w:rPr>
                <w:sz w:val="20"/>
                <w:szCs w:val="18"/>
              </w:rPr>
            </w:pPr>
            <w:r>
              <w:rPr>
                <w:sz w:val="20"/>
                <w:szCs w:val="18"/>
              </w:rPr>
              <w:t>0-1 prior high schools</w:t>
            </w:r>
          </w:p>
        </w:tc>
        <w:tc>
          <w:tcPr>
            <w:tcW w:w="2590" w:type="dxa"/>
            <w:vAlign w:val="center"/>
          </w:tcPr>
          <w:p w14:paraId="2E9A7BDC" w14:textId="3400A0BF" w:rsidR="00845046" w:rsidRDefault="00E32DE7" w:rsidP="00B06A1D">
            <w:pPr>
              <w:rPr>
                <w:sz w:val="20"/>
                <w:szCs w:val="18"/>
              </w:rPr>
            </w:pPr>
            <w:r>
              <w:rPr>
                <w:sz w:val="20"/>
                <w:szCs w:val="18"/>
              </w:rPr>
              <w:t>Student records, interview, or survey</w:t>
            </w:r>
          </w:p>
        </w:tc>
      </w:tr>
    </w:tbl>
    <w:p w14:paraId="6EAD0600" w14:textId="17238286" w:rsidR="00743797" w:rsidRDefault="00743797" w:rsidP="004F06BC">
      <w:pPr>
        <w:spacing w:after="0"/>
      </w:pPr>
    </w:p>
    <w:tbl>
      <w:tblPr>
        <w:tblStyle w:val="TableGrid"/>
        <w:tblW w:w="0" w:type="auto"/>
        <w:tblLook w:val="04A0" w:firstRow="1" w:lastRow="0" w:firstColumn="1" w:lastColumn="0" w:noHBand="0" w:noVBand="1"/>
      </w:tblPr>
      <w:tblGrid>
        <w:gridCol w:w="2590"/>
        <w:gridCol w:w="2590"/>
        <w:gridCol w:w="2590"/>
        <w:gridCol w:w="2590"/>
        <w:gridCol w:w="2590"/>
      </w:tblGrid>
      <w:tr w:rsidR="00E32DE7" w14:paraId="350F9C4C" w14:textId="77777777" w:rsidTr="00B06A1D">
        <w:tc>
          <w:tcPr>
            <w:tcW w:w="12950" w:type="dxa"/>
            <w:gridSpan w:val="5"/>
            <w:shd w:val="clear" w:color="auto" w:fill="C6D9F1" w:themeFill="text2" w:themeFillTint="33"/>
            <w:vAlign w:val="center"/>
          </w:tcPr>
          <w:p w14:paraId="37D6588B" w14:textId="6F87EB5C" w:rsidR="00E32DE7" w:rsidRPr="003070DD" w:rsidRDefault="00E32DE7" w:rsidP="00B06A1D">
            <w:pPr>
              <w:rPr>
                <w:sz w:val="20"/>
                <w:szCs w:val="18"/>
              </w:rPr>
            </w:pPr>
            <w:r>
              <w:rPr>
                <w:b/>
                <w:bCs/>
                <w:sz w:val="20"/>
                <w:szCs w:val="18"/>
              </w:rPr>
              <w:t xml:space="preserve">Category </w:t>
            </w:r>
            <w:r w:rsidR="002F6DBA">
              <w:rPr>
                <w:b/>
                <w:bCs/>
                <w:sz w:val="20"/>
                <w:szCs w:val="18"/>
              </w:rPr>
              <w:t>4</w:t>
            </w:r>
            <w:r>
              <w:rPr>
                <w:b/>
                <w:bCs/>
                <w:sz w:val="20"/>
                <w:szCs w:val="18"/>
              </w:rPr>
              <w:t xml:space="preserve">: </w:t>
            </w:r>
            <w:r w:rsidR="002F6DBA">
              <w:rPr>
                <w:b/>
                <w:bCs/>
                <w:sz w:val="20"/>
                <w:szCs w:val="18"/>
              </w:rPr>
              <w:t>Life Experiences</w:t>
            </w:r>
          </w:p>
        </w:tc>
      </w:tr>
      <w:tr w:rsidR="00E32DE7" w14:paraId="1751A056" w14:textId="77777777" w:rsidTr="00B06A1D">
        <w:tc>
          <w:tcPr>
            <w:tcW w:w="2590" w:type="dxa"/>
            <w:shd w:val="clear" w:color="auto" w:fill="D9D9D9" w:themeFill="background1" w:themeFillShade="D9"/>
            <w:vAlign w:val="center"/>
          </w:tcPr>
          <w:p w14:paraId="32EBD43F" w14:textId="77777777" w:rsidR="00E32DE7" w:rsidRPr="001810F3" w:rsidRDefault="00E32DE7" w:rsidP="00B06A1D">
            <w:pPr>
              <w:jc w:val="center"/>
              <w:rPr>
                <w:b/>
                <w:bCs/>
                <w:sz w:val="20"/>
                <w:szCs w:val="18"/>
              </w:rPr>
            </w:pPr>
            <w:r w:rsidRPr="001810F3">
              <w:rPr>
                <w:b/>
                <w:bCs/>
                <w:sz w:val="20"/>
                <w:szCs w:val="18"/>
              </w:rPr>
              <w:t>Data Point</w:t>
            </w:r>
          </w:p>
        </w:tc>
        <w:tc>
          <w:tcPr>
            <w:tcW w:w="2590" w:type="dxa"/>
            <w:shd w:val="clear" w:color="auto" w:fill="D9D9D9" w:themeFill="background1" w:themeFillShade="D9"/>
            <w:vAlign w:val="center"/>
          </w:tcPr>
          <w:p w14:paraId="1C3A370D" w14:textId="77777777" w:rsidR="00E32DE7" w:rsidRPr="001810F3" w:rsidRDefault="00E32DE7" w:rsidP="00B06A1D">
            <w:pPr>
              <w:jc w:val="center"/>
              <w:rPr>
                <w:b/>
                <w:bCs/>
                <w:sz w:val="20"/>
                <w:szCs w:val="18"/>
              </w:rPr>
            </w:pPr>
            <w:r w:rsidRPr="001810F3">
              <w:rPr>
                <w:b/>
                <w:bCs/>
                <w:sz w:val="20"/>
                <w:szCs w:val="18"/>
              </w:rPr>
              <w:t>Minimally Connected (MC)</w:t>
            </w:r>
          </w:p>
        </w:tc>
        <w:tc>
          <w:tcPr>
            <w:tcW w:w="2590" w:type="dxa"/>
            <w:shd w:val="clear" w:color="auto" w:fill="D9D9D9" w:themeFill="background1" w:themeFillShade="D9"/>
            <w:vAlign w:val="center"/>
          </w:tcPr>
          <w:p w14:paraId="005EB01D" w14:textId="77777777" w:rsidR="00E32DE7" w:rsidRPr="001810F3" w:rsidRDefault="00E32DE7" w:rsidP="00B06A1D">
            <w:pPr>
              <w:jc w:val="center"/>
              <w:rPr>
                <w:b/>
                <w:bCs/>
                <w:sz w:val="20"/>
                <w:szCs w:val="18"/>
              </w:rPr>
            </w:pPr>
            <w:r w:rsidRPr="001810F3">
              <w:rPr>
                <w:b/>
                <w:bCs/>
                <w:sz w:val="20"/>
                <w:szCs w:val="18"/>
              </w:rPr>
              <w:t>Partially Connected (PC)</w:t>
            </w:r>
          </w:p>
        </w:tc>
        <w:tc>
          <w:tcPr>
            <w:tcW w:w="2590" w:type="dxa"/>
            <w:shd w:val="clear" w:color="auto" w:fill="D9D9D9" w:themeFill="background1" w:themeFillShade="D9"/>
            <w:vAlign w:val="center"/>
          </w:tcPr>
          <w:p w14:paraId="4B96F977" w14:textId="77777777" w:rsidR="00E32DE7" w:rsidRPr="001810F3" w:rsidRDefault="00E32DE7" w:rsidP="00B06A1D">
            <w:pPr>
              <w:jc w:val="center"/>
              <w:rPr>
                <w:b/>
                <w:bCs/>
                <w:sz w:val="20"/>
                <w:szCs w:val="18"/>
              </w:rPr>
            </w:pPr>
            <w:r w:rsidRPr="001810F3">
              <w:rPr>
                <w:b/>
                <w:bCs/>
                <w:sz w:val="20"/>
                <w:szCs w:val="18"/>
              </w:rPr>
              <w:t>Connected (C)</w:t>
            </w:r>
          </w:p>
        </w:tc>
        <w:tc>
          <w:tcPr>
            <w:tcW w:w="2590" w:type="dxa"/>
            <w:shd w:val="clear" w:color="auto" w:fill="D9D9D9" w:themeFill="background1" w:themeFillShade="D9"/>
            <w:vAlign w:val="center"/>
          </w:tcPr>
          <w:p w14:paraId="79ED1528" w14:textId="77777777" w:rsidR="00E32DE7" w:rsidRPr="001810F3" w:rsidRDefault="00E32DE7" w:rsidP="00B06A1D">
            <w:pPr>
              <w:jc w:val="center"/>
              <w:rPr>
                <w:b/>
                <w:bCs/>
                <w:sz w:val="20"/>
                <w:szCs w:val="18"/>
              </w:rPr>
            </w:pPr>
            <w:r w:rsidRPr="001810F3">
              <w:rPr>
                <w:b/>
                <w:bCs/>
                <w:sz w:val="20"/>
                <w:szCs w:val="18"/>
              </w:rPr>
              <w:t>Approved Data Sources</w:t>
            </w:r>
          </w:p>
        </w:tc>
      </w:tr>
      <w:tr w:rsidR="00E32DE7" w14:paraId="417F7384" w14:textId="77777777" w:rsidTr="00B06A1D">
        <w:tc>
          <w:tcPr>
            <w:tcW w:w="2590" w:type="dxa"/>
            <w:shd w:val="clear" w:color="auto" w:fill="D9D9D9" w:themeFill="background1" w:themeFillShade="D9"/>
            <w:vAlign w:val="center"/>
          </w:tcPr>
          <w:p w14:paraId="3180C003" w14:textId="3CFA8013" w:rsidR="00E32DE7" w:rsidRPr="001810F3" w:rsidRDefault="00E32DE7" w:rsidP="00B06A1D">
            <w:pPr>
              <w:rPr>
                <w:b/>
                <w:bCs/>
                <w:sz w:val="20"/>
                <w:szCs w:val="18"/>
              </w:rPr>
            </w:pPr>
            <w:r>
              <w:rPr>
                <w:b/>
                <w:bCs/>
                <w:sz w:val="20"/>
                <w:szCs w:val="18"/>
              </w:rPr>
              <w:t>Exper</w:t>
            </w:r>
            <w:r w:rsidR="002F6DBA">
              <w:rPr>
                <w:b/>
                <w:bCs/>
                <w:sz w:val="20"/>
                <w:szCs w:val="18"/>
              </w:rPr>
              <w:t>iences of Trauma</w:t>
            </w:r>
          </w:p>
        </w:tc>
        <w:tc>
          <w:tcPr>
            <w:tcW w:w="2590" w:type="dxa"/>
            <w:vAlign w:val="center"/>
          </w:tcPr>
          <w:p w14:paraId="102D25CA" w14:textId="15384463" w:rsidR="00E32DE7" w:rsidRPr="002F6DBA" w:rsidRDefault="002F6DBA" w:rsidP="002F6DBA">
            <w:pPr>
              <w:rPr>
                <w:sz w:val="20"/>
                <w:szCs w:val="18"/>
              </w:rPr>
            </w:pPr>
            <w:r>
              <w:rPr>
                <w:sz w:val="20"/>
                <w:szCs w:val="18"/>
              </w:rPr>
              <w:t>An ACES score of 4 or higher</w:t>
            </w:r>
          </w:p>
        </w:tc>
        <w:tc>
          <w:tcPr>
            <w:tcW w:w="2590" w:type="dxa"/>
            <w:vAlign w:val="center"/>
          </w:tcPr>
          <w:p w14:paraId="2F0F6657" w14:textId="5C2AE2BB" w:rsidR="00E32DE7" w:rsidRPr="002F6DBA" w:rsidRDefault="002F6DBA" w:rsidP="002F6DBA">
            <w:pPr>
              <w:rPr>
                <w:sz w:val="20"/>
                <w:szCs w:val="18"/>
              </w:rPr>
            </w:pPr>
            <w:r w:rsidRPr="002F6DBA">
              <w:rPr>
                <w:sz w:val="20"/>
                <w:szCs w:val="18"/>
              </w:rPr>
              <w:t>An A</w:t>
            </w:r>
            <w:r>
              <w:rPr>
                <w:sz w:val="20"/>
                <w:szCs w:val="18"/>
              </w:rPr>
              <w:t>CES score of 2-3</w:t>
            </w:r>
          </w:p>
        </w:tc>
        <w:tc>
          <w:tcPr>
            <w:tcW w:w="2590" w:type="dxa"/>
            <w:vAlign w:val="center"/>
          </w:tcPr>
          <w:p w14:paraId="7CD5D4AB" w14:textId="2DA8C585" w:rsidR="00E32DE7" w:rsidRPr="002F6DBA" w:rsidRDefault="002F6DBA" w:rsidP="002F6DBA">
            <w:pPr>
              <w:rPr>
                <w:sz w:val="20"/>
                <w:szCs w:val="18"/>
              </w:rPr>
            </w:pPr>
            <w:r w:rsidRPr="002F6DBA">
              <w:rPr>
                <w:sz w:val="20"/>
                <w:szCs w:val="18"/>
              </w:rPr>
              <w:t>An ACES score of 0-1</w:t>
            </w:r>
          </w:p>
        </w:tc>
        <w:tc>
          <w:tcPr>
            <w:tcW w:w="2590" w:type="dxa"/>
            <w:vAlign w:val="center"/>
          </w:tcPr>
          <w:p w14:paraId="324CA5C0" w14:textId="62E3E6AE" w:rsidR="00E32DE7" w:rsidRPr="000A5661" w:rsidRDefault="002F6DBA" w:rsidP="00B06A1D">
            <w:pPr>
              <w:rPr>
                <w:sz w:val="20"/>
                <w:szCs w:val="18"/>
              </w:rPr>
            </w:pPr>
            <w:r>
              <w:rPr>
                <w:sz w:val="20"/>
                <w:szCs w:val="18"/>
              </w:rPr>
              <w:t xml:space="preserve">ACES must be administered by a qualified individual </w:t>
            </w:r>
            <w:r w:rsidR="009A5296">
              <w:rPr>
                <w:sz w:val="20"/>
                <w:szCs w:val="18"/>
              </w:rPr>
              <w:t xml:space="preserve">at the school </w:t>
            </w:r>
            <w:r>
              <w:rPr>
                <w:sz w:val="20"/>
                <w:szCs w:val="18"/>
              </w:rPr>
              <w:t xml:space="preserve">(school social worker or mental health provider) within the first four to six weeks of enrollment or </w:t>
            </w:r>
            <w:r w:rsidR="009A5296">
              <w:rPr>
                <w:sz w:val="20"/>
                <w:szCs w:val="18"/>
              </w:rPr>
              <w:t xml:space="preserve">the family </w:t>
            </w:r>
            <w:r>
              <w:rPr>
                <w:sz w:val="20"/>
                <w:szCs w:val="18"/>
              </w:rPr>
              <w:t xml:space="preserve">may </w:t>
            </w:r>
            <w:r w:rsidR="00B525FE">
              <w:rPr>
                <w:sz w:val="20"/>
                <w:szCs w:val="18"/>
              </w:rPr>
              <w:t>share the student’s</w:t>
            </w:r>
            <w:r w:rsidR="000C6E06">
              <w:rPr>
                <w:sz w:val="20"/>
                <w:szCs w:val="18"/>
              </w:rPr>
              <w:t xml:space="preserve"> previously administered</w:t>
            </w:r>
            <w:r w:rsidR="00B525FE">
              <w:rPr>
                <w:sz w:val="20"/>
                <w:szCs w:val="18"/>
              </w:rPr>
              <w:t xml:space="preserve"> ACES results with the school </w:t>
            </w:r>
            <w:r w:rsidR="00A56A76">
              <w:rPr>
                <w:sz w:val="20"/>
                <w:szCs w:val="18"/>
              </w:rPr>
              <w:t>upon intake</w:t>
            </w:r>
            <w:r w:rsidR="00B525FE">
              <w:rPr>
                <w:sz w:val="20"/>
                <w:szCs w:val="18"/>
              </w:rPr>
              <w:t xml:space="preserve"> </w:t>
            </w:r>
            <w:proofErr w:type="gramStart"/>
            <w:r w:rsidR="00B525FE">
              <w:rPr>
                <w:sz w:val="20"/>
                <w:szCs w:val="18"/>
              </w:rPr>
              <w:t>as long as</w:t>
            </w:r>
            <w:proofErr w:type="gramEnd"/>
            <w:r w:rsidR="00B525FE">
              <w:rPr>
                <w:sz w:val="20"/>
                <w:szCs w:val="18"/>
              </w:rPr>
              <w:t xml:space="preserve"> the assessment was administered</w:t>
            </w:r>
            <w:r w:rsidR="00A56A76">
              <w:rPr>
                <w:sz w:val="20"/>
                <w:szCs w:val="18"/>
              </w:rPr>
              <w:t xml:space="preserve"> </w:t>
            </w:r>
            <w:r w:rsidR="00B525FE">
              <w:rPr>
                <w:sz w:val="20"/>
                <w:szCs w:val="18"/>
              </w:rPr>
              <w:t xml:space="preserve">by </w:t>
            </w:r>
            <w:r w:rsidR="00A56A76">
              <w:rPr>
                <w:sz w:val="20"/>
                <w:szCs w:val="18"/>
              </w:rPr>
              <w:t>a qualified individual.</w:t>
            </w:r>
          </w:p>
        </w:tc>
      </w:tr>
      <w:tr w:rsidR="00E32DE7" w14:paraId="310A0763" w14:textId="77777777" w:rsidTr="00B06A1D">
        <w:tc>
          <w:tcPr>
            <w:tcW w:w="2590" w:type="dxa"/>
            <w:shd w:val="clear" w:color="auto" w:fill="D9D9D9" w:themeFill="background1" w:themeFillShade="D9"/>
            <w:vAlign w:val="center"/>
          </w:tcPr>
          <w:p w14:paraId="517F74B4" w14:textId="13210AB1" w:rsidR="00E32DE7" w:rsidRPr="001810F3" w:rsidRDefault="002F6DBA" w:rsidP="00B06A1D">
            <w:pPr>
              <w:rPr>
                <w:b/>
                <w:bCs/>
                <w:sz w:val="20"/>
                <w:szCs w:val="18"/>
              </w:rPr>
            </w:pPr>
            <w:r>
              <w:rPr>
                <w:b/>
                <w:bCs/>
                <w:sz w:val="20"/>
                <w:szCs w:val="18"/>
              </w:rPr>
              <w:lastRenderedPageBreak/>
              <w:t>Obligations and Circumstances Outside of School</w:t>
            </w:r>
            <w:r w:rsidR="004F06BC">
              <w:rPr>
                <w:rStyle w:val="FootnoteReference"/>
                <w:b/>
                <w:bCs/>
                <w:sz w:val="20"/>
                <w:szCs w:val="18"/>
              </w:rPr>
              <w:footnoteReference w:id="5"/>
            </w:r>
          </w:p>
        </w:tc>
        <w:tc>
          <w:tcPr>
            <w:tcW w:w="2590" w:type="dxa"/>
            <w:vAlign w:val="center"/>
          </w:tcPr>
          <w:p w14:paraId="076C77E1" w14:textId="7BD9B975" w:rsidR="00B23C2E" w:rsidRPr="004F06BC" w:rsidRDefault="00A56A76" w:rsidP="004F06BC">
            <w:pPr>
              <w:rPr>
                <w:sz w:val="20"/>
                <w:szCs w:val="18"/>
              </w:rPr>
            </w:pPr>
            <w:r>
              <w:rPr>
                <w:sz w:val="20"/>
                <w:szCs w:val="18"/>
              </w:rPr>
              <w:t>4 or more</w:t>
            </w:r>
            <w:r w:rsidR="0087019C" w:rsidRPr="004F06BC">
              <w:rPr>
                <w:sz w:val="20"/>
                <w:szCs w:val="18"/>
              </w:rPr>
              <w:t xml:space="preserve"> </w:t>
            </w:r>
          </w:p>
        </w:tc>
        <w:tc>
          <w:tcPr>
            <w:tcW w:w="2590" w:type="dxa"/>
            <w:vAlign w:val="center"/>
          </w:tcPr>
          <w:p w14:paraId="673FAFCE" w14:textId="3415EFE5" w:rsidR="00E32DE7" w:rsidRPr="000A5661" w:rsidRDefault="00A56A76" w:rsidP="00B06A1D">
            <w:pPr>
              <w:rPr>
                <w:sz w:val="20"/>
                <w:szCs w:val="18"/>
              </w:rPr>
            </w:pPr>
            <w:r>
              <w:rPr>
                <w:sz w:val="20"/>
                <w:szCs w:val="18"/>
              </w:rPr>
              <w:t>Between 2 and 3</w:t>
            </w:r>
          </w:p>
        </w:tc>
        <w:tc>
          <w:tcPr>
            <w:tcW w:w="2590" w:type="dxa"/>
            <w:vAlign w:val="center"/>
          </w:tcPr>
          <w:p w14:paraId="11484D1A" w14:textId="0A958929" w:rsidR="00E32DE7" w:rsidRPr="000A5661" w:rsidRDefault="00A56A76" w:rsidP="00B06A1D">
            <w:pPr>
              <w:rPr>
                <w:sz w:val="20"/>
                <w:szCs w:val="18"/>
              </w:rPr>
            </w:pPr>
            <w:r>
              <w:rPr>
                <w:sz w:val="20"/>
                <w:szCs w:val="18"/>
              </w:rPr>
              <w:t>0-1</w:t>
            </w:r>
          </w:p>
        </w:tc>
        <w:tc>
          <w:tcPr>
            <w:tcW w:w="2590" w:type="dxa"/>
            <w:vAlign w:val="center"/>
          </w:tcPr>
          <w:p w14:paraId="54DCADF2" w14:textId="44A36CB9" w:rsidR="009F0662" w:rsidRPr="00A56A76" w:rsidRDefault="00A56A76" w:rsidP="00A56A76">
            <w:pPr>
              <w:rPr>
                <w:sz w:val="20"/>
                <w:szCs w:val="18"/>
              </w:rPr>
            </w:pPr>
            <w:r w:rsidRPr="00A56A76">
              <w:rPr>
                <w:sz w:val="20"/>
                <w:szCs w:val="18"/>
              </w:rPr>
              <w:t>Obl</w:t>
            </w:r>
            <w:r>
              <w:rPr>
                <w:sz w:val="20"/>
                <w:szCs w:val="18"/>
              </w:rPr>
              <w:t xml:space="preserve">igations and circumstances may be assessed via student survey, </w:t>
            </w:r>
            <w:r w:rsidR="009F0662">
              <w:rPr>
                <w:sz w:val="20"/>
                <w:szCs w:val="18"/>
              </w:rPr>
              <w:t xml:space="preserve">found in the student’s cumulative file report, or reported on intake by the student and/or family member. </w:t>
            </w:r>
          </w:p>
        </w:tc>
      </w:tr>
    </w:tbl>
    <w:p w14:paraId="4075CD1C" w14:textId="124B920E" w:rsidR="00075622" w:rsidRDefault="00075622" w:rsidP="005364BD"/>
    <w:p w14:paraId="782ECCF8" w14:textId="367A348A" w:rsidR="00181165" w:rsidRDefault="00181165">
      <w:pPr>
        <w:spacing w:before="200" w:line="276" w:lineRule="auto"/>
      </w:pPr>
      <w:r>
        <w:br w:type="page"/>
      </w:r>
    </w:p>
    <w:p w14:paraId="093E6216" w14:textId="30D86C38" w:rsidR="00181165" w:rsidRDefault="00181165" w:rsidP="00181165">
      <w:pPr>
        <w:pStyle w:val="Heading1"/>
      </w:pPr>
      <w:bookmarkStart w:id="9" w:name="_Toc130294546"/>
      <w:r>
        <w:lastRenderedPageBreak/>
        <w:t>Appendix B: Additional Examples</w:t>
      </w:r>
      <w:bookmarkEnd w:id="9"/>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1680"/>
        <w:gridCol w:w="1680"/>
        <w:gridCol w:w="1575"/>
        <w:gridCol w:w="4545"/>
      </w:tblGrid>
      <w:tr w:rsidR="001B4F38" w14:paraId="2A6FD446" w14:textId="77777777" w:rsidTr="00B06A1D">
        <w:tc>
          <w:tcPr>
            <w:tcW w:w="3480" w:type="dxa"/>
            <w:shd w:val="clear" w:color="auto" w:fill="auto"/>
            <w:tcMar>
              <w:top w:w="100" w:type="dxa"/>
              <w:left w:w="100" w:type="dxa"/>
              <w:bottom w:w="100" w:type="dxa"/>
              <w:right w:w="100" w:type="dxa"/>
            </w:tcMar>
          </w:tcPr>
          <w:p w14:paraId="7559B2C5" w14:textId="7135987B" w:rsidR="001B4F38" w:rsidRDefault="00F43346" w:rsidP="001B4F38">
            <w:pPr>
              <w:widowControl w:val="0"/>
              <w:pBdr>
                <w:top w:val="nil"/>
                <w:left w:val="nil"/>
                <w:bottom w:val="nil"/>
                <w:right w:val="nil"/>
                <w:between w:val="nil"/>
              </w:pBdr>
              <w:spacing w:after="0"/>
              <w:rPr>
                <w:sz w:val="20"/>
              </w:rPr>
            </w:pPr>
            <w:r>
              <w:rPr>
                <w:b/>
              </w:rPr>
              <w:t>Example Goals:</w:t>
            </w:r>
          </w:p>
        </w:tc>
        <w:tc>
          <w:tcPr>
            <w:tcW w:w="1680" w:type="dxa"/>
            <w:shd w:val="clear" w:color="auto" w:fill="auto"/>
            <w:tcMar>
              <w:top w:w="100" w:type="dxa"/>
              <w:left w:w="100" w:type="dxa"/>
              <w:bottom w:w="100" w:type="dxa"/>
              <w:right w:w="100" w:type="dxa"/>
            </w:tcMar>
          </w:tcPr>
          <w:p w14:paraId="0D2C1D6A" w14:textId="3C5CDA76" w:rsidR="001B4F38" w:rsidRDefault="001B4F38" w:rsidP="001B4F38">
            <w:pPr>
              <w:widowControl w:val="0"/>
              <w:pBdr>
                <w:top w:val="nil"/>
                <w:left w:val="nil"/>
                <w:bottom w:val="nil"/>
                <w:right w:val="nil"/>
                <w:between w:val="nil"/>
              </w:pBdr>
              <w:spacing w:after="0"/>
              <w:rPr>
                <w:sz w:val="20"/>
              </w:rPr>
            </w:pPr>
            <w:r>
              <w:rPr>
                <w:b/>
              </w:rPr>
              <w:t>Minimally Connected (MC)</w:t>
            </w:r>
          </w:p>
        </w:tc>
        <w:tc>
          <w:tcPr>
            <w:tcW w:w="1680" w:type="dxa"/>
            <w:shd w:val="clear" w:color="auto" w:fill="auto"/>
            <w:tcMar>
              <w:top w:w="100" w:type="dxa"/>
              <w:left w:w="100" w:type="dxa"/>
              <w:bottom w:w="100" w:type="dxa"/>
              <w:right w:w="100" w:type="dxa"/>
            </w:tcMar>
          </w:tcPr>
          <w:p w14:paraId="70712A12" w14:textId="5135C259" w:rsidR="001B4F38" w:rsidRDefault="001B4F38" w:rsidP="001B4F38">
            <w:pPr>
              <w:widowControl w:val="0"/>
              <w:spacing w:after="0"/>
              <w:rPr>
                <w:sz w:val="20"/>
              </w:rPr>
            </w:pPr>
            <w:r>
              <w:rPr>
                <w:b/>
              </w:rPr>
              <w:t>Partially Connected (PC)</w:t>
            </w:r>
          </w:p>
        </w:tc>
        <w:tc>
          <w:tcPr>
            <w:tcW w:w="1575" w:type="dxa"/>
            <w:shd w:val="clear" w:color="auto" w:fill="auto"/>
            <w:tcMar>
              <w:top w:w="100" w:type="dxa"/>
              <w:left w:w="100" w:type="dxa"/>
              <w:bottom w:w="100" w:type="dxa"/>
              <w:right w:w="100" w:type="dxa"/>
            </w:tcMar>
          </w:tcPr>
          <w:p w14:paraId="4067E814" w14:textId="166DB63D" w:rsidR="001B4F38" w:rsidRDefault="001B4F38" w:rsidP="001B4F38">
            <w:pPr>
              <w:widowControl w:val="0"/>
              <w:spacing w:after="0"/>
              <w:rPr>
                <w:sz w:val="20"/>
              </w:rPr>
            </w:pPr>
            <w:r>
              <w:rPr>
                <w:b/>
              </w:rPr>
              <w:t>Connected (C)</w:t>
            </w:r>
          </w:p>
        </w:tc>
        <w:tc>
          <w:tcPr>
            <w:tcW w:w="4545" w:type="dxa"/>
            <w:shd w:val="clear" w:color="auto" w:fill="auto"/>
            <w:tcMar>
              <w:top w:w="100" w:type="dxa"/>
              <w:left w:w="100" w:type="dxa"/>
              <w:bottom w:w="100" w:type="dxa"/>
              <w:right w:w="100" w:type="dxa"/>
            </w:tcMar>
          </w:tcPr>
          <w:p w14:paraId="6D3F24B3" w14:textId="09F4F6D7" w:rsidR="001B4F38" w:rsidRDefault="001B4F38" w:rsidP="001B4F38">
            <w:pPr>
              <w:widowControl w:val="0"/>
              <w:spacing w:after="0"/>
              <w:rPr>
                <w:b/>
                <w:sz w:val="20"/>
              </w:rPr>
            </w:pPr>
            <w:r>
              <w:rPr>
                <w:b/>
              </w:rPr>
              <w:t>Equation/Business Rules</w:t>
            </w:r>
          </w:p>
        </w:tc>
      </w:tr>
      <w:tr w:rsidR="00075622" w14:paraId="2E275BE0" w14:textId="77777777" w:rsidTr="00B06A1D">
        <w:tc>
          <w:tcPr>
            <w:tcW w:w="3480" w:type="dxa"/>
            <w:shd w:val="clear" w:color="auto" w:fill="auto"/>
            <w:tcMar>
              <w:top w:w="100" w:type="dxa"/>
              <w:left w:w="100" w:type="dxa"/>
              <w:bottom w:w="100" w:type="dxa"/>
              <w:right w:w="100" w:type="dxa"/>
            </w:tcMar>
          </w:tcPr>
          <w:p w14:paraId="00D21E53" w14:textId="77777777" w:rsidR="00075622" w:rsidRDefault="00075622" w:rsidP="00B06A1D">
            <w:pPr>
              <w:widowControl w:val="0"/>
              <w:pBdr>
                <w:top w:val="nil"/>
                <w:left w:val="nil"/>
                <w:bottom w:val="nil"/>
                <w:right w:val="nil"/>
                <w:between w:val="nil"/>
              </w:pBdr>
              <w:spacing w:after="0"/>
              <w:rPr>
                <w:sz w:val="20"/>
              </w:rPr>
            </w:pPr>
            <w:r>
              <w:rPr>
                <w:sz w:val="20"/>
              </w:rPr>
              <w:t>Example Achievement Goal:</w:t>
            </w:r>
          </w:p>
          <w:p w14:paraId="17E207AF" w14:textId="77777777" w:rsidR="00075622" w:rsidRDefault="00075622" w:rsidP="00B06A1D">
            <w:pPr>
              <w:widowControl w:val="0"/>
              <w:pBdr>
                <w:top w:val="nil"/>
                <w:left w:val="nil"/>
                <w:bottom w:val="nil"/>
                <w:right w:val="nil"/>
                <w:between w:val="nil"/>
              </w:pBdr>
              <w:spacing w:after="0"/>
              <w:rPr>
                <w:sz w:val="20"/>
              </w:rPr>
            </w:pPr>
          </w:p>
          <w:p w14:paraId="554D7A86" w14:textId="2EAEC65B" w:rsidR="00075622" w:rsidRDefault="00075622" w:rsidP="00B06A1D">
            <w:pPr>
              <w:widowControl w:val="0"/>
              <w:pBdr>
                <w:top w:val="nil"/>
                <w:left w:val="nil"/>
                <w:bottom w:val="nil"/>
                <w:right w:val="nil"/>
                <w:between w:val="nil"/>
              </w:pBdr>
              <w:spacing w:after="0"/>
              <w:rPr>
                <w:sz w:val="20"/>
              </w:rPr>
            </w:pPr>
            <w:r>
              <w:rPr>
                <w:sz w:val="20"/>
              </w:rPr>
              <w:t>At least 90% of students who are enrolled for a full semester will meet their credit earning goal for the semester.</w:t>
            </w:r>
          </w:p>
        </w:tc>
        <w:tc>
          <w:tcPr>
            <w:tcW w:w="1680" w:type="dxa"/>
            <w:shd w:val="clear" w:color="auto" w:fill="auto"/>
            <w:tcMar>
              <w:top w:w="100" w:type="dxa"/>
              <w:left w:w="100" w:type="dxa"/>
              <w:bottom w:w="100" w:type="dxa"/>
              <w:right w:w="100" w:type="dxa"/>
            </w:tcMar>
          </w:tcPr>
          <w:p w14:paraId="186243A2" w14:textId="463FC04F" w:rsidR="00075622" w:rsidRDefault="00075622" w:rsidP="00B06A1D">
            <w:pPr>
              <w:widowControl w:val="0"/>
              <w:pBdr>
                <w:top w:val="nil"/>
                <w:left w:val="nil"/>
                <w:bottom w:val="nil"/>
                <w:right w:val="nil"/>
                <w:between w:val="nil"/>
              </w:pBdr>
              <w:spacing w:after="0"/>
              <w:rPr>
                <w:sz w:val="20"/>
              </w:rPr>
            </w:pPr>
            <w:r>
              <w:rPr>
                <w:sz w:val="20"/>
              </w:rPr>
              <w:t>Semester credit earning goa</w:t>
            </w:r>
            <w:r w:rsidR="00F962F1">
              <w:rPr>
                <w:sz w:val="20"/>
              </w:rPr>
              <w:t>l</w:t>
            </w:r>
            <w:r>
              <w:rPr>
                <w:sz w:val="20"/>
              </w:rPr>
              <w:t xml:space="preserve"> (assumes 24 credits needed for graduation)</w:t>
            </w:r>
            <w:r w:rsidR="0084037B">
              <w:rPr>
                <w:sz w:val="20"/>
              </w:rPr>
              <w:t>:</w:t>
            </w:r>
          </w:p>
          <w:p w14:paraId="0CC94AAA" w14:textId="77777777" w:rsidR="00075622" w:rsidRDefault="00075622" w:rsidP="00B06A1D">
            <w:pPr>
              <w:widowControl w:val="0"/>
              <w:pBdr>
                <w:top w:val="nil"/>
                <w:left w:val="nil"/>
                <w:bottom w:val="nil"/>
                <w:right w:val="nil"/>
                <w:between w:val="nil"/>
              </w:pBdr>
              <w:spacing w:after="0"/>
              <w:rPr>
                <w:sz w:val="20"/>
              </w:rPr>
            </w:pPr>
          </w:p>
          <w:p w14:paraId="214200B3" w14:textId="77777777" w:rsidR="00075622" w:rsidRDefault="00075622" w:rsidP="00B06A1D">
            <w:pPr>
              <w:widowControl w:val="0"/>
              <w:pBdr>
                <w:top w:val="nil"/>
                <w:left w:val="nil"/>
                <w:bottom w:val="nil"/>
                <w:right w:val="nil"/>
                <w:between w:val="nil"/>
              </w:pBdr>
              <w:spacing w:after="0"/>
              <w:rPr>
                <w:sz w:val="20"/>
              </w:rPr>
            </w:pPr>
            <w:r>
              <w:rPr>
                <w:sz w:val="20"/>
              </w:rPr>
              <w:t>at least 1</w:t>
            </w:r>
          </w:p>
          <w:p w14:paraId="7C219B8E" w14:textId="77777777" w:rsidR="00075622" w:rsidRDefault="00075622" w:rsidP="00B06A1D">
            <w:pPr>
              <w:widowControl w:val="0"/>
              <w:pBdr>
                <w:top w:val="nil"/>
                <w:left w:val="nil"/>
                <w:bottom w:val="nil"/>
                <w:right w:val="nil"/>
                <w:between w:val="nil"/>
              </w:pBdr>
              <w:spacing w:after="0"/>
              <w:jc w:val="center"/>
              <w:rPr>
                <w:sz w:val="20"/>
              </w:rPr>
            </w:pPr>
          </w:p>
        </w:tc>
        <w:tc>
          <w:tcPr>
            <w:tcW w:w="1680" w:type="dxa"/>
            <w:shd w:val="clear" w:color="auto" w:fill="auto"/>
            <w:tcMar>
              <w:top w:w="100" w:type="dxa"/>
              <w:left w:w="100" w:type="dxa"/>
              <w:bottom w:w="100" w:type="dxa"/>
              <w:right w:w="100" w:type="dxa"/>
            </w:tcMar>
          </w:tcPr>
          <w:p w14:paraId="30599032" w14:textId="53811A54" w:rsidR="00075622" w:rsidRDefault="00075622" w:rsidP="00B06A1D">
            <w:pPr>
              <w:widowControl w:val="0"/>
              <w:spacing w:after="0"/>
              <w:rPr>
                <w:sz w:val="20"/>
              </w:rPr>
            </w:pPr>
            <w:r>
              <w:rPr>
                <w:sz w:val="20"/>
              </w:rPr>
              <w:t>Semester credit earning goa</w:t>
            </w:r>
            <w:r w:rsidR="00F962F1">
              <w:rPr>
                <w:sz w:val="20"/>
              </w:rPr>
              <w:t>l</w:t>
            </w:r>
            <w:r>
              <w:rPr>
                <w:sz w:val="20"/>
              </w:rPr>
              <w:t xml:space="preserve"> (assumes 24 credits needed for graduation):</w:t>
            </w:r>
          </w:p>
          <w:p w14:paraId="76FDA082" w14:textId="77777777" w:rsidR="00075622" w:rsidRDefault="00075622" w:rsidP="00B06A1D">
            <w:pPr>
              <w:widowControl w:val="0"/>
              <w:spacing w:after="0"/>
              <w:rPr>
                <w:sz w:val="20"/>
              </w:rPr>
            </w:pPr>
          </w:p>
          <w:p w14:paraId="7B038CF7" w14:textId="77777777" w:rsidR="00075622" w:rsidRDefault="00075622" w:rsidP="00B06A1D">
            <w:pPr>
              <w:widowControl w:val="0"/>
              <w:spacing w:after="0"/>
              <w:rPr>
                <w:sz w:val="20"/>
              </w:rPr>
            </w:pPr>
            <w:r>
              <w:rPr>
                <w:sz w:val="20"/>
              </w:rPr>
              <w:t>at least 2</w:t>
            </w:r>
          </w:p>
        </w:tc>
        <w:tc>
          <w:tcPr>
            <w:tcW w:w="1575" w:type="dxa"/>
            <w:shd w:val="clear" w:color="auto" w:fill="auto"/>
            <w:tcMar>
              <w:top w:w="100" w:type="dxa"/>
              <w:left w:w="100" w:type="dxa"/>
              <w:bottom w:w="100" w:type="dxa"/>
              <w:right w:w="100" w:type="dxa"/>
            </w:tcMar>
          </w:tcPr>
          <w:p w14:paraId="5243D5BE" w14:textId="77777777" w:rsidR="00075622" w:rsidRDefault="00075622" w:rsidP="00B06A1D">
            <w:pPr>
              <w:widowControl w:val="0"/>
              <w:spacing w:after="0"/>
              <w:rPr>
                <w:sz w:val="20"/>
              </w:rPr>
            </w:pPr>
            <w:r>
              <w:rPr>
                <w:sz w:val="20"/>
              </w:rPr>
              <w:t>Semester credit earning goal (assumes 24 credits needed for graduation):</w:t>
            </w:r>
          </w:p>
          <w:p w14:paraId="0F6BB72A" w14:textId="77777777" w:rsidR="00075622" w:rsidRDefault="00075622" w:rsidP="00B06A1D">
            <w:pPr>
              <w:widowControl w:val="0"/>
              <w:spacing w:after="0"/>
              <w:rPr>
                <w:sz w:val="20"/>
              </w:rPr>
            </w:pPr>
          </w:p>
          <w:p w14:paraId="325E7145" w14:textId="77777777" w:rsidR="00075622" w:rsidRDefault="00075622" w:rsidP="00B06A1D">
            <w:pPr>
              <w:widowControl w:val="0"/>
              <w:spacing w:after="0"/>
              <w:rPr>
                <w:sz w:val="20"/>
              </w:rPr>
            </w:pPr>
            <w:r>
              <w:rPr>
                <w:sz w:val="20"/>
              </w:rPr>
              <w:t>at least 3</w:t>
            </w:r>
          </w:p>
        </w:tc>
        <w:tc>
          <w:tcPr>
            <w:tcW w:w="4545" w:type="dxa"/>
            <w:shd w:val="clear" w:color="auto" w:fill="auto"/>
            <w:tcMar>
              <w:top w:w="100" w:type="dxa"/>
              <w:left w:w="100" w:type="dxa"/>
              <w:bottom w:w="100" w:type="dxa"/>
              <w:right w:w="100" w:type="dxa"/>
            </w:tcMar>
          </w:tcPr>
          <w:p w14:paraId="6C2C2195" w14:textId="47E90B34" w:rsidR="00075622" w:rsidRDefault="00075622" w:rsidP="00B06A1D">
            <w:pPr>
              <w:widowControl w:val="0"/>
              <w:spacing w:after="0"/>
              <w:rPr>
                <w:sz w:val="20"/>
              </w:rPr>
            </w:pPr>
            <w:r>
              <w:rPr>
                <w:b/>
                <w:sz w:val="20"/>
              </w:rPr>
              <w:t xml:space="preserve">Numerator: </w:t>
            </w:r>
            <w:r>
              <w:rPr>
                <w:sz w:val="20"/>
              </w:rPr>
              <w:t xml:space="preserve"># of MC students who earned at least 1 credit in semester 1 [PLUS] # of PC students who earned at least 2 credits in semester 1 [PLUS] # of C students that earned at least 3 credits in semester 1 [PLUS] # of MC students who earned at least 1 credit in semester 2 [PLUS] # of PC students who earned at least 2 credits in semester 2 [PLUS] # of C students that earned at least 3 credits in semester 2 </w:t>
            </w:r>
          </w:p>
          <w:p w14:paraId="74112FD6" w14:textId="77777777" w:rsidR="00075622" w:rsidRDefault="00075622" w:rsidP="00B06A1D">
            <w:pPr>
              <w:widowControl w:val="0"/>
              <w:spacing w:after="0"/>
              <w:rPr>
                <w:sz w:val="20"/>
              </w:rPr>
            </w:pPr>
          </w:p>
          <w:p w14:paraId="5265155C" w14:textId="220AAC9D" w:rsidR="00075622" w:rsidRDefault="00075622" w:rsidP="00B06A1D">
            <w:pPr>
              <w:widowControl w:val="0"/>
              <w:spacing w:after="0"/>
              <w:rPr>
                <w:sz w:val="20"/>
              </w:rPr>
            </w:pPr>
            <w:r>
              <w:rPr>
                <w:b/>
                <w:sz w:val="20"/>
              </w:rPr>
              <w:t>Denominator</w:t>
            </w:r>
            <w:r>
              <w:rPr>
                <w:sz w:val="20"/>
              </w:rPr>
              <w:t xml:space="preserve">: # </w:t>
            </w:r>
            <w:r w:rsidR="0084037B">
              <w:rPr>
                <w:sz w:val="20"/>
              </w:rPr>
              <w:t xml:space="preserve">of </w:t>
            </w:r>
            <w:r>
              <w:rPr>
                <w:sz w:val="20"/>
              </w:rPr>
              <w:t xml:space="preserve">MC students enrolled for all of semester 1 [PLUS] # </w:t>
            </w:r>
            <w:r w:rsidR="0084037B">
              <w:rPr>
                <w:sz w:val="20"/>
              </w:rPr>
              <w:t xml:space="preserve">of </w:t>
            </w:r>
            <w:r>
              <w:rPr>
                <w:sz w:val="20"/>
              </w:rPr>
              <w:t>PC students enrolled for all of semester 1 [PLUS</w:t>
            </w:r>
            <w:r w:rsidR="006125E2">
              <w:rPr>
                <w:sz w:val="20"/>
              </w:rPr>
              <w:t>]</w:t>
            </w:r>
            <w:r>
              <w:rPr>
                <w:sz w:val="20"/>
              </w:rPr>
              <w:t>#</w:t>
            </w:r>
            <w:r w:rsidR="0084037B">
              <w:rPr>
                <w:sz w:val="20"/>
              </w:rPr>
              <w:t xml:space="preserve"> of</w:t>
            </w:r>
            <w:r>
              <w:rPr>
                <w:sz w:val="20"/>
              </w:rPr>
              <w:t xml:space="preserve"> C students enrolled for all of semester 1 [PLUS</w:t>
            </w:r>
            <w:r w:rsidR="006125E2">
              <w:rPr>
                <w:sz w:val="20"/>
              </w:rPr>
              <w:t>]</w:t>
            </w:r>
            <w:r>
              <w:rPr>
                <w:sz w:val="20"/>
              </w:rPr>
              <w:t xml:space="preserve"> # </w:t>
            </w:r>
            <w:r w:rsidR="0084037B">
              <w:rPr>
                <w:sz w:val="20"/>
              </w:rPr>
              <w:t xml:space="preserve">of </w:t>
            </w:r>
            <w:r>
              <w:rPr>
                <w:sz w:val="20"/>
              </w:rPr>
              <w:t xml:space="preserve">MC students enrolled for all of semester 2 [PLUS] # </w:t>
            </w:r>
            <w:r w:rsidR="0084037B">
              <w:rPr>
                <w:sz w:val="20"/>
              </w:rPr>
              <w:t xml:space="preserve">of </w:t>
            </w:r>
            <w:r>
              <w:rPr>
                <w:sz w:val="20"/>
              </w:rPr>
              <w:t>PC students enrolled for all of semester 2 [PLUS</w:t>
            </w:r>
            <w:r w:rsidR="006125E2">
              <w:rPr>
                <w:sz w:val="20"/>
              </w:rPr>
              <w:t>]</w:t>
            </w:r>
            <w:r>
              <w:rPr>
                <w:sz w:val="20"/>
              </w:rPr>
              <w:t xml:space="preserve"> # C </w:t>
            </w:r>
            <w:r w:rsidR="0084037B">
              <w:rPr>
                <w:sz w:val="20"/>
              </w:rPr>
              <w:t xml:space="preserve">of </w:t>
            </w:r>
            <w:r>
              <w:rPr>
                <w:sz w:val="20"/>
              </w:rPr>
              <w:t>students enrolled for all of semester 2</w:t>
            </w:r>
          </w:p>
          <w:p w14:paraId="0AF14490" w14:textId="77777777" w:rsidR="00075622" w:rsidRDefault="00075622" w:rsidP="00B06A1D">
            <w:pPr>
              <w:widowControl w:val="0"/>
              <w:spacing w:after="0"/>
              <w:rPr>
                <w:sz w:val="20"/>
              </w:rPr>
            </w:pPr>
          </w:p>
          <w:p w14:paraId="64E00F7E" w14:textId="77777777" w:rsidR="00075622" w:rsidRDefault="00075622" w:rsidP="00B06A1D">
            <w:pPr>
              <w:widowControl w:val="0"/>
              <w:spacing w:after="0"/>
              <w:rPr>
                <w:sz w:val="20"/>
              </w:rPr>
            </w:pPr>
            <w:r>
              <w:rPr>
                <w:b/>
                <w:sz w:val="20"/>
              </w:rPr>
              <w:t>Exclude</w:t>
            </w:r>
            <w:r>
              <w:rPr>
                <w:sz w:val="20"/>
              </w:rPr>
              <w:t xml:space="preserve">: </w:t>
            </w:r>
          </w:p>
          <w:p w14:paraId="02BF440C" w14:textId="77777777" w:rsidR="00075622" w:rsidRDefault="00075622" w:rsidP="00B06A1D">
            <w:pPr>
              <w:widowControl w:val="0"/>
              <w:spacing w:after="0"/>
              <w:rPr>
                <w:sz w:val="20"/>
              </w:rPr>
            </w:pPr>
            <w:r>
              <w:rPr>
                <w:sz w:val="20"/>
              </w:rPr>
              <w:t>Students enrolled for less than 80% of a semester</w:t>
            </w:r>
          </w:p>
          <w:p w14:paraId="7EA229B7" w14:textId="77777777" w:rsidR="00075622" w:rsidRDefault="00075622" w:rsidP="00B06A1D">
            <w:pPr>
              <w:widowControl w:val="0"/>
              <w:spacing w:after="0"/>
              <w:rPr>
                <w:sz w:val="20"/>
              </w:rPr>
            </w:pPr>
            <w:r>
              <w:rPr>
                <w:sz w:val="20"/>
              </w:rPr>
              <w:t>Students whose attendance/participation rate was 25% or less (based on schools approved attendance/participation policy)</w:t>
            </w:r>
          </w:p>
        </w:tc>
      </w:tr>
      <w:tr w:rsidR="00075622" w14:paraId="492C2A5F" w14:textId="77777777" w:rsidTr="00B06A1D">
        <w:trPr>
          <w:trHeight w:val="915"/>
        </w:trPr>
        <w:tc>
          <w:tcPr>
            <w:tcW w:w="3480" w:type="dxa"/>
            <w:shd w:val="clear" w:color="auto" w:fill="auto"/>
            <w:tcMar>
              <w:top w:w="100" w:type="dxa"/>
              <w:left w:w="100" w:type="dxa"/>
              <w:bottom w:w="100" w:type="dxa"/>
              <w:right w:w="100" w:type="dxa"/>
            </w:tcMar>
          </w:tcPr>
          <w:p w14:paraId="36FC7DA9" w14:textId="64C3AECE" w:rsidR="00075622" w:rsidRDefault="00075622" w:rsidP="00B06A1D">
            <w:pPr>
              <w:widowControl w:val="0"/>
              <w:pBdr>
                <w:top w:val="nil"/>
                <w:left w:val="nil"/>
                <w:bottom w:val="nil"/>
                <w:right w:val="nil"/>
                <w:between w:val="nil"/>
              </w:pBdr>
              <w:spacing w:after="0"/>
              <w:rPr>
                <w:sz w:val="20"/>
              </w:rPr>
            </w:pPr>
            <w:r>
              <w:rPr>
                <w:sz w:val="20"/>
              </w:rPr>
              <w:t>Example School Engagement Goal:</w:t>
            </w:r>
          </w:p>
          <w:p w14:paraId="0F6D9BB5" w14:textId="77777777" w:rsidR="00075622" w:rsidRDefault="00075622" w:rsidP="00B06A1D">
            <w:pPr>
              <w:widowControl w:val="0"/>
              <w:pBdr>
                <w:top w:val="nil"/>
                <w:left w:val="nil"/>
                <w:bottom w:val="nil"/>
                <w:right w:val="nil"/>
                <w:between w:val="nil"/>
              </w:pBdr>
              <w:spacing w:after="0"/>
              <w:rPr>
                <w:sz w:val="20"/>
              </w:rPr>
            </w:pPr>
          </w:p>
          <w:p w14:paraId="7AFB2406" w14:textId="43B54967" w:rsidR="00075622" w:rsidRDefault="00075622" w:rsidP="00B06A1D">
            <w:pPr>
              <w:widowControl w:val="0"/>
              <w:pBdr>
                <w:top w:val="nil"/>
                <w:left w:val="nil"/>
                <w:bottom w:val="nil"/>
                <w:right w:val="nil"/>
                <w:between w:val="nil"/>
              </w:pBdr>
              <w:spacing w:after="0"/>
              <w:rPr>
                <w:sz w:val="20"/>
              </w:rPr>
            </w:pPr>
            <w:r>
              <w:rPr>
                <w:sz w:val="20"/>
              </w:rPr>
              <w:t>Each semester, at least 90% of students will meet their attendance goal, as determined in their individual learning plan at the beginning of each semester</w:t>
            </w:r>
          </w:p>
        </w:tc>
        <w:tc>
          <w:tcPr>
            <w:tcW w:w="1680" w:type="dxa"/>
            <w:shd w:val="clear" w:color="auto" w:fill="auto"/>
            <w:tcMar>
              <w:top w:w="100" w:type="dxa"/>
              <w:left w:w="100" w:type="dxa"/>
              <w:bottom w:w="100" w:type="dxa"/>
              <w:right w:w="100" w:type="dxa"/>
            </w:tcMar>
          </w:tcPr>
          <w:p w14:paraId="0FA20001" w14:textId="1CCDBE73" w:rsidR="00075622" w:rsidRDefault="00075622" w:rsidP="00B06A1D">
            <w:pPr>
              <w:widowControl w:val="0"/>
              <w:pBdr>
                <w:top w:val="nil"/>
                <w:left w:val="nil"/>
                <w:bottom w:val="nil"/>
                <w:right w:val="nil"/>
                <w:between w:val="nil"/>
              </w:pBdr>
              <w:spacing w:after="0"/>
              <w:jc w:val="center"/>
              <w:rPr>
                <w:sz w:val="20"/>
              </w:rPr>
            </w:pPr>
            <w:r>
              <w:rPr>
                <w:sz w:val="20"/>
              </w:rPr>
              <w:t>Attendance</w:t>
            </w:r>
            <w:r w:rsidR="007C5277">
              <w:rPr>
                <w:sz w:val="20"/>
              </w:rPr>
              <w:t xml:space="preserve"> </w:t>
            </w:r>
            <w:r>
              <w:rPr>
                <w:sz w:val="20"/>
              </w:rPr>
              <w:t>goal:</w:t>
            </w:r>
          </w:p>
          <w:p w14:paraId="54E6E9B9" w14:textId="77777777" w:rsidR="00075622" w:rsidRDefault="00075622" w:rsidP="00B06A1D">
            <w:pPr>
              <w:widowControl w:val="0"/>
              <w:pBdr>
                <w:top w:val="nil"/>
                <w:left w:val="nil"/>
                <w:bottom w:val="nil"/>
                <w:right w:val="nil"/>
                <w:between w:val="nil"/>
              </w:pBdr>
              <w:spacing w:after="0"/>
              <w:jc w:val="center"/>
              <w:rPr>
                <w:sz w:val="20"/>
              </w:rPr>
            </w:pPr>
          </w:p>
          <w:p w14:paraId="39A1435C" w14:textId="77777777" w:rsidR="00075622" w:rsidRDefault="00075622" w:rsidP="00B06A1D">
            <w:pPr>
              <w:widowControl w:val="0"/>
              <w:pBdr>
                <w:top w:val="nil"/>
                <w:left w:val="nil"/>
                <w:bottom w:val="nil"/>
                <w:right w:val="nil"/>
                <w:between w:val="nil"/>
              </w:pBdr>
              <w:spacing w:after="0"/>
              <w:rPr>
                <w:sz w:val="20"/>
              </w:rPr>
            </w:pPr>
            <w:r>
              <w:rPr>
                <w:sz w:val="20"/>
              </w:rPr>
              <w:t>above 50%</w:t>
            </w:r>
          </w:p>
        </w:tc>
        <w:tc>
          <w:tcPr>
            <w:tcW w:w="1680" w:type="dxa"/>
            <w:shd w:val="clear" w:color="auto" w:fill="auto"/>
            <w:tcMar>
              <w:top w:w="100" w:type="dxa"/>
              <w:left w:w="100" w:type="dxa"/>
              <w:bottom w:w="100" w:type="dxa"/>
              <w:right w:w="100" w:type="dxa"/>
            </w:tcMar>
          </w:tcPr>
          <w:p w14:paraId="7AA20280" w14:textId="1C1006F0" w:rsidR="00075622" w:rsidRDefault="00075622" w:rsidP="00B06A1D">
            <w:pPr>
              <w:widowControl w:val="0"/>
              <w:spacing w:after="0"/>
              <w:jc w:val="center"/>
              <w:rPr>
                <w:sz w:val="20"/>
              </w:rPr>
            </w:pPr>
            <w:r>
              <w:rPr>
                <w:sz w:val="20"/>
              </w:rPr>
              <w:t>Attendance</w:t>
            </w:r>
            <w:r w:rsidR="007C5277">
              <w:rPr>
                <w:sz w:val="20"/>
              </w:rPr>
              <w:t xml:space="preserve"> </w:t>
            </w:r>
            <w:r>
              <w:rPr>
                <w:sz w:val="20"/>
              </w:rPr>
              <w:t>goal:</w:t>
            </w:r>
          </w:p>
          <w:p w14:paraId="3446DFC9" w14:textId="77777777" w:rsidR="00075622" w:rsidRDefault="00075622" w:rsidP="00B06A1D">
            <w:pPr>
              <w:widowControl w:val="0"/>
              <w:spacing w:after="0"/>
              <w:jc w:val="center"/>
              <w:rPr>
                <w:sz w:val="20"/>
              </w:rPr>
            </w:pPr>
          </w:p>
          <w:p w14:paraId="1E040274" w14:textId="77777777" w:rsidR="00075622" w:rsidRDefault="00075622" w:rsidP="00B06A1D">
            <w:pPr>
              <w:widowControl w:val="0"/>
              <w:spacing w:after="0"/>
              <w:rPr>
                <w:sz w:val="20"/>
              </w:rPr>
            </w:pPr>
            <w:r>
              <w:rPr>
                <w:sz w:val="20"/>
              </w:rPr>
              <w:t>above 69%</w:t>
            </w:r>
          </w:p>
        </w:tc>
        <w:tc>
          <w:tcPr>
            <w:tcW w:w="1575" w:type="dxa"/>
            <w:shd w:val="clear" w:color="auto" w:fill="auto"/>
            <w:tcMar>
              <w:top w:w="100" w:type="dxa"/>
              <w:left w:w="100" w:type="dxa"/>
              <w:bottom w:w="100" w:type="dxa"/>
              <w:right w:w="100" w:type="dxa"/>
            </w:tcMar>
          </w:tcPr>
          <w:p w14:paraId="1ADEED37" w14:textId="1F3DDC36" w:rsidR="00075622" w:rsidRDefault="00075622" w:rsidP="00DC5B08">
            <w:pPr>
              <w:widowControl w:val="0"/>
              <w:spacing w:after="0"/>
              <w:rPr>
                <w:sz w:val="20"/>
              </w:rPr>
            </w:pPr>
            <w:r>
              <w:rPr>
                <w:sz w:val="20"/>
              </w:rPr>
              <w:t>Attendance</w:t>
            </w:r>
            <w:r w:rsidR="007C5277">
              <w:rPr>
                <w:sz w:val="20"/>
              </w:rPr>
              <w:t xml:space="preserve"> </w:t>
            </w:r>
            <w:r w:rsidR="00DC5B08">
              <w:rPr>
                <w:sz w:val="20"/>
              </w:rPr>
              <w:t>g</w:t>
            </w:r>
            <w:r>
              <w:rPr>
                <w:sz w:val="20"/>
              </w:rPr>
              <w:t>oal:</w:t>
            </w:r>
          </w:p>
          <w:p w14:paraId="753F1EFC" w14:textId="77777777" w:rsidR="00075622" w:rsidRDefault="00075622" w:rsidP="00B06A1D">
            <w:pPr>
              <w:widowControl w:val="0"/>
              <w:spacing w:after="0"/>
              <w:jc w:val="center"/>
              <w:rPr>
                <w:sz w:val="20"/>
              </w:rPr>
            </w:pPr>
          </w:p>
          <w:p w14:paraId="119498BE" w14:textId="77777777" w:rsidR="00075622" w:rsidRDefault="00075622" w:rsidP="00B06A1D">
            <w:pPr>
              <w:widowControl w:val="0"/>
              <w:spacing w:after="0"/>
              <w:rPr>
                <w:sz w:val="20"/>
              </w:rPr>
            </w:pPr>
            <w:r>
              <w:rPr>
                <w:sz w:val="20"/>
              </w:rPr>
              <w:t>Maintain 70% or above</w:t>
            </w:r>
          </w:p>
        </w:tc>
        <w:tc>
          <w:tcPr>
            <w:tcW w:w="4545" w:type="dxa"/>
            <w:shd w:val="clear" w:color="auto" w:fill="auto"/>
            <w:tcMar>
              <w:top w:w="100" w:type="dxa"/>
              <w:left w:w="100" w:type="dxa"/>
              <w:bottom w:w="100" w:type="dxa"/>
              <w:right w:w="100" w:type="dxa"/>
            </w:tcMar>
          </w:tcPr>
          <w:p w14:paraId="0CB479C8" w14:textId="5259A4BB" w:rsidR="00075622" w:rsidRDefault="00075622" w:rsidP="00B06A1D">
            <w:pPr>
              <w:widowControl w:val="0"/>
              <w:spacing w:after="0"/>
              <w:rPr>
                <w:sz w:val="20"/>
              </w:rPr>
            </w:pPr>
            <w:r>
              <w:rPr>
                <w:b/>
                <w:sz w:val="20"/>
              </w:rPr>
              <w:t>Numerator</w:t>
            </w:r>
            <w:r>
              <w:rPr>
                <w:sz w:val="20"/>
              </w:rPr>
              <w:t>: # MC students who attended more than 50% of semester 1 [PLUS} # PC students who attended more than 69% of semester 1 [PLUS] # C students who attended at least 70% of semester 1 [PLUS] # MC students who attended more than 50% of semester 2 [PLUS} # PC students who attended more than 69% of semester 2 [PLUS] # C students who attended at least 70% of semester 2</w:t>
            </w:r>
          </w:p>
          <w:p w14:paraId="02B0AF73" w14:textId="66B22CE7" w:rsidR="00075622" w:rsidRDefault="00075622" w:rsidP="00B06A1D">
            <w:pPr>
              <w:widowControl w:val="0"/>
              <w:spacing w:after="0"/>
              <w:rPr>
                <w:sz w:val="20"/>
              </w:rPr>
            </w:pPr>
            <w:r>
              <w:rPr>
                <w:b/>
                <w:sz w:val="20"/>
              </w:rPr>
              <w:lastRenderedPageBreak/>
              <w:t>Denominator</w:t>
            </w:r>
            <w:r>
              <w:rPr>
                <w:sz w:val="20"/>
              </w:rPr>
              <w:t>: # MC students enrolled semester 1 [PLUS] # PC students enrolled semester 1 [PLUS} # C students enrolled semester 1 [PLUS} # MC students enrolled semester 2 [PLUS] # PC students enrolled semester 2 [PLUS} # C students enrolled semester 2</w:t>
            </w:r>
          </w:p>
          <w:p w14:paraId="4F476E52" w14:textId="77777777" w:rsidR="00075622" w:rsidRDefault="00075622" w:rsidP="00B06A1D">
            <w:pPr>
              <w:widowControl w:val="0"/>
              <w:spacing w:after="0"/>
              <w:rPr>
                <w:sz w:val="20"/>
              </w:rPr>
            </w:pPr>
          </w:p>
          <w:p w14:paraId="02602BB1" w14:textId="77777777" w:rsidR="00075622" w:rsidRDefault="00075622" w:rsidP="00B06A1D">
            <w:pPr>
              <w:widowControl w:val="0"/>
              <w:spacing w:after="0"/>
              <w:rPr>
                <w:sz w:val="20"/>
              </w:rPr>
            </w:pPr>
            <w:r>
              <w:rPr>
                <w:b/>
                <w:sz w:val="20"/>
              </w:rPr>
              <w:t>Exclude:</w:t>
            </w:r>
            <w:r>
              <w:rPr>
                <w:sz w:val="20"/>
              </w:rPr>
              <w:t xml:space="preserve"> </w:t>
            </w:r>
          </w:p>
          <w:p w14:paraId="3E78DEFF" w14:textId="77777777" w:rsidR="00075622" w:rsidRDefault="00075622" w:rsidP="00B06A1D">
            <w:pPr>
              <w:widowControl w:val="0"/>
              <w:spacing w:after="0"/>
              <w:rPr>
                <w:sz w:val="20"/>
              </w:rPr>
            </w:pPr>
            <w:r>
              <w:rPr>
                <w:sz w:val="20"/>
              </w:rPr>
              <w:t>Students who enrolled but never attended the school</w:t>
            </w:r>
          </w:p>
          <w:p w14:paraId="3E0FB13C" w14:textId="77777777" w:rsidR="00075622" w:rsidRDefault="00075622" w:rsidP="00B06A1D">
            <w:pPr>
              <w:widowControl w:val="0"/>
              <w:spacing w:after="0"/>
              <w:rPr>
                <w:sz w:val="20"/>
              </w:rPr>
            </w:pPr>
          </w:p>
          <w:p w14:paraId="7B0F180B" w14:textId="15D97BB1" w:rsidR="00075622" w:rsidRDefault="00075622" w:rsidP="00B06A1D">
            <w:pPr>
              <w:widowControl w:val="0"/>
              <w:spacing w:after="0"/>
              <w:rPr>
                <w:sz w:val="20"/>
              </w:rPr>
            </w:pPr>
            <w:r>
              <w:rPr>
                <w:b/>
                <w:sz w:val="20"/>
              </w:rPr>
              <w:t>Note:</w:t>
            </w:r>
            <w:r>
              <w:rPr>
                <w:sz w:val="20"/>
              </w:rPr>
              <w:t xml:space="preserve"> attendance rates can be used for students who were enrolled for partial semesters.</w:t>
            </w:r>
          </w:p>
          <w:p w14:paraId="0D1A689E" w14:textId="77777777" w:rsidR="00075622" w:rsidRDefault="00075622" w:rsidP="00B06A1D">
            <w:pPr>
              <w:widowControl w:val="0"/>
              <w:spacing w:after="0"/>
              <w:rPr>
                <w:b/>
                <w:sz w:val="20"/>
              </w:rPr>
            </w:pPr>
          </w:p>
        </w:tc>
      </w:tr>
    </w:tbl>
    <w:p w14:paraId="7E50E79B" w14:textId="77777777" w:rsidR="00075622" w:rsidRDefault="00075622" w:rsidP="005364BD"/>
    <w:p w14:paraId="31E928DC" w14:textId="58D1484D" w:rsidR="00452330" w:rsidRPr="005364BD" w:rsidRDefault="00452330" w:rsidP="005364BD"/>
    <w:sectPr w:rsidR="00452330" w:rsidRPr="005364BD" w:rsidSect="004337E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01359" w14:textId="77777777" w:rsidR="00FD3C52" w:rsidRDefault="00FD3C52" w:rsidP="00F0784E">
      <w:pPr>
        <w:spacing w:after="0"/>
      </w:pPr>
      <w:r>
        <w:separator/>
      </w:r>
    </w:p>
  </w:endnote>
  <w:endnote w:type="continuationSeparator" w:id="0">
    <w:p w14:paraId="0E97306E" w14:textId="77777777" w:rsidR="00FD3C52" w:rsidRDefault="00FD3C52" w:rsidP="00F0784E">
      <w:pPr>
        <w:spacing w:after="0"/>
      </w:pPr>
      <w:r>
        <w:continuationSeparator/>
      </w:r>
    </w:p>
  </w:endnote>
  <w:endnote w:type="continuationNotice" w:id="1">
    <w:p w14:paraId="2B7A8D02" w14:textId="77777777" w:rsidR="00FD3C52" w:rsidRDefault="00FD3C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EB44" w14:textId="77777777" w:rsidR="00452330" w:rsidRDefault="00452330" w:rsidP="00596E4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706B" w14:textId="2859CE92" w:rsidR="00452330" w:rsidRDefault="00452330" w:rsidP="00452330">
    <w:pPr>
      <w:pStyle w:val="Footer"/>
      <w:tabs>
        <w:tab w:val="left" w:pos="7545"/>
      </w:tabs>
    </w:pPr>
    <w:r>
      <w:t>Massachusetts Department of Elementary and Secondary Education</w:t>
    </w:r>
    <w:r>
      <w:tab/>
    </w:r>
    <w:r>
      <w:tab/>
    </w:r>
    <w:r w:rsidR="005661B1">
      <w:tab/>
    </w:r>
    <w:r w:rsidR="005661B1">
      <w:tab/>
    </w:r>
    <w:r w:rsidR="005661B1">
      <w:tab/>
    </w:r>
    <w:r w:rsidR="005661B1">
      <w:tab/>
    </w:r>
    <w:r w:rsidR="001367E1">
      <w:t xml:space="preserve">Page </w:t>
    </w:r>
    <w:sdt>
      <w:sdtPr>
        <w:id w:val="-1521609796"/>
        <w:docPartObj>
          <w:docPartGallery w:val="Page Numbers (Bottom of Page)"/>
          <w:docPartUnique/>
        </w:docPartObj>
      </w:sdtPr>
      <w:sdtEndPr>
        <w:rPr>
          <w:noProof/>
        </w:rPr>
      </w:sdtEndPr>
      <w:sdtContent>
        <w:r w:rsidR="001367E1">
          <w:fldChar w:fldCharType="begin"/>
        </w:r>
        <w:r w:rsidR="001367E1">
          <w:instrText xml:space="preserve"> PAGE   \* MERGEFORMAT </w:instrText>
        </w:r>
        <w:r w:rsidR="001367E1">
          <w:fldChar w:fldCharType="separate"/>
        </w:r>
        <w:r w:rsidR="001367E1">
          <w:t>2</w:t>
        </w:r>
        <w:r w:rsidR="001367E1">
          <w:rPr>
            <w:noProof/>
          </w:rP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711B0" w14:textId="77777777" w:rsidR="00FD3C52" w:rsidRDefault="00FD3C52" w:rsidP="00F0784E">
      <w:pPr>
        <w:spacing w:after="0"/>
      </w:pPr>
      <w:r>
        <w:separator/>
      </w:r>
    </w:p>
  </w:footnote>
  <w:footnote w:type="continuationSeparator" w:id="0">
    <w:p w14:paraId="5A8AC5AD" w14:textId="77777777" w:rsidR="00FD3C52" w:rsidRDefault="00FD3C52" w:rsidP="00F0784E">
      <w:pPr>
        <w:spacing w:after="0"/>
      </w:pPr>
      <w:r>
        <w:continuationSeparator/>
      </w:r>
    </w:p>
  </w:footnote>
  <w:footnote w:type="continuationNotice" w:id="1">
    <w:p w14:paraId="438778C0" w14:textId="77777777" w:rsidR="00FD3C52" w:rsidRDefault="00FD3C52">
      <w:pPr>
        <w:spacing w:after="0"/>
      </w:pPr>
    </w:p>
  </w:footnote>
  <w:footnote w:id="2">
    <w:p w14:paraId="75B1A6F0" w14:textId="11DCEB78" w:rsidR="00452330" w:rsidRDefault="00452330" w:rsidP="00B9721B">
      <w:pPr>
        <w:pStyle w:val="FootnoteText"/>
      </w:pPr>
      <w:r>
        <w:rPr>
          <w:rStyle w:val="FootnoteReference"/>
        </w:rPr>
        <w:footnoteRef/>
      </w:r>
      <w:r>
        <w:t xml:space="preserve"> In the event that a school believes that the statewide accountability indicators are not fully representative of student performance at the school, the Department may review additional valid and reliable data demonstrating the progress the school has made in demonstrating academic progress</w:t>
      </w:r>
      <w:r w:rsidR="00403E03">
        <w:t xml:space="preserve">. The most compelling evidence </w:t>
      </w:r>
      <w:r w:rsidR="000D7DCD">
        <w:t xml:space="preserve">will point to consistent performance improvements over the charter term. </w:t>
      </w:r>
      <w:r>
        <w:t xml:space="preserve">In addition, while the Department will consider other assessment data as supplementary evidence for a school’s performance, it will not supplant state assessment results with other assessment results. The charter school may supply additional sources of data to support the Department’s review of proven provider and/or charter school expansion requests. </w:t>
      </w:r>
    </w:p>
  </w:footnote>
  <w:footnote w:id="3">
    <w:p w14:paraId="6B1C2084" w14:textId="0D1413B0" w:rsidR="00833C3B" w:rsidRDefault="00833C3B">
      <w:pPr>
        <w:pStyle w:val="FootnoteText"/>
      </w:pPr>
      <w:r>
        <w:rPr>
          <w:rStyle w:val="FootnoteReference"/>
        </w:rPr>
        <w:footnoteRef/>
      </w:r>
      <w:r>
        <w:t xml:space="preserve"> </w:t>
      </w:r>
      <w:r w:rsidR="006A7B3C">
        <w:t xml:space="preserve">A student’s attendance record during the current school year is a stronger indicator of a student’s engagement phase than a student’s attendance record from the previous school year. </w:t>
      </w:r>
    </w:p>
  </w:footnote>
  <w:footnote w:id="4">
    <w:p w14:paraId="6C21D5FD" w14:textId="77E72CED" w:rsidR="00CB6CB3" w:rsidRDefault="00CB6CB3">
      <w:pPr>
        <w:pStyle w:val="FootnoteText"/>
      </w:pPr>
      <w:r>
        <w:rPr>
          <w:rStyle w:val="FootnoteReference"/>
        </w:rPr>
        <w:footnoteRef/>
      </w:r>
      <w:r>
        <w:t xml:space="preserve"> Touch points </w:t>
      </w:r>
      <w:r w:rsidR="008D168B">
        <w:t>include</w:t>
      </w:r>
      <w:r>
        <w:t xml:space="preserve"> in-class attendance; completed or attempted assignments, assessment, and/or courses; </w:t>
      </w:r>
      <w:r w:rsidR="008C29F6">
        <w:t>studen</w:t>
      </w:r>
      <w:r w:rsidR="001463D6">
        <w:t xml:space="preserve">t-initiated </w:t>
      </w:r>
      <w:r>
        <w:t xml:space="preserve">counselor </w:t>
      </w:r>
      <w:r w:rsidR="001463D6">
        <w:t xml:space="preserve">or teacher </w:t>
      </w:r>
      <w:r>
        <w:t xml:space="preserve">contacts; attending work or internships; </w:t>
      </w:r>
      <w:r w:rsidR="00985375">
        <w:t xml:space="preserve">and </w:t>
      </w:r>
      <w:r>
        <w:t>attending appointments with partner organizations</w:t>
      </w:r>
      <w:r w:rsidR="00985375">
        <w:t xml:space="preserve"> or wraparound services. </w:t>
      </w:r>
    </w:p>
  </w:footnote>
  <w:footnote w:id="5">
    <w:p w14:paraId="75A3ED75" w14:textId="7F040F2D" w:rsidR="004F06BC" w:rsidRDefault="004F06BC">
      <w:pPr>
        <w:pStyle w:val="FootnoteText"/>
      </w:pPr>
      <w:r>
        <w:rPr>
          <w:rStyle w:val="FootnoteReference"/>
        </w:rPr>
        <w:footnoteRef/>
      </w:r>
      <w:r>
        <w:t xml:space="preserve"> Obligations and circumstances outside of school include current or prior court involvement, including adjudication; documented need to work to support family; homelessness or housing insecurity; pregnant and/or parenting teen/young adult; food insecurity and/or lacks access to basic life necessities (i.e., student identified in the low-income group); current or prior drug or alcohol abuse or concerns; current or prior foster care placement/Department of Children and Families (DCF) custody; documented current or prior victim of in-person or cyber bullying; prior undiagnosed learning disability; social-emotional Individualized Educational Plan (IEP); immigration status (undocumented)/ refugees; child of a teen parent; affidavit from a qualified clinical staff or mental health professional or mental health concerns; and students with limited or interrupted education (SLIFE). If the school determined to recognize an obligation and/or circumstance that is not listed here, then the Department will validate the obligation and/or circumstance with a reasonable explanation.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58D33" w14:textId="1B4DA070" w:rsidR="00452330" w:rsidRDefault="00452330" w:rsidP="00567DA8">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4390" w14:textId="65A8B9E1" w:rsidR="00452330" w:rsidRDefault="00452330" w:rsidP="00567DA8">
    <w:pPr>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52B7"/>
    <w:multiLevelType w:val="hybridMultilevel"/>
    <w:tmpl w:val="498A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084D"/>
    <w:multiLevelType w:val="hybridMultilevel"/>
    <w:tmpl w:val="8022050E"/>
    <w:lvl w:ilvl="0" w:tplc="643E2910">
      <w:start w:val="1"/>
      <w:numFmt w:val="bullet"/>
      <w:pStyle w:val="Figurelistbullet"/>
      <w:lvlText w:val=""/>
      <w:lvlJc w:val="left"/>
      <w:pPr>
        <w:ind w:left="7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A04A68"/>
    <w:multiLevelType w:val="hybridMultilevel"/>
    <w:tmpl w:val="1CC643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24264"/>
    <w:multiLevelType w:val="hybridMultilevel"/>
    <w:tmpl w:val="51E4E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D763C9"/>
    <w:multiLevelType w:val="hybridMultilevel"/>
    <w:tmpl w:val="A57E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F4923"/>
    <w:multiLevelType w:val="hybridMultilevel"/>
    <w:tmpl w:val="F6C8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13B36"/>
    <w:multiLevelType w:val="hybridMultilevel"/>
    <w:tmpl w:val="70306B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D0E36"/>
    <w:multiLevelType w:val="hybridMultilevel"/>
    <w:tmpl w:val="2FB49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A44973"/>
    <w:multiLevelType w:val="hybridMultilevel"/>
    <w:tmpl w:val="6DEEC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F03652"/>
    <w:multiLevelType w:val="hybridMultilevel"/>
    <w:tmpl w:val="5940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E0E3C"/>
    <w:multiLevelType w:val="hybridMultilevel"/>
    <w:tmpl w:val="B054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00B82"/>
    <w:multiLevelType w:val="hybridMultilevel"/>
    <w:tmpl w:val="36466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B3343"/>
    <w:multiLevelType w:val="hybridMultilevel"/>
    <w:tmpl w:val="C39CB8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A56618"/>
    <w:multiLevelType w:val="hybridMultilevel"/>
    <w:tmpl w:val="C6648236"/>
    <w:lvl w:ilvl="0" w:tplc="D0562DE0">
      <w:start w:val="1"/>
      <w:numFmt w:val="bullet"/>
      <w:pStyle w:val="Listbulletintented2"/>
      <w:lvlText w:val=""/>
      <w:lvlJc w:val="left"/>
      <w:pPr>
        <w:ind w:left="1440" w:hanging="360"/>
      </w:pPr>
      <w:rPr>
        <w:rFonts w:ascii="Symbol" w:hAnsi="Symbol" w:hint="default"/>
        <w:b w:val="0"/>
        <w:bCs w:val="0"/>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4" w15:restartNumberingAfterBreak="0">
    <w:nsid w:val="31C1727B"/>
    <w:multiLevelType w:val="hybridMultilevel"/>
    <w:tmpl w:val="54FE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C02FC"/>
    <w:multiLevelType w:val="hybridMultilevel"/>
    <w:tmpl w:val="57DE4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9172D5"/>
    <w:multiLevelType w:val="hybridMultilevel"/>
    <w:tmpl w:val="CC48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43845"/>
    <w:multiLevelType w:val="hybridMultilevel"/>
    <w:tmpl w:val="F92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D8D0E8A"/>
    <w:multiLevelType w:val="hybridMultilevel"/>
    <w:tmpl w:val="184ECCEE"/>
    <w:lvl w:ilvl="0" w:tplc="605AF060">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A276C"/>
    <w:multiLevelType w:val="hybridMultilevel"/>
    <w:tmpl w:val="D12AAFE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727D3"/>
    <w:multiLevelType w:val="hybridMultilevel"/>
    <w:tmpl w:val="7540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32D26"/>
    <w:multiLevelType w:val="hybridMultilevel"/>
    <w:tmpl w:val="B3BA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E0728"/>
    <w:multiLevelType w:val="hybridMultilevel"/>
    <w:tmpl w:val="DB386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C11FD"/>
    <w:multiLevelType w:val="hybridMultilevel"/>
    <w:tmpl w:val="78328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B3A13"/>
    <w:multiLevelType w:val="hybridMultilevel"/>
    <w:tmpl w:val="793C5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4B1CBF"/>
    <w:multiLevelType w:val="hybridMultilevel"/>
    <w:tmpl w:val="9B22F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22145"/>
    <w:multiLevelType w:val="hybridMultilevel"/>
    <w:tmpl w:val="DA44237C"/>
    <w:lvl w:ilvl="0" w:tplc="0890D56C">
      <w:start w:val="1"/>
      <w:numFmt w:val="decimalZero"/>
      <w:pStyle w:val="BodyTextIndent"/>
      <w:lvlText w:val="DOE0%1"/>
      <w:lvlJc w:val="left"/>
      <w:pPr>
        <w:tabs>
          <w:tab w:val="num" w:pos="1080"/>
        </w:tabs>
        <w:ind w:left="0" w:firstLine="0"/>
      </w:pPr>
      <w:rPr>
        <w:rFonts w:hint="default"/>
      </w:rPr>
    </w:lvl>
    <w:lvl w:ilvl="1" w:tplc="04090019">
      <w:start w:val="1"/>
      <w:numFmt w:val="lowerLetter"/>
      <w:lvlText w:val="%2."/>
      <w:lvlJc w:val="left"/>
      <w:pPr>
        <w:tabs>
          <w:tab w:val="num" w:pos="1440"/>
        </w:tabs>
        <w:ind w:left="1440" w:hanging="360"/>
      </w:pPr>
    </w:lvl>
    <w:lvl w:ilvl="2" w:tplc="FA8C8AC8">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766E20"/>
    <w:multiLevelType w:val="hybridMultilevel"/>
    <w:tmpl w:val="3F54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744BE"/>
    <w:multiLevelType w:val="hybridMultilevel"/>
    <w:tmpl w:val="2A0E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16C18"/>
    <w:multiLevelType w:val="hybridMultilevel"/>
    <w:tmpl w:val="7BDC2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815333"/>
    <w:multiLevelType w:val="hybridMultilevel"/>
    <w:tmpl w:val="D520A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860B3"/>
    <w:multiLevelType w:val="hybridMultilevel"/>
    <w:tmpl w:val="B74E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71D43"/>
    <w:multiLevelType w:val="hybridMultilevel"/>
    <w:tmpl w:val="B610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95222"/>
    <w:multiLevelType w:val="hybridMultilevel"/>
    <w:tmpl w:val="91E0D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74779"/>
    <w:multiLevelType w:val="hybridMultilevel"/>
    <w:tmpl w:val="DD1C02B8"/>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254F65"/>
    <w:multiLevelType w:val="hybridMultilevel"/>
    <w:tmpl w:val="5A4CA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9047DE"/>
    <w:multiLevelType w:val="hybridMultilevel"/>
    <w:tmpl w:val="9446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BF5EEF"/>
    <w:multiLevelType w:val="hybridMultilevel"/>
    <w:tmpl w:val="A3707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339D3"/>
    <w:multiLevelType w:val="hybridMultilevel"/>
    <w:tmpl w:val="2B9A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CB33F8"/>
    <w:multiLevelType w:val="hybridMultilevel"/>
    <w:tmpl w:val="DA8A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61BB2"/>
    <w:multiLevelType w:val="hybridMultilevel"/>
    <w:tmpl w:val="59B4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37C1A"/>
    <w:multiLevelType w:val="hybridMultilevel"/>
    <w:tmpl w:val="98324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A52FF"/>
    <w:multiLevelType w:val="hybridMultilevel"/>
    <w:tmpl w:val="B218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074291">
    <w:abstractNumId w:val="27"/>
  </w:num>
  <w:num w:numId="2" w16cid:durableId="5446055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0635226">
    <w:abstractNumId w:val="18"/>
  </w:num>
  <w:num w:numId="4" w16cid:durableId="1996182114">
    <w:abstractNumId w:val="19"/>
  </w:num>
  <w:num w:numId="5" w16cid:durableId="1326284071">
    <w:abstractNumId w:val="1"/>
  </w:num>
  <w:num w:numId="6" w16cid:durableId="1242057568">
    <w:abstractNumId w:val="5"/>
  </w:num>
  <w:num w:numId="7" w16cid:durableId="1134560702">
    <w:abstractNumId w:val="14"/>
  </w:num>
  <w:num w:numId="8" w16cid:durableId="2054497231">
    <w:abstractNumId w:val="25"/>
  </w:num>
  <w:num w:numId="9" w16cid:durableId="1014302172">
    <w:abstractNumId w:val="26"/>
  </w:num>
  <w:num w:numId="10" w16cid:durableId="620461426">
    <w:abstractNumId w:val="33"/>
  </w:num>
  <w:num w:numId="11" w16cid:durableId="731151060">
    <w:abstractNumId w:val="40"/>
  </w:num>
  <w:num w:numId="12" w16cid:durableId="815344212">
    <w:abstractNumId w:val="43"/>
  </w:num>
  <w:num w:numId="13" w16cid:durableId="134600">
    <w:abstractNumId w:val="41"/>
  </w:num>
  <w:num w:numId="14" w16cid:durableId="1883790459">
    <w:abstractNumId w:val="4"/>
  </w:num>
  <w:num w:numId="15" w16cid:durableId="1565332284">
    <w:abstractNumId w:val="0"/>
  </w:num>
  <w:num w:numId="16" w16cid:durableId="1720544875">
    <w:abstractNumId w:val="29"/>
  </w:num>
  <w:num w:numId="17" w16cid:durableId="1856455671">
    <w:abstractNumId w:val="9"/>
  </w:num>
  <w:num w:numId="18" w16cid:durableId="691496624">
    <w:abstractNumId w:val="17"/>
  </w:num>
  <w:num w:numId="19" w16cid:durableId="1545673026">
    <w:abstractNumId w:val="28"/>
  </w:num>
  <w:num w:numId="20" w16cid:durableId="1827016569">
    <w:abstractNumId w:val="32"/>
  </w:num>
  <w:num w:numId="21" w16cid:durableId="2017146338">
    <w:abstractNumId w:val="10"/>
  </w:num>
  <w:num w:numId="22" w16cid:durableId="353776021">
    <w:abstractNumId w:val="16"/>
  </w:num>
  <w:num w:numId="23" w16cid:durableId="253590098">
    <w:abstractNumId w:val="22"/>
  </w:num>
  <w:num w:numId="24" w16cid:durableId="1497382370">
    <w:abstractNumId w:val="13"/>
  </w:num>
  <w:num w:numId="25" w16cid:durableId="8678829">
    <w:abstractNumId w:val="38"/>
  </w:num>
  <w:num w:numId="26" w16cid:durableId="755134289">
    <w:abstractNumId w:val="11"/>
  </w:num>
  <w:num w:numId="27" w16cid:durableId="109781700">
    <w:abstractNumId w:val="23"/>
  </w:num>
  <w:num w:numId="28" w16cid:durableId="159658221">
    <w:abstractNumId w:val="30"/>
  </w:num>
  <w:num w:numId="29" w16cid:durableId="292054013">
    <w:abstractNumId w:val="24"/>
  </w:num>
  <w:num w:numId="30" w16cid:durableId="1498502227">
    <w:abstractNumId w:val="42"/>
  </w:num>
  <w:num w:numId="31" w16cid:durableId="610549662">
    <w:abstractNumId w:val="20"/>
  </w:num>
  <w:num w:numId="32" w16cid:durableId="1949703420">
    <w:abstractNumId w:val="21"/>
  </w:num>
  <w:num w:numId="33" w16cid:durableId="2076201902">
    <w:abstractNumId w:val="39"/>
  </w:num>
  <w:num w:numId="34" w16cid:durableId="1616593479">
    <w:abstractNumId w:val="12"/>
  </w:num>
  <w:num w:numId="35" w16cid:durableId="1909532627">
    <w:abstractNumId w:val="37"/>
  </w:num>
  <w:num w:numId="36" w16cid:durableId="304119025">
    <w:abstractNumId w:val="7"/>
  </w:num>
  <w:num w:numId="37" w16cid:durableId="1608268333">
    <w:abstractNumId w:val="8"/>
  </w:num>
  <w:num w:numId="38" w16cid:durableId="988021932">
    <w:abstractNumId w:val="15"/>
  </w:num>
  <w:num w:numId="39" w16cid:durableId="2067946820">
    <w:abstractNumId w:val="3"/>
  </w:num>
  <w:num w:numId="40" w16cid:durableId="1028683099">
    <w:abstractNumId w:val="36"/>
  </w:num>
  <w:num w:numId="41" w16cid:durableId="542056257">
    <w:abstractNumId w:val="31"/>
  </w:num>
  <w:num w:numId="42" w16cid:durableId="1456365900">
    <w:abstractNumId w:val="2"/>
  </w:num>
  <w:num w:numId="43" w16cid:durableId="498346733">
    <w:abstractNumId w:val="34"/>
  </w:num>
  <w:num w:numId="44" w16cid:durableId="1535655275">
    <w:abstractNumId w:val="6"/>
  </w:num>
  <w:num w:numId="45" w16cid:durableId="1294747131">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5D"/>
    <w:rsid w:val="00000C06"/>
    <w:rsid w:val="000016D3"/>
    <w:rsid w:val="000028E5"/>
    <w:rsid w:val="000033BF"/>
    <w:rsid w:val="000037B8"/>
    <w:rsid w:val="00004312"/>
    <w:rsid w:val="0000505D"/>
    <w:rsid w:val="0000554C"/>
    <w:rsid w:val="00006070"/>
    <w:rsid w:val="000067E9"/>
    <w:rsid w:val="000078A5"/>
    <w:rsid w:val="000104DA"/>
    <w:rsid w:val="00010807"/>
    <w:rsid w:val="000121C9"/>
    <w:rsid w:val="00012A33"/>
    <w:rsid w:val="00013220"/>
    <w:rsid w:val="000134A6"/>
    <w:rsid w:val="00013B67"/>
    <w:rsid w:val="00013CA5"/>
    <w:rsid w:val="00014EB7"/>
    <w:rsid w:val="00016638"/>
    <w:rsid w:val="00016B98"/>
    <w:rsid w:val="00016C79"/>
    <w:rsid w:val="00017178"/>
    <w:rsid w:val="0001764E"/>
    <w:rsid w:val="00017718"/>
    <w:rsid w:val="00017D32"/>
    <w:rsid w:val="00020251"/>
    <w:rsid w:val="00020253"/>
    <w:rsid w:val="0002072B"/>
    <w:rsid w:val="00020D13"/>
    <w:rsid w:val="00020E05"/>
    <w:rsid w:val="00021553"/>
    <w:rsid w:val="0002209D"/>
    <w:rsid w:val="00022230"/>
    <w:rsid w:val="0002296C"/>
    <w:rsid w:val="00023854"/>
    <w:rsid w:val="00024926"/>
    <w:rsid w:val="000253AA"/>
    <w:rsid w:val="000259F9"/>
    <w:rsid w:val="00025A15"/>
    <w:rsid w:val="00026AF8"/>
    <w:rsid w:val="00027EC4"/>
    <w:rsid w:val="000309AA"/>
    <w:rsid w:val="00030EFA"/>
    <w:rsid w:val="0003187C"/>
    <w:rsid w:val="00032944"/>
    <w:rsid w:val="00032BA2"/>
    <w:rsid w:val="00032F92"/>
    <w:rsid w:val="0003351C"/>
    <w:rsid w:val="00033B11"/>
    <w:rsid w:val="00033B51"/>
    <w:rsid w:val="00033E83"/>
    <w:rsid w:val="00033ECC"/>
    <w:rsid w:val="00033FA7"/>
    <w:rsid w:val="00034EAA"/>
    <w:rsid w:val="00035A53"/>
    <w:rsid w:val="00035D78"/>
    <w:rsid w:val="000361E9"/>
    <w:rsid w:val="00036A82"/>
    <w:rsid w:val="00036D71"/>
    <w:rsid w:val="00037ED4"/>
    <w:rsid w:val="00040B12"/>
    <w:rsid w:val="00040D51"/>
    <w:rsid w:val="00041DA9"/>
    <w:rsid w:val="0004255C"/>
    <w:rsid w:val="00045BAD"/>
    <w:rsid w:val="00047220"/>
    <w:rsid w:val="00047CE1"/>
    <w:rsid w:val="00050025"/>
    <w:rsid w:val="00051142"/>
    <w:rsid w:val="00051196"/>
    <w:rsid w:val="00052B2A"/>
    <w:rsid w:val="0005320D"/>
    <w:rsid w:val="00054285"/>
    <w:rsid w:val="00055517"/>
    <w:rsid w:val="00055585"/>
    <w:rsid w:val="000606A6"/>
    <w:rsid w:val="000607B5"/>
    <w:rsid w:val="0006160A"/>
    <w:rsid w:val="0006196D"/>
    <w:rsid w:val="0006323A"/>
    <w:rsid w:val="00063D24"/>
    <w:rsid w:val="0006547C"/>
    <w:rsid w:val="000656FA"/>
    <w:rsid w:val="00065F70"/>
    <w:rsid w:val="00066D90"/>
    <w:rsid w:val="0007089F"/>
    <w:rsid w:val="00071786"/>
    <w:rsid w:val="00072475"/>
    <w:rsid w:val="000730F3"/>
    <w:rsid w:val="00073C21"/>
    <w:rsid w:val="00073DF6"/>
    <w:rsid w:val="0007451E"/>
    <w:rsid w:val="00074CD5"/>
    <w:rsid w:val="00075622"/>
    <w:rsid w:val="00075665"/>
    <w:rsid w:val="000756D9"/>
    <w:rsid w:val="000757FB"/>
    <w:rsid w:val="00075F4D"/>
    <w:rsid w:val="00076387"/>
    <w:rsid w:val="00077424"/>
    <w:rsid w:val="000776F3"/>
    <w:rsid w:val="0008062C"/>
    <w:rsid w:val="00080AE6"/>
    <w:rsid w:val="000816EA"/>
    <w:rsid w:val="00081956"/>
    <w:rsid w:val="00081979"/>
    <w:rsid w:val="00081F02"/>
    <w:rsid w:val="00082824"/>
    <w:rsid w:val="000833A7"/>
    <w:rsid w:val="000844AF"/>
    <w:rsid w:val="00084F03"/>
    <w:rsid w:val="00086589"/>
    <w:rsid w:val="00086718"/>
    <w:rsid w:val="00087BFD"/>
    <w:rsid w:val="00090FAA"/>
    <w:rsid w:val="00091C70"/>
    <w:rsid w:val="00091EA6"/>
    <w:rsid w:val="00092C59"/>
    <w:rsid w:val="00092D7B"/>
    <w:rsid w:val="00092E63"/>
    <w:rsid w:val="00093283"/>
    <w:rsid w:val="000935C1"/>
    <w:rsid w:val="00094207"/>
    <w:rsid w:val="000958A1"/>
    <w:rsid w:val="00095905"/>
    <w:rsid w:val="00095E3A"/>
    <w:rsid w:val="000963FA"/>
    <w:rsid w:val="00097DDE"/>
    <w:rsid w:val="00097F03"/>
    <w:rsid w:val="000A0D4A"/>
    <w:rsid w:val="000A1962"/>
    <w:rsid w:val="000A4476"/>
    <w:rsid w:val="000A45CF"/>
    <w:rsid w:val="000A4C32"/>
    <w:rsid w:val="000A4DFC"/>
    <w:rsid w:val="000A5661"/>
    <w:rsid w:val="000A67B6"/>
    <w:rsid w:val="000A6D7D"/>
    <w:rsid w:val="000A6DCA"/>
    <w:rsid w:val="000B1B7C"/>
    <w:rsid w:val="000B2E43"/>
    <w:rsid w:val="000B3D19"/>
    <w:rsid w:val="000B4CB2"/>
    <w:rsid w:val="000B5BDA"/>
    <w:rsid w:val="000B6299"/>
    <w:rsid w:val="000B6793"/>
    <w:rsid w:val="000B73D3"/>
    <w:rsid w:val="000C0966"/>
    <w:rsid w:val="000C119F"/>
    <w:rsid w:val="000C1D68"/>
    <w:rsid w:val="000C20D2"/>
    <w:rsid w:val="000C2644"/>
    <w:rsid w:val="000C2838"/>
    <w:rsid w:val="000C28CD"/>
    <w:rsid w:val="000C28F8"/>
    <w:rsid w:val="000C303A"/>
    <w:rsid w:val="000C3082"/>
    <w:rsid w:val="000C353B"/>
    <w:rsid w:val="000C3E84"/>
    <w:rsid w:val="000C4781"/>
    <w:rsid w:val="000C63F0"/>
    <w:rsid w:val="000C6497"/>
    <w:rsid w:val="000C6E06"/>
    <w:rsid w:val="000C727B"/>
    <w:rsid w:val="000C7288"/>
    <w:rsid w:val="000C73CD"/>
    <w:rsid w:val="000D059C"/>
    <w:rsid w:val="000D1A9C"/>
    <w:rsid w:val="000D249A"/>
    <w:rsid w:val="000D319C"/>
    <w:rsid w:val="000D35A7"/>
    <w:rsid w:val="000D368B"/>
    <w:rsid w:val="000D3E66"/>
    <w:rsid w:val="000D4452"/>
    <w:rsid w:val="000D5277"/>
    <w:rsid w:val="000D5AF3"/>
    <w:rsid w:val="000D6581"/>
    <w:rsid w:val="000D662E"/>
    <w:rsid w:val="000D6FE8"/>
    <w:rsid w:val="000D7446"/>
    <w:rsid w:val="000D7D4A"/>
    <w:rsid w:val="000D7DCD"/>
    <w:rsid w:val="000D7F22"/>
    <w:rsid w:val="000E1715"/>
    <w:rsid w:val="000E1AE4"/>
    <w:rsid w:val="000E383A"/>
    <w:rsid w:val="000E3F92"/>
    <w:rsid w:val="000E4A3E"/>
    <w:rsid w:val="000E4CA9"/>
    <w:rsid w:val="000E52D6"/>
    <w:rsid w:val="000E5B31"/>
    <w:rsid w:val="000E64BE"/>
    <w:rsid w:val="000E7450"/>
    <w:rsid w:val="000E749E"/>
    <w:rsid w:val="000E7760"/>
    <w:rsid w:val="000F068B"/>
    <w:rsid w:val="000F0A25"/>
    <w:rsid w:val="000F14CD"/>
    <w:rsid w:val="000F1ADF"/>
    <w:rsid w:val="000F1BAA"/>
    <w:rsid w:val="000F2A31"/>
    <w:rsid w:val="000F2C47"/>
    <w:rsid w:val="000F3934"/>
    <w:rsid w:val="000F3A5A"/>
    <w:rsid w:val="000F3A62"/>
    <w:rsid w:val="000F3EA0"/>
    <w:rsid w:val="000F4982"/>
    <w:rsid w:val="000F4BEA"/>
    <w:rsid w:val="000F4CFA"/>
    <w:rsid w:val="000F5138"/>
    <w:rsid w:val="000F729C"/>
    <w:rsid w:val="00101849"/>
    <w:rsid w:val="00101C05"/>
    <w:rsid w:val="00101C51"/>
    <w:rsid w:val="00103FD4"/>
    <w:rsid w:val="0010537D"/>
    <w:rsid w:val="00105E56"/>
    <w:rsid w:val="0010647F"/>
    <w:rsid w:val="001066F3"/>
    <w:rsid w:val="00107A4D"/>
    <w:rsid w:val="00110682"/>
    <w:rsid w:val="001113BF"/>
    <w:rsid w:val="00111980"/>
    <w:rsid w:val="00111CB0"/>
    <w:rsid w:val="0011217E"/>
    <w:rsid w:val="001127FA"/>
    <w:rsid w:val="00113289"/>
    <w:rsid w:val="00113674"/>
    <w:rsid w:val="00113AD5"/>
    <w:rsid w:val="00113DF0"/>
    <w:rsid w:val="00114EBF"/>
    <w:rsid w:val="001151C1"/>
    <w:rsid w:val="00115204"/>
    <w:rsid w:val="00116990"/>
    <w:rsid w:val="00117892"/>
    <w:rsid w:val="00117969"/>
    <w:rsid w:val="001209ED"/>
    <w:rsid w:val="00121087"/>
    <w:rsid w:val="0012160E"/>
    <w:rsid w:val="00121C6E"/>
    <w:rsid w:val="00122DD5"/>
    <w:rsid w:val="00123D6D"/>
    <w:rsid w:val="00124034"/>
    <w:rsid w:val="0012430D"/>
    <w:rsid w:val="00124D9B"/>
    <w:rsid w:val="001258CC"/>
    <w:rsid w:val="00126430"/>
    <w:rsid w:val="001267CA"/>
    <w:rsid w:val="00126A5F"/>
    <w:rsid w:val="00126C26"/>
    <w:rsid w:val="0012712F"/>
    <w:rsid w:val="001314C0"/>
    <w:rsid w:val="00131674"/>
    <w:rsid w:val="00131710"/>
    <w:rsid w:val="00134586"/>
    <w:rsid w:val="00135A8D"/>
    <w:rsid w:val="00135DD2"/>
    <w:rsid w:val="001367E1"/>
    <w:rsid w:val="00136874"/>
    <w:rsid w:val="00137943"/>
    <w:rsid w:val="001429F5"/>
    <w:rsid w:val="001439EA"/>
    <w:rsid w:val="00145795"/>
    <w:rsid w:val="001457B6"/>
    <w:rsid w:val="001463D6"/>
    <w:rsid w:val="0014745F"/>
    <w:rsid w:val="00151C87"/>
    <w:rsid w:val="00151D3F"/>
    <w:rsid w:val="0015219F"/>
    <w:rsid w:val="0015222D"/>
    <w:rsid w:val="00152AC8"/>
    <w:rsid w:val="001530A9"/>
    <w:rsid w:val="001538CB"/>
    <w:rsid w:val="001548E1"/>
    <w:rsid w:val="001553EC"/>
    <w:rsid w:val="001559AB"/>
    <w:rsid w:val="00155B03"/>
    <w:rsid w:val="00156ABF"/>
    <w:rsid w:val="00156F72"/>
    <w:rsid w:val="00161113"/>
    <w:rsid w:val="001632FF"/>
    <w:rsid w:val="00165828"/>
    <w:rsid w:val="00165CAA"/>
    <w:rsid w:val="00165ED8"/>
    <w:rsid w:val="001665BC"/>
    <w:rsid w:val="00166E13"/>
    <w:rsid w:val="00167654"/>
    <w:rsid w:val="0016789F"/>
    <w:rsid w:val="0017076F"/>
    <w:rsid w:val="001707FA"/>
    <w:rsid w:val="0017089D"/>
    <w:rsid w:val="00170AC4"/>
    <w:rsid w:val="00170EF9"/>
    <w:rsid w:val="001711F7"/>
    <w:rsid w:val="00171813"/>
    <w:rsid w:val="00172931"/>
    <w:rsid w:val="00172CD1"/>
    <w:rsid w:val="00173DE9"/>
    <w:rsid w:val="00174735"/>
    <w:rsid w:val="001747A8"/>
    <w:rsid w:val="00174CCE"/>
    <w:rsid w:val="00175343"/>
    <w:rsid w:val="00175394"/>
    <w:rsid w:val="001768DD"/>
    <w:rsid w:val="00176AB5"/>
    <w:rsid w:val="00176B4E"/>
    <w:rsid w:val="001771B8"/>
    <w:rsid w:val="00177A5C"/>
    <w:rsid w:val="001805B5"/>
    <w:rsid w:val="0018109D"/>
    <w:rsid w:val="001810F3"/>
    <w:rsid w:val="00181165"/>
    <w:rsid w:val="00181350"/>
    <w:rsid w:val="00181CFD"/>
    <w:rsid w:val="00183FFE"/>
    <w:rsid w:val="00184662"/>
    <w:rsid w:val="0018466D"/>
    <w:rsid w:val="00185F08"/>
    <w:rsid w:val="00186E0C"/>
    <w:rsid w:val="001871B2"/>
    <w:rsid w:val="00187734"/>
    <w:rsid w:val="00187EA1"/>
    <w:rsid w:val="001908CD"/>
    <w:rsid w:val="00190F4E"/>
    <w:rsid w:val="001912CC"/>
    <w:rsid w:val="001925D1"/>
    <w:rsid w:val="00194682"/>
    <w:rsid w:val="001954CE"/>
    <w:rsid w:val="001959C6"/>
    <w:rsid w:val="00195A60"/>
    <w:rsid w:val="00196250"/>
    <w:rsid w:val="001A0681"/>
    <w:rsid w:val="001A4A97"/>
    <w:rsid w:val="001A5555"/>
    <w:rsid w:val="001A5641"/>
    <w:rsid w:val="001A7A18"/>
    <w:rsid w:val="001A7AA1"/>
    <w:rsid w:val="001B057E"/>
    <w:rsid w:val="001B0F91"/>
    <w:rsid w:val="001B107D"/>
    <w:rsid w:val="001B2359"/>
    <w:rsid w:val="001B2677"/>
    <w:rsid w:val="001B2FCD"/>
    <w:rsid w:val="001B33AF"/>
    <w:rsid w:val="001B41AC"/>
    <w:rsid w:val="001B4732"/>
    <w:rsid w:val="001B4F38"/>
    <w:rsid w:val="001B529C"/>
    <w:rsid w:val="001B5831"/>
    <w:rsid w:val="001B5872"/>
    <w:rsid w:val="001B6F12"/>
    <w:rsid w:val="001B6F3B"/>
    <w:rsid w:val="001B7FB1"/>
    <w:rsid w:val="001C07C2"/>
    <w:rsid w:val="001C0BCF"/>
    <w:rsid w:val="001C0BDB"/>
    <w:rsid w:val="001C0D3C"/>
    <w:rsid w:val="001C21BD"/>
    <w:rsid w:val="001C2568"/>
    <w:rsid w:val="001C33F9"/>
    <w:rsid w:val="001C3851"/>
    <w:rsid w:val="001C4495"/>
    <w:rsid w:val="001C47C3"/>
    <w:rsid w:val="001C48C8"/>
    <w:rsid w:val="001C4993"/>
    <w:rsid w:val="001C4DD9"/>
    <w:rsid w:val="001C526A"/>
    <w:rsid w:val="001C5E01"/>
    <w:rsid w:val="001C6029"/>
    <w:rsid w:val="001C6C46"/>
    <w:rsid w:val="001C7467"/>
    <w:rsid w:val="001D071F"/>
    <w:rsid w:val="001D0994"/>
    <w:rsid w:val="001D0A5C"/>
    <w:rsid w:val="001D155D"/>
    <w:rsid w:val="001D173D"/>
    <w:rsid w:val="001D2F8F"/>
    <w:rsid w:val="001D3098"/>
    <w:rsid w:val="001D44F6"/>
    <w:rsid w:val="001D48DC"/>
    <w:rsid w:val="001D6ABD"/>
    <w:rsid w:val="001D6EF9"/>
    <w:rsid w:val="001D7B46"/>
    <w:rsid w:val="001E0966"/>
    <w:rsid w:val="001E1C26"/>
    <w:rsid w:val="001E20F3"/>
    <w:rsid w:val="001E282C"/>
    <w:rsid w:val="001E2BAD"/>
    <w:rsid w:val="001E3E35"/>
    <w:rsid w:val="001E47E7"/>
    <w:rsid w:val="001E484E"/>
    <w:rsid w:val="001E5159"/>
    <w:rsid w:val="001E624C"/>
    <w:rsid w:val="001E6B69"/>
    <w:rsid w:val="001F0CB5"/>
    <w:rsid w:val="001F1D32"/>
    <w:rsid w:val="001F2EF5"/>
    <w:rsid w:val="001F4483"/>
    <w:rsid w:val="001F4965"/>
    <w:rsid w:val="001F4A3B"/>
    <w:rsid w:val="001F5726"/>
    <w:rsid w:val="001F5C61"/>
    <w:rsid w:val="001F6C1A"/>
    <w:rsid w:val="001F70E6"/>
    <w:rsid w:val="001F77DC"/>
    <w:rsid w:val="00200399"/>
    <w:rsid w:val="002027DB"/>
    <w:rsid w:val="00202C8B"/>
    <w:rsid w:val="00205690"/>
    <w:rsid w:val="00206AF0"/>
    <w:rsid w:val="00210D7A"/>
    <w:rsid w:val="00211A47"/>
    <w:rsid w:val="00211B25"/>
    <w:rsid w:val="00211BFD"/>
    <w:rsid w:val="00211DC2"/>
    <w:rsid w:val="00211EBF"/>
    <w:rsid w:val="002123F8"/>
    <w:rsid w:val="002125C5"/>
    <w:rsid w:val="002126D8"/>
    <w:rsid w:val="00213C91"/>
    <w:rsid w:val="00214601"/>
    <w:rsid w:val="00214D5C"/>
    <w:rsid w:val="00214F62"/>
    <w:rsid w:val="00217721"/>
    <w:rsid w:val="0021783C"/>
    <w:rsid w:val="0022000F"/>
    <w:rsid w:val="002205DE"/>
    <w:rsid w:val="002206AF"/>
    <w:rsid w:val="00221C57"/>
    <w:rsid w:val="0022228F"/>
    <w:rsid w:val="0022259A"/>
    <w:rsid w:val="00223132"/>
    <w:rsid w:val="0022342C"/>
    <w:rsid w:val="00223866"/>
    <w:rsid w:val="00224368"/>
    <w:rsid w:val="00224F8A"/>
    <w:rsid w:val="00226935"/>
    <w:rsid w:val="00227B21"/>
    <w:rsid w:val="00227C95"/>
    <w:rsid w:val="00230364"/>
    <w:rsid w:val="00230A18"/>
    <w:rsid w:val="0023104D"/>
    <w:rsid w:val="0023148F"/>
    <w:rsid w:val="00231765"/>
    <w:rsid w:val="00231F7C"/>
    <w:rsid w:val="0023362D"/>
    <w:rsid w:val="00234413"/>
    <w:rsid w:val="00235FAC"/>
    <w:rsid w:val="00235FBD"/>
    <w:rsid w:val="00235FDF"/>
    <w:rsid w:val="00236158"/>
    <w:rsid w:val="002369DC"/>
    <w:rsid w:val="00241CF2"/>
    <w:rsid w:val="002442EE"/>
    <w:rsid w:val="00244A1D"/>
    <w:rsid w:val="002453BB"/>
    <w:rsid w:val="0024657B"/>
    <w:rsid w:val="0024726F"/>
    <w:rsid w:val="00247DDC"/>
    <w:rsid w:val="0025034E"/>
    <w:rsid w:val="00250B10"/>
    <w:rsid w:val="00250E7E"/>
    <w:rsid w:val="002529F7"/>
    <w:rsid w:val="00252F19"/>
    <w:rsid w:val="002543DA"/>
    <w:rsid w:val="002546C0"/>
    <w:rsid w:val="002561BC"/>
    <w:rsid w:val="00256383"/>
    <w:rsid w:val="002567CB"/>
    <w:rsid w:val="00262103"/>
    <w:rsid w:val="00262A71"/>
    <w:rsid w:val="00263B47"/>
    <w:rsid w:val="00263FEF"/>
    <w:rsid w:val="00264DA1"/>
    <w:rsid w:val="0026594A"/>
    <w:rsid w:val="00266165"/>
    <w:rsid w:val="00266331"/>
    <w:rsid w:val="002669BA"/>
    <w:rsid w:val="00266AA3"/>
    <w:rsid w:val="00266BBA"/>
    <w:rsid w:val="00267A5F"/>
    <w:rsid w:val="00267C9A"/>
    <w:rsid w:val="00267F41"/>
    <w:rsid w:val="00270579"/>
    <w:rsid w:val="0027219D"/>
    <w:rsid w:val="002728A2"/>
    <w:rsid w:val="00272CAD"/>
    <w:rsid w:val="00272CED"/>
    <w:rsid w:val="002730D1"/>
    <w:rsid w:val="0027313A"/>
    <w:rsid w:val="00273E98"/>
    <w:rsid w:val="002742AF"/>
    <w:rsid w:val="0027715B"/>
    <w:rsid w:val="00280CB5"/>
    <w:rsid w:val="00283220"/>
    <w:rsid w:val="00283AA5"/>
    <w:rsid w:val="002856E0"/>
    <w:rsid w:val="00286A1A"/>
    <w:rsid w:val="00287532"/>
    <w:rsid w:val="00287CA4"/>
    <w:rsid w:val="00294430"/>
    <w:rsid w:val="002975CE"/>
    <w:rsid w:val="002977E5"/>
    <w:rsid w:val="00297D32"/>
    <w:rsid w:val="002A06CE"/>
    <w:rsid w:val="002A0BBB"/>
    <w:rsid w:val="002A1C88"/>
    <w:rsid w:val="002A2D04"/>
    <w:rsid w:val="002A362A"/>
    <w:rsid w:val="002A419B"/>
    <w:rsid w:val="002A4918"/>
    <w:rsid w:val="002A5629"/>
    <w:rsid w:val="002A5B42"/>
    <w:rsid w:val="002A730C"/>
    <w:rsid w:val="002A7843"/>
    <w:rsid w:val="002B079D"/>
    <w:rsid w:val="002B09BF"/>
    <w:rsid w:val="002B0E48"/>
    <w:rsid w:val="002B1AE6"/>
    <w:rsid w:val="002B1DE5"/>
    <w:rsid w:val="002B2DBC"/>
    <w:rsid w:val="002B4396"/>
    <w:rsid w:val="002B538B"/>
    <w:rsid w:val="002B53D4"/>
    <w:rsid w:val="002B7A11"/>
    <w:rsid w:val="002B7BDF"/>
    <w:rsid w:val="002B7C5D"/>
    <w:rsid w:val="002C0069"/>
    <w:rsid w:val="002C0AD2"/>
    <w:rsid w:val="002C0B80"/>
    <w:rsid w:val="002C0F4D"/>
    <w:rsid w:val="002C1136"/>
    <w:rsid w:val="002C1312"/>
    <w:rsid w:val="002C2C83"/>
    <w:rsid w:val="002C3421"/>
    <w:rsid w:val="002C375A"/>
    <w:rsid w:val="002C3C1C"/>
    <w:rsid w:val="002C5D43"/>
    <w:rsid w:val="002C5F2E"/>
    <w:rsid w:val="002C7179"/>
    <w:rsid w:val="002C71FB"/>
    <w:rsid w:val="002D01CA"/>
    <w:rsid w:val="002D0208"/>
    <w:rsid w:val="002D051E"/>
    <w:rsid w:val="002D0D1F"/>
    <w:rsid w:val="002D1A59"/>
    <w:rsid w:val="002D236A"/>
    <w:rsid w:val="002D3E31"/>
    <w:rsid w:val="002D4CE7"/>
    <w:rsid w:val="002D50AE"/>
    <w:rsid w:val="002D5474"/>
    <w:rsid w:val="002D5708"/>
    <w:rsid w:val="002D60A4"/>
    <w:rsid w:val="002D6DB9"/>
    <w:rsid w:val="002D708F"/>
    <w:rsid w:val="002E09B9"/>
    <w:rsid w:val="002E0F30"/>
    <w:rsid w:val="002E152C"/>
    <w:rsid w:val="002E1958"/>
    <w:rsid w:val="002E256F"/>
    <w:rsid w:val="002E28BD"/>
    <w:rsid w:val="002E2A9E"/>
    <w:rsid w:val="002E33B4"/>
    <w:rsid w:val="002E3CE7"/>
    <w:rsid w:val="002E48BB"/>
    <w:rsid w:val="002E55E8"/>
    <w:rsid w:val="002E64C1"/>
    <w:rsid w:val="002E7CAF"/>
    <w:rsid w:val="002E7EC3"/>
    <w:rsid w:val="002F130E"/>
    <w:rsid w:val="002F1793"/>
    <w:rsid w:val="002F2189"/>
    <w:rsid w:val="002F235A"/>
    <w:rsid w:val="002F30A6"/>
    <w:rsid w:val="002F4815"/>
    <w:rsid w:val="002F51A8"/>
    <w:rsid w:val="002F5A50"/>
    <w:rsid w:val="002F5CF0"/>
    <w:rsid w:val="002F5FEA"/>
    <w:rsid w:val="002F6DBA"/>
    <w:rsid w:val="002F6FBE"/>
    <w:rsid w:val="002F7387"/>
    <w:rsid w:val="002F7660"/>
    <w:rsid w:val="00300FAD"/>
    <w:rsid w:val="00301049"/>
    <w:rsid w:val="003020D8"/>
    <w:rsid w:val="00303146"/>
    <w:rsid w:val="00305689"/>
    <w:rsid w:val="00306575"/>
    <w:rsid w:val="003070DD"/>
    <w:rsid w:val="00307478"/>
    <w:rsid w:val="00307577"/>
    <w:rsid w:val="00311E3A"/>
    <w:rsid w:val="00312A89"/>
    <w:rsid w:val="00312B04"/>
    <w:rsid w:val="003139DC"/>
    <w:rsid w:val="003142F8"/>
    <w:rsid w:val="0031434C"/>
    <w:rsid w:val="0031466F"/>
    <w:rsid w:val="00314F19"/>
    <w:rsid w:val="00317AD5"/>
    <w:rsid w:val="003201F4"/>
    <w:rsid w:val="003206FD"/>
    <w:rsid w:val="0032082F"/>
    <w:rsid w:val="00323196"/>
    <w:rsid w:val="0032323E"/>
    <w:rsid w:val="00323739"/>
    <w:rsid w:val="00325AC4"/>
    <w:rsid w:val="00327384"/>
    <w:rsid w:val="003278FC"/>
    <w:rsid w:val="00327FA4"/>
    <w:rsid w:val="0033061E"/>
    <w:rsid w:val="00330B05"/>
    <w:rsid w:val="0033120B"/>
    <w:rsid w:val="00331463"/>
    <w:rsid w:val="00333977"/>
    <w:rsid w:val="003348DB"/>
    <w:rsid w:val="00335380"/>
    <w:rsid w:val="0033550E"/>
    <w:rsid w:val="00335705"/>
    <w:rsid w:val="00336A1F"/>
    <w:rsid w:val="003404D3"/>
    <w:rsid w:val="0034109F"/>
    <w:rsid w:val="00341C8D"/>
    <w:rsid w:val="0034225A"/>
    <w:rsid w:val="00343A9C"/>
    <w:rsid w:val="003440D0"/>
    <w:rsid w:val="0034497B"/>
    <w:rsid w:val="00345026"/>
    <w:rsid w:val="003459C2"/>
    <w:rsid w:val="00346D0B"/>
    <w:rsid w:val="00347217"/>
    <w:rsid w:val="00347374"/>
    <w:rsid w:val="003478D3"/>
    <w:rsid w:val="00347B8D"/>
    <w:rsid w:val="003509E0"/>
    <w:rsid w:val="00350B0E"/>
    <w:rsid w:val="0035248C"/>
    <w:rsid w:val="00353013"/>
    <w:rsid w:val="00355865"/>
    <w:rsid w:val="003564F8"/>
    <w:rsid w:val="0035658B"/>
    <w:rsid w:val="003565CE"/>
    <w:rsid w:val="003572B4"/>
    <w:rsid w:val="003572EB"/>
    <w:rsid w:val="00357D2D"/>
    <w:rsid w:val="003610C1"/>
    <w:rsid w:val="00361F05"/>
    <w:rsid w:val="00362E98"/>
    <w:rsid w:val="003631F8"/>
    <w:rsid w:val="00363CE4"/>
    <w:rsid w:val="00364478"/>
    <w:rsid w:val="00364D9E"/>
    <w:rsid w:val="00365177"/>
    <w:rsid w:val="0036641B"/>
    <w:rsid w:val="0036681C"/>
    <w:rsid w:val="003672C9"/>
    <w:rsid w:val="00367B08"/>
    <w:rsid w:val="00370CA1"/>
    <w:rsid w:val="00370D35"/>
    <w:rsid w:val="00372F93"/>
    <w:rsid w:val="00374C1C"/>
    <w:rsid w:val="00376493"/>
    <w:rsid w:val="00376901"/>
    <w:rsid w:val="0037741E"/>
    <w:rsid w:val="00380BAE"/>
    <w:rsid w:val="00381280"/>
    <w:rsid w:val="00382F5A"/>
    <w:rsid w:val="00383290"/>
    <w:rsid w:val="003835BF"/>
    <w:rsid w:val="003839FF"/>
    <w:rsid w:val="003841D9"/>
    <w:rsid w:val="00384B85"/>
    <w:rsid w:val="003856D0"/>
    <w:rsid w:val="00385D42"/>
    <w:rsid w:val="0038750D"/>
    <w:rsid w:val="00387DD6"/>
    <w:rsid w:val="00387FD8"/>
    <w:rsid w:val="00390EC8"/>
    <w:rsid w:val="003918E2"/>
    <w:rsid w:val="00391BC5"/>
    <w:rsid w:val="00393195"/>
    <w:rsid w:val="00393760"/>
    <w:rsid w:val="00393E94"/>
    <w:rsid w:val="00394A87"/>
    <w:rsid w:val="003957C7"/>
    <w:rsid w:val="00395EC9"/>
    <w:rsid w:val="003960CD"/>
    <w:rsid w:val="003A2093"/>
    <w:rsid w:val="003A21EA"/>
    <w:rsid w:val="003A23E6"/>
    <w:rsid w:val="003A316A"/>
    <w:rsid w:val="003A3BFF"/>
    <w:rsid w:val="003A482F"/>
    <w:rsid w:val="003A4902"/>
    <w:rsid w:val="003A5148"/>
    <w:rsid w:val="003A57DB"/>
    <w:rsid w:val="003A5AC4"/>
    <w:rsid w:val="003A5DAD"/>
    <w:rsid w:val="003A63FC"/>
    <w:rsid w:val="003B05EA"/>
    <w:rsid w:val="003B09CC"/>
    <w:rsid w:val="003B1526"/>
    <w:rsid w:val="003B28FF"/>
    <w:rsid w:val="003B4A6D"/>
    <w:rsid w:val="003B4EC9"/>
    <w:rsid w:val="003B622D"/>
    <w:rsid w:val="003B6B3E"/>
    <w:rsid w:val="003B729A"/>
    <w:rsid w:val="003B7C8E"/>
    <w:rsid w:val="003C0620"/>
    <w:rsid w:val="003C1164"/>
    <w:rsid w:val="003C20E6"/>
    <w:rsid w:val="003C281B"/>
    <w:rsid w:val="003C293B"/>
    <w:rsid w:val="003C2D1F"/>
    <w:rsid w:val="003C3112"/>
    <w:rsid w:val="003C3565"/>
    <w:rsid w:val="003C3A3E"/>
    <w:rsid w:val="003C5878"/>
    <w:rsid w:val="003C61CB"/>
    <w:rsid w:val="003C635B"/>
    <w:rsid w:val="003C66FB"/>
    <w:rsid w:val="003C6BAE"/>
    <w:rsid w:val="003C6BB5"/>
    <w:rsid w:val="003C6DE4"/>
    <w:rsid w:val="003C7637"/>
    <w:rsid w:val="003C7E59"/>
    <w:rsid w:val="003D03EA"/>
    <w:rsid w:val="003D0EB4"/>
    <w:rsid w:val="003D17E8"/>
    <w:rsid w:val="003D19BE"/>
    <w:rsid w:val="003D2BA7"/>
    <w:rsid w:val="003D3285"/>
    <w:rsid w:val="003D32E3"/>
    <w:rsid w:val="003D3480"/>
    <w:rsid w:val="003D34B4"/>
    <w:rsid w:val="003D4630"/>
    <w:rsid w:val="003D51D5"/>
    <w:rsid w:val="003D55DD"/>
    <w:rsid w:val="003D5C13"/>
    <w:rsid w:val="003D6FA5"/>
    <w:rsid w:val="003D7FDF"/>
    <w:rsid w:val="003E006B"/>
    <w:rsid w:val="003E061F"/>
    <w:rsid w:val="003E1E09"/>
    <w:rsid w:val="003E2119"/>
    <w:rsid w:val="003E22A4"/>
    <w:rsid w:val="003E2578"/>
    <w:rsid w:val="003E413C"/>
    <w:rsid w:val="003E497E"/>
    <w:rsid w:val="003E50F6"/>
    <w:rsid w:val="003E65A7"/>
    <w:rsid w:val="003F06DD"/>
    <w:rsid w:val="003F13B2"/>
    <w:rsid w:val="003F13F4"/>
    <w:rsid w:val="003F28A9"/>
    <w:rsid w:val="003F3241"/>
    <w:rsid w:val="003F35A6"/>
    <w:rsid w:val="003F36B1"/>
    <w:rsid w:val="003F5049"/>
    <w:rsid w:val="003F5C0A"/>
    <w:rsid w:val="003F64CA"/>
    <w:rsid w:val="003F7B7F"/>
    <w:rsid w:val="004006EA"/>
    <w:rsid w:val="00400D8B"/>
    <w:rsid w:val="00400D9C"/>
    <w:rsid w:val="004010EE"/>
    <w:rsid w:val="0040149C"/>
    <w:rsid w:val="0040168B"/>
    <w:rsid w:val="00401EFC"/>
    <w:rsid w:val="00402FD0"/>
    <w:rsid w:val="00403548"/>
    <w:rsid w:val="0040390B"/>
    <w:rsid w:val="00403E03"/>
    <w:rsid w:val="00404579"/>
    <w:rsid w:val="00404F69"/>
    <w:rsid w:val="0040514A"/>
    <w:rsid w:val="00405C1F"/>
    <w:rsid w:val="004071FE"/>
    <w:rsid w:val="00407C90"/>
    <w:rsid w:val="00410561"/>
    <w:rsid w:val="00410DFD"/>
    <w:rsid w:val="004115C0"/>
    <w:rsid w:val="00411E86"/>
    <w:rsid w:val="00413D1D"/>
    <w:rsid w:val="00414F75"/>
    <w:rsid w:val="00415001"/>
    <w:rsid w:val="00415043"/>
    <w:rsid w:val="0041518D"/>
    <w:rsid w:val="0041538B"/>
    <w:rsid w:val="004157EB"/>
    <w:rsid w:val="00415FA8"/>
    <w:rsid w:val="004161FE"/>
    <w:rsid w:val="0041624E"/>
    <w:rsid w:val="004171D7"/>
    <w:rsid w:val="00421551"/>
    <w:rsid w:val="0042163D"/>
    <w:rsid w:val="00421B0C"/>
    <w:rsid w:val="004248F4"/>
    <w:rsid w:val="00425B1E"/>
    <w:rsid w:val="0042676E"/>
    <w:rsid w:val="004270B7"/>
    <w:rsid w:val="0042761E"/>
    <w:rsid w:val="00432533"/>
    <w:rsid w:val="00432B3D"/>
    <w:rsid w:val="004337E7"/>
    <w:rsid w:val="0043447F"/>
    <w:rsid w:val="0043486A"/>
    <w:rsid w:val="00434F81"/>
    <w:rsid w:val="00435169"/>
    <w:rsid w:val="00435E2F"/>
    <w:rsid w:val="004368D4"/>
    <w:rsid w:val="00437A56"/>
    <w:rsid w:val="004402AC"/>
    <w:rsid w:val="00440A23"/>
    <w:rsid w:val="00441106"/>
    <w:rsid w:val="00441C67"/>
    <w:rsid w:val="00441CAB"/>
    <w:rsid w:val="0044337B"/>
    <w:rsid w:val="004439EB"/>
    <w:rsid w:val="0044495D"/>
    <w:rsid w:val="0044655C"/>
    <w:rsid w:val="00446725"/>
    <w:rsid w:val="004468A3"/>
    <w:rsid w:val="004469BC"/>
    <w:rsid w:val="00446F8A"/>
    <w:rsid w:val="004475E0"/>
    <w:rsid w:val="00447BD9"/>
    <w:rsid w:val="004515C7"/>
    <w:rsid w:val="004516C5"/>
    <w:rsid w:val="004516D7"/>
    <w:rsid w:val="00452330"/>
    <w:rsid w:val="00452D5B"/>
    <w:rsid w:val="00452F62"/>
    <w:rsid w:val="00452F9D"/>
    <w:rsid w:val="00453292"/>
    <w:rsid w:val="00453D0D"/>
    <w:rsid w:val="004554F0"/>
    <w:rsid w:val="00455678"/>
    <w:rsid w:val="00456E94"/>
    <w:rsid w:val="004577DF"/>
    <w:rsid w:val="00460DC2"/>
    <w:rsid w:val="00461214"/>
    <w:rsid w:val="00462344"/>
    <w:rsid w:val="00462BBA"/>
    <w:rsid w:val="00462F62"/>
    <w:rsid w:val="0046338C"/>
    <w:rsid w:val="004635D3"/>
    <w:rsid w:val="004647A2"/>
    <w:rsid w:val="0046498F"/>
    <w:rsid w:val="00464C4F"/>
    <w:rsid w:val="00465024"/>
    <w:rsid w:val="004650C5"/>
    <w:rsid w:val="00465F33"/>
    <w:rsid w:val="004669A0"/>
    <w:rsid w:val="00466E5B"/>
    <w:rsid w:val="00466F43"/>
    <w:rsid w:val="00467CF7"/>
    <w:rsid w:val="00467D8E"/>
    <w:rsid w:val="004702B0"/>
    <w:rsid w:val="00470908"/>
    <w:rsid w:val="00470D60"/>
    <w:rsid w:val="00470E79"/>
    <w:rsid w:val="004725B8"/>
    <w:rsid w:val="0047282B"/>
    <w:rsid w:val="00473234"/>
    <w:rsid w:val="00473FC0"/>
    <w:rsid w:val="004765DD"/>
    <w:rsid w:val="00476720"/>
    <w:rsid w:val="00476C67"/>
    <w:rsid w:val="004776D3"/>
    <w:rsid w:val="00477A70"/>
    <w:rsid w:val="0048045E"/>
    <w:rsid w:val="004805E8"/>
    <w:rsid w:val="00480F55"/>
    <w:rsid w:val="0048103E"/>
    <w:rsid w:val="00481090"/>
    <w:rsid w:val="004811E0"/>
    <w:rsid w:val="00482544"/>
    <w:rsid w:val="00482B23"/>
    <w:rsid w:val="00483008"/>
    <w:rsid w:val="00483099"/>
    <w:rsid w:val="0048309D"/>
    <w:rsid w:val="004844AE"/>
    <w:rsid w:val="00485342"/>
    <w:rsid w:val="00485930"/>
    <w:rsid w:val="00487ACC"/>
    <w:rsid w:val="00487EC7"/>
    <w:rsid w:val="00490AB1"/>
    <w:rsid w:val="00490E36"/>
    <w:rsid w:val="00491602"/>
    <w:rsid w:val="00492349"/>
    <w:rsid w:val="00492CFD"/>
    <w:rsid w:val="00492D09"/>
    <w:rsid w:val="00492F3E"/>
    <w:rsid w:val="00493ACA"/>
    <w:rsid w:val="0049425B"/>
    <w:rsid w:val="00494583"/>
    <w:rsid w:val="00495145"/>
    <w:rsid w:val="00495316"/>
    <w:rsid w:val="00495658"/>
    <w:rsid w:val="00495E04"/>
    <w:rsid w:val="004970F3"/>
    <w:rsid w:val="0049743B"/>
    <w:rsid w:val="00497C1D"/>
    <w:rsid w:val="00497CD1"/>
    <w:rsid w:val="004A0277"/>
    <w:rsid w:val="004A0EF6"/>
    <w:rsid w:val="004A0F62"/>
    <w:rsid w:val="004A1378"/>
    <w:rsid w:val="004A13EA"/>
    <w:rsid w:val="004A1E3C"/>
    <w:rsid w:val="004A1F0E"/>
    <w:rsid w:val="004A2ED1"/>
    <w:rsid w:val="004A3C65"/>
    <w:rsid w:val="004A5C3F"/>
    <w:rsid w:val="004A670B"/>
    <w:rsid w:val="004A6E7A"/>
    <w:rsid w:val="004A71CD"/>
    <w:rsid w:val="004A7E8A"/>
    <w:rsid w:val="004A7F46"/>
    <w:rsid w:val="004B02D5"/>
    <w:rsid w:val="004B057B"/>
    <w:rsid w:val="004B0708"/>
    <w:rsid w:val="004B2BD3"/>
    <w:rsid w:val="004B2F48"/>
    <w:rsid w:val="004B377C"/>
    <w:rsid w:val="004B3A0F"/>
    <w:rsid w:val="004B4047"/>
    <w:rsid w:val="004B4896"/>
    <w:rsid w:val="004B54AE"/>
    <w:rsid w:val="004B5EBC"/>
    <w:rsid w:val="004B74FA"/>
    <w:rsid w:val="004C0AB2"/>
    <w:rsid w:val="004C0AD4"/>
    <w:rsid w:val="004C1118"/>
    <w:rsid w:val="004C113C"/>
    <w:rsid w:val="004C1E30"/>
    <w:rsid w:val="004C24A2"/>
    <w:rsid w:val="004C26DC"/>
    <w:rsid w:val="004C28E1"/>
    <w:rsid w:val="004C2FDD"/>
    <w:rsid w:val="004C3FDA"/>
    <w:rsid w:val="004C4093"/>
    <w:rsid w:val="004C44D2"/>
    <w:rsid w:val="004C5FFE"/>
    <w:rsid w:val="004C6428"/>
    <w:rsid w:val="004C6AAE"/>
    <w:rsid w:val="004C6D52"/>
    <w:rsid w:val="004C7094"/>
    <w:rsid w:val="004C76BA"/>
    <w:rsid w:val="004D0F80"/>
    <w:rsid w:val="004D15FE"/>
    <w:rsid w:val="004D1B7F"/>
    <w:rsid w:val="004D1E6D"/>
    <w:rsid w:val="004D359A"/>
    <w:rsid w:val="004D3694"/>
    <w:rsid w:val="004D3FC8"/>
    <w:rsid w:val="004D43FA"/>
    <w:rsid w:val="004D4D44"/>
    <w:rsid w:val="004D506A"/>
    <w:rsid w:val="004D746B"/>
    <w:rsid w:val="004E0BAB"/>
    <w:rsid w:val="004E1B42"/>
    <w:rsid w:val="004E1E58"/>
    <w:rsid w:val="004E20A7"/>
    <w:rsid w:val="004E467E"/>
    <w:rsid w:val="004E5C22"/>
    <w:rsid w:val="004E5F56"/>
    <w:rsid w:val="004E7BA3"/>
    <w:rsid w:val="004F06BC"/>
    <w:rsid w:val="004F08C8"/>
    <w:rsid w:val="004F1593"/>
    <w:rsid w:val="004F2DD1"/>
    <w:rsid w:val="004F3629"/>
    <w:rsid w:val="004F3772"/>
    <w:rsid w:val="004F4488"/>
    <w:rsid w:val="004F5092"/>
    <w:rsid w:val="004F677B"/>
    <w:rsid w:val="004F69DF"/>
    <w:rsid w:val="004F6D63"/>
    <w:rsid w:val="004F7920"/>
    <w:rsid w:val="004F7DA9"/>
    <w:rsid w:val="0050050B"/>
    <w:rsid w:val="005006B8"/>
    <w:rsid w:val="00500ACB"/>
    <w:rsid w:val="00501183"/>
    <w:rsid w:val="00502111"/>
    <w:rsid w:val="00502418"/>
    <w:rsid w:val="0050241D"/>
    <w:rsid w:val="00502541"/>
    <w:rsid w:val="00503AEF"/>
    <w:rsid w:val="00503B2F"/>
    <w:rsid w:val="0050405A"/>
    <w:rsid w:val="005042D8"/>
    <w:rsid w:val="00504379"/>
    <w:rsid w:val="005044F2"/>
    <w:rsid w:val="00505446"/>
    <w:rsid w:val="00505583"/>
    <w:rsid w:val="005058CC"/>
    <w:rsid w:val="00506C67"/>
    <w:rsid w:val="00506F68"/>
    <w:rsid w:val="00507677"/>
    <w:rsid w:val="00507826"/>
    <w:rsid w:val="00507E69"/>
    <w:rsid w:val="005106A8"/>
    <w:rsid w:val="00510922"/>
    <w:rsid w:val="00510F10"/>
    <w:rsid w:val="0051213C"/>
    <w:rsid w:val="0051256C"/>
    <w:rsid w:val="00512B12"/>
    <w:rsid w:val="0051343F"/>
    <w:rsid w:val="005136D4"/>
    <w:rsid w:val="00514BBE"/>
    <w:rsid w:val="00514DBE"/>
    <w:rsid w:val="0051529A"/>
    <w:rsid w:val="005156DF"/>
    <w:rsid w:val="0051573B"/>
    <w:rsid w:val="00515F48"/>
    <w:rsid w:val="0051670E"/>
    <w:rsid w:val="00517725"/>
    <w:rsid w:val="0052006A"/>
    <w:rsid w:val="00520C71"/>
    <w:rsid w:val="00521346"/>
    <w:rsid w:val="00521588"/>
    <w:rsid w:val="00522482"/>
    <w:rsid w:val="00523168"/>
    <w:rsid w:val="0052386E"/>
    <w:rsid w:val="005239A4"/>
    <w:rsid w:val="00523F6C"/>
    <w:rsid w:val="005248BC"/>
    <w:rsid w:val="005248D9"/>
    <w:rsid w:val="00524A45"/>
    <w:rsid w:val="005252B5"/>
    <w:rsid w:val="00525A8D"/>
    <w:rsid w:val="00526038"/>
    <w:rsid w:val="00526B84"/>
    <w:rsid w:val="00526BB4"/>
    <w:rsid w:val="005279FF"/>
    <w:rsid w:val="00531AEB"/>
    <w:rsid w:val="00532C6D"/>
    <w:rsid w:val="0053362D"/>
    <w:rsid w:val="005364BD"/>
    <w:rsid w:val="005369A2"/>
    <w:rsid w:val="00536B6D"/>
    <w:rsid w:val="00536C49"/>
    <w:rsid w:val="00536DCA"/>
    <w:rsid w:val="00536EB9"/>
    <w:rsid w:val="0053737E"/>
    <w:rsid w:val="00537420"/>
    <w:rsid w:val="00537A4C"/>
    <w:rsid w:val="0054017A"/>
    <w:rsid w:val="005408D3"/>
    <w:rsid w:val="00541BC5"/>
    <w:rsid w:val="00541DBF"/>
    <w:rsid w:val="00542F73"/>
    <w:rsid w:val="0054334B"/>
    <w:rsid w:val="00543BC9"/>
    <w:rsid w:val="005444D1"/>
    <w:rsid w:val="00544900"/>
    <w:rsid w:val="005454A7"/>
    <w:rsid w:val="00545660"/>
    <w:rsid w:val="0054649D"/>
    <w:rsid w:val="005466A3"/>
    <w:rsid w:val="00546789"/>
    <w:rsid w:val="00546BFD"/>
    <w:rsid w:val="00547135"/>
    <w:rsid w:val="005479A3"/>
    <w:rsid w:val="00547E7F"/>
    <w:rsid w:val="0055054B"/>
    <w:rsid w:val="005521E2"/>
    <w:rsid w:val="0055239F"/>
    <w:rsid w:val="005527B5"/>
    <w:rsid w:val="005534F9"/>
    <w:rsid w:val="00554556"/>
    <w:rsid w:val="005554C7"/>
    <w:rsid w:val="00555E60"/>
    <w:rsid w:val="00560659"/>
    <w:rsid w:val="00560C5A"/>
    <w:rsid w:val="00561460"/>
    <w:rsid w:val="00561C90"/>
    <w:rsid w:val="005626BA"/>
    <w:rsid w:val="00562A8B"/>
    <w:rsid w:val="00562BD0"/>
    <w:rsid w:val="0056302F"/>
    <w:rsid w:val="0056329E"/>
    <w:rsid w:val="00564063"/>
    <w:rsid w:val="0056459E"/>
    <w:rsid w:val="005647F4"/>
    <w:rsid w:val="00564DC1"/>
    <w:rsid w:val="00565277"/>
    <w:rsid w:val="00565500"/>
    <w:rsid w:val="00565D25"/>
    <w:rsid w:val="005661B1"/>
    <w:rsid w:val="005662F2"/>
    <w:rsid w:val="00566702"/>
    <w:rsid w:val="005673B9"/>
    <w:rsid w:val="00567DA8"/>
    <w:rsid w:val="00567E2B"/>
    <w:rsid w:val="00570841"/>
    <w:rsid w:val="00570DD0"/>
    <w:rsid w:val="0057115F"/>
    <w:rsid w:val="005718D2"/>
    <w:rsid w:val="00571A62"/>
    <w:rsid w:val="00572F74"/>
    <w:rsid w:val="00573514"/>
    <w:rsid w:val="00574A73"/>
    <w:rsid w:val="005752DD"/>
    <w:rsid w:val="005763BD"/>
    <w:rsid w:val="005765B1"/>
    <w:rsid w:val="0057671E"/>
    <w:rsid w:val="00577EAA"/>
    <w:rsid w:val="005809EB"/>
    <w:rsid w:val="00581D94"/>
    <w:rsid w:val="0058292B"/>
    <w:rsid w:val="0058331E"/>
    <w:rsid w:val="00583BF2"/>
    <w:rsid w:val="00585B65"/>
    <w:rsid w:val="00586254"/>
    <w:rsid w:val="0058629E"/>
    <w:rsid w:val="00586AB5"/>
    <w:rsid w:val="0059113B"/>
    <w:rsid w:val="00591758"/>
    <w:rsid w:val="00591914"/>
    <w:rsid w:val="005929C7"/>
    <w:rsid w:val="00593CC1"/>
    <w:rsid w:val="00595334"/>
    <w:rsid w:val="00595545"/>
    <w:rsid w:val="00595D0F"/>
    <w:rsid w:val="00596E49"/>
    <w:rsid w:val="00596EBF"/>
    <w:rsid w:val="00597B9D"/>
    <w:rsid w:val="005A14B9"/>
    <w:rsid w:val="005A16C5"/>
    <w:rsid w:val="005A1EFD"/>
    <w:rsid w:val="005A27DE"/>
    <w:rsid w:val="005A29A0"/>
    <w:rsid w:val="005A2FB2"/>
    <w:rsid w:val="005A360A"/>
    <w:rsid w:val="005A373B"/>
    <w:rsid w:val="005A44DB"/>
    <w:rsid w:val="005A52F9"/>
    <w:rsid w:val="005A6088"/>
    <w:rsid w:val="005A623B"/>
    <w:rsid w:val="005A6CC0"/>
    <w:rsid w:val="005A7D50"/>
    <w:rsid w:val="005B051A"/>
    <w:rsid w:val="005B1543"/>
    <w:rsid w:val="005B2FF9"/>
    <w:rsid w:val="005B329E"/>
    <w:rsid w:val="005B34CA"/>
    <w:rsid w:val="005B4709"/>
    <w:rsid w:val="005B4B75"/>
    <w:rsid w:val="005B5F20"/>
    <w:rsid w:val="005B621D"/>
    <w:rsid w:val="005B6BE6"/>
    <w:rsid w:val="005B6D59"/>
    <w:rsid w:val="005C0208"/>
    <w:rsid w:val="005C0E9E"/>
    <w:rsid w:val="005C1233"/>
    <w:rsid w:val="005C171B"/>
    <w:rsid w:val="005C2B33"/>
    <w:rsid w:val="005C2D7B"/>
    <w:rsid w:val="005C38B4"/>
    <w:rsid w:val="005C3BD2"/>
    <w:rsid w:val="005C455E"/>
    <w:rsid w:val="005C4DD5"/>
    <w:rsid w:val="005C4F5E"/>
    <w:rsid w:val="005C5483"/>
    <w:rsid w:val="005C5AEA"/>
    <w:rsid w:val="005C5D0F"/>
    <w:rsid w:val="005C6255"/>
    <w:rsid w:val="005C655C"/>
    <w:rsid w:val="005C688C"/>
    <w:rsid w:val="005C6CC5"/>
    <w:rsid w:val="005D1810"/>
    <w:rsid w:val="005D3138"/>
    <w:rsid w:val="005D59AF"/>
    <w:rsid w:val="005D5F10"/>
    <w:rsid w:val="005D60A6"/>
    <w:rsid w:val="005D60A7"/>
    <w:rsid w:val="005D6302"/>
    <w:rsid w:val="005D68A4"/>
    <w:rsid w:val="005D7983"/>
    <w:rsid w:val="005E27A6"/>
    <w:rsid w:val="005E2B9B"/>
    <w:rsid w:val="005E2E45"/>
    <w:rsid w:val="005E368B"/>
    <w:rsid w:val="005E426E"/>
    <w:rsid w:val="005E4AF7"/>
    <w:rsid w:val="005E52E9"/>
    <w:rsid w:val="005E5696"/>
    <w:rsid w:val="005E62D2"/>
    <w:rsid w:val="005E66F5"/>
    <w:rsid w:val="005E7718"/>
    <w:rsid w:val="005F0183"/>
    <w:rsid w:val="005F0C8B"/>
    <w:rsid w:val="005F22D0"/>
    <w:rsid w:val="005F287C"/>
    <w:rsid w:val="005F2BAA"/>
    <w:rsid w:val="005F3031"/>
    <w:rsid w:val="005F30AD"/>
    <w:rsid w:val="005F43E6"/>
    <w:rsid w:val="005F4932"/>
    <w:rsid w:val="005F4F64"/>
    <w:rsid w:val="005F5144"/>
    <w:rsid w:val="005F55FF"/>
    <w:rsid w:val="005F572A"/>
    <w:rsid w:val="005F5C21"/>
    <w:rsid w:val="005F5EA0"/>
    <w:rsid w:val="005F6C0B"/>
    <w:rsid w:val="005F70CC"/>
    <w:rsid w:val="006000D3"/>
    <w:rsid w:val="006004D9"/>
    <w:rsid w:val="00600865"/>
    <w:rsid w:val="00600E5D"/>
    <w:rsid w:val="006014E1"/>
    <w:rsid w:val="0060278F"/>
    <w:rsid w:val="00602B63"/>
    <w:rsid w:val="00602DDC"/>
    <w:rsid w:val="00603BC7"/>
    <w:rsid w:val="00604B73"/>
    <w:rsid w:val="00605359"/>
    <w:rsid w:val="00606FA3"/>
    <w:rsid w:val="006071BC"/>
    <w:rsid w:val="00607DA9"/>
    <w:rsid w:val="006110C8"/>
    <w:rsid w:val="006118DC"/>
    <w:rsid w:val="006121AC"/>
    <w:rsid w:val="006124DE"/>
    <w:rsid w:val="006125E2"/>
    <w:rsid w:val="00612970"/>
    <w:rsid w:val="00612F24"/>
    <w:rsid w:val="00614545"/>
    <w:rsid w:val="00614BA0"/>
    <w:rsid w:val="006152B8"/>
    <w:rsid w:val="00615A3A"/>
    <w:rsid w:val="00616B6C"/>
    <w:rsid w:val="0061713D"/>
    <w:rsid w:val="00617BD8"/>
    <w:rsid w:val="00620417"/>
    <w:rsid w:val="006227A3"/>
    <w:rsid w:val="00622FFB"/>
    <w:rsid w:val="006230DB"/>
    <w:rsid w:val="0062385F"/>
    <w:rsid w:val="00623EFB"/>
    <w:rsid w:val="00624383"/>
    <w:rsid w:val="00624C05"/>
    <w:rsid w:val="00624EA3"/>
    <w:rsid w:val="00626543"/>
    <w:rsid w:val="00626768"/>
    <w:rsid w:val="006270E1"/>
    <w:rsid w:val="00630EDF"/>
    <w:rsid w:val="006319ED"/>
    <w:rsid w:val="00631F90"/>
    <w:rsid w:val="00632078"/>
    <w:rsid w:val="006336DA"/>
    <w:rsid w:val="00633F08"/>
    <w:rsid w:val="00634508"/>
    <w:rsid w:val="006358B7"/>
    <w:rsid w:val="00636A58"/>
    <w:rsid w:val="00637A48"/>
    <w:rsid w:val="00637BCA"/>
    <w:rsid w:val="00640E91"/>
    <w:rsid w:val="00641559"/>
    <w:rsid w:val="006432C2"/>
    <w:rsid w:val="00644883"/>
    <w:rsid w:val="00644B46"/>
    <w:rsid w:val="006455EF"/>
    <w:rsid w:val="00647BF0"/>
    <w:rsid w:val="00651340"/>
    <w:rsid w:val="006515C0"/>
    <w:rsid w:val="00651AF5"/>
    <w:rsid w:val="00652094"/>
    <w:rsid w:val="006524F0"/>
    <w:rsid w:val="0065261C"/>
    <w:rsid w:val="00654C3B"/>
    <w:rsid w:val="00655E0D"/>
    <w:rsid w:val="00655F65"/>
    <w:rsid w:val="00656292"/>
    <w:rsid w:val="00656F25"/>
    <w:rsid w:val="0065745D"/>
    <w:rsid w:val="0065796D"/>
    <w:rsid w:val="006607DD"/>
    <w:rsid w:val="00661499"/>
    <w:rsid w:val="0066418F"/>
    <w:rsid w:val="006647B9"/>
    <w:rsid w:val="00665AED"/>
    <w:rsid w:val="006666FA"/>
    <w:rsid w:val="00666A31"/>
    <w:rsid w:val="00667D52"/>
    <w:rsid w:val="00670271"/>
    <w:rsid w:val="00672627"/>
    <w:rsid w:val="0067287D"/>
    <w:rsid w:val="00673C40"/>
    <w:rsid w:val="006743B6"/>
    <w:rsid w:val="0067536B"/>
    <w:rsid w:val="006756DC"/>
    <w:rsid w:val="00675898"/>
    <w:rsid w:val="00675917"/>
    <w:rsid w:val="00675DDB"/>
    <w:rsid w:val="00676172"/>
    <w:rsid w:val="0067767E"/>
    <w:rsid w:val="00677D32"/>
    <w:rsid w:val="0068001F"/>
    <w:rsid w:val="006801FE"/>
    <w:rsid w:val="00680C57"/>
    <w:rsid w:val="006814F8"/>
    <w:rsid w:val="00681A2D"/>
    <w:rsid w:val="00681E26"/>
    <w:rsid w:val="006820C7"/>
    <w:rsid w:val="0068210C"/>
    <w:rsid w:val="00682410"/>
    <w:rsid w:val="0068271F"/>
    <w:rsid w:val="00683394"/>
    <w:rsid w:val="00683C7E"/>
    <w:rsid w:val="0068475D"/>
    <w:rsid w:val="00684BBF"/>
    <w:rsid w:val="00684E01"/>
    <w:rsid w:val="006859F6"/>
    <w:rsid w:val="00685CE6"/>
    <w:rsid w:val="00687B60"/>
    <w:rsid w:val="0069000C"/>
    <w:rsid w:val="00691897"/>
    <w:rsid w:val="00691FC1"/>
    <w:rsid w:val="00692596"/>
    <w:rsid w:val="006930F9"/>
    <w:rsid w:val="0069319B"/>
    <w:rsid w:val="006938E3"/>
    <w:rsid w:val="006939B5"/>
    <w:rsid w:val="006945B0"/>
    <w:rsid w:val="006947F6"/>
    <w:rsid w:val="0069530E"/>
    <w:rsid w:val="006953E1"/>
    <w:rsid w:val="00696463"/>
    <w:rsid w:val="00696664"/>
    <w:rsid w:val="0069700F"/>
    <w:rsid w:val="00697122"/>
    <w:rsid w:val="006976C9"/>
    <w:rsid w:val="00697EAA"/>
    <w:rsid w:val="006A2C47"/>
    <w:rsid w:val="006A32D7"/>
    <w:rsid w:val="006A3796"/>
    <w:rsid w:val="006A457F"/>
    <w:rsid w:val="006A533A"/>
    <w:rsid w:val="006A5AA5"/>
    <w:rsid w:val="006A5BDC"/>
    <w:rsid w:val="006A5E31"/>
    <w:rsid w:val="006A6181"/>
    <w:rsid w:val="006A6538"/>
    <w:rsid w:val="006A6BF7"/>
    <w:rsid w:val="006A70A5"/>
    <w:rsid w:val="006A71C5"/>
    <w:rsid w:val="006A79FF"/>
    <w:rsid w:val="006A7B3C"/>
    <w:rsid w:val="006B0D46"/>
    <w:rsid w:val="006B12F8"/>
    <w:rsid w:val="006B2725"/>
    <w:rsid w:val="006B29AF"/>
    <w:rsid w:val="006B3306"/>
    <w:rsid w:val="006B3D11"/>
    <w:rsid w:val="006B4C7C"/>
    <w:rsid w:val="006B5381"/>
    <w:rsid w:val="006B5D55"/>
    <w:rsid w:val="006B653C"/>
    <w:rsid w:val="006C0DDB"/>
    <w:rsid w:val="006C15A3"/>
    <w:rsid w:val="006C16A4"/>
    <w:rsid w:val="006C425B"/>
    <w:rsid w:val="006C4342"/>
    <w:rsid w:val="006C56E4"/>
    <w:rsid w:val="006C593D"/>
    <w:rsid w:val="006C5D9A"/>
    <w:rsid w:val="006C641F"/>
    <w:rsid w:val="006C6AC1"/>
    <w:rsid w:val="006D157B"/>
    <w:rsid w:val="006D2259"/>
    <w:rsid w:val="006D2673"/>
    <w:rsid w:val="006D297D"/>
    <w:rsid w:val="006D2D3C"/>
    <w:rsid w:val="006D379E"/>
    <w:rsid w:val="006D41A7"/>
    <w:rsid w:val="006D475A"/>
    <w:rsid w:val="006D4DD4"/>
    <w:rsid w:val="006D51BE"/>
    <w:rsid w:val="006D529A"/>
    <w:rsid w:val="006D52F7"/>
    <w:rsid w:val="006D5A5D"/>
    <w:rsid w:val="006D5D2F"/>
    <w:rsid w:val="006D6929"/>
    <w:rsid w:val="006D7330"/>
    <w:rsid w:val="006D7C67"/>
    <w:rsid w:val="006D7F88"/>
    <w:rsid w:val="006E0A46"/>
    <w:rsid w:val="006E1906"/>
    <w:rsid w:val="006E305D"/>
    <w:rsid w:val="006E43ED"/>
    <w:rsid w:val="006E4888"/>
    <w:rsid w:val="006E5433"/>
    <w:rsid w:val="006E6525"/>
    <w:rsid w:val="006E6993"/>
    <w:rsid w:val="006E791B"/>
    <w:rsid w:val="006F14C8"/>
    <w:rsid w:val="006F1EE2"/>
    <w:rsid w:val="006F232E"/>
    <w:rsid w:val="006F2BCD"/>
    <w:rsid w:val="006F3166"/>
    <w:rsid w:val="006F44D5"/>
    <w:rsid w:val="006F49DA"/>
    <w:rsid w:val="006F6A68"/>
    <w:rsid w:val="006F6DA5"/>
    <w:rsid w:val="006F73A7"/>
    <w:rsid w:val="006F760C"/>
    <w:rsid w:val="006F7CB6"/>
    <w:rsid w:val="0070011C"/>
    <w:rsid w:val="00701B5A"/>
    <w:rsid w:val="00701E91"/>
    <w:rsid w:val="007020FC"/>
    <w:rsid w:val="00702824"/>
    <w:rsid w:val="00702ACA"/>
    <w:rsid w:val="00703AAE"/>
    <w:rsid w:val="00703D58"/>
    <w:rsid w:val="00703E58"/>
    <w:rsid w:val="007063A3"/>
    <w:rsid w:val="007066E8"/>
    <w:rsid w:val="007103DE"/>
    <w:rsid w:val="00712555"/>
    <w:rsid w:val="00712ECB"/>
    <w:rsid w:val="00712F7B"/>
    <w:rsid w:val="007133BE"/>
    <w:rsid w:val="00714107"/>
    <w:rsid w:val="007143DC"/>
    <w:rsid w:val="007147D7"/>
    <w:rsid w:val="00716801"/>
    <w:rsid w:val="00716833"/>
    <w:rsid w:val="00716943"/>
    <w:rsid w:val="00716E5B"/>
    <w:rsid w:val="00717585"/>
    <w:rsid w:val="007207D0"/>
    <w:rsid w:val="007226A3"/>
    <w:rsid w:val="007229E6"/>
    <w:rsid w:val="00723F18"/>
    <w:rsid w:val="0072442F"/>
    <w:rsid w:val="007254DD"/>
    <w:rsid w:val="00727636"/>
    <w:rsid w:val="00727D8F"/>
    <w:rsid w:val="0073018F"/>
    <w:rsid w:val="00730D31"/>
    <w:rsid w:val="00731388"/>
    <w:rsid w:val="007344EF"/>
    <w:rsid w:val="00734CE4"/>
    <w:rsid w:val="00734ED8"/>
    <w:rsid w:val="00734FBB"/>
    <w:rsid w:val="00735BB3"/>
    <w:rsid w:val="0074131D"/>
    <w:rsid w:val="00742449"/>
    <w:rsid w:val="00742C88"/>
    <w:rsid w:val="007434BD"/>
    <w:rsid w:val="00743624"/>
    <w:rsid w:val="00743797"/>
    <w:rsid w:val="00744186"/>
    <w:rsid w:val="007448C0"/>
    <w:rsid w:val="00745AC8"/>
    <w:rsid w:val="00746313"/>
    <w:rsid w:val="00746F69"/>
    <w:rsid w:val="007501A6"/>
    <w:rsid w:val="00750EFB"/>
    <w:rsid w:val="007514EE"/>
    <w:rsid w:val="00751D92"/>
    <w:rsid w:val="0075329E"/>
    <w:rsid w:val="00753D1A"/>
    <w:rsid w:val="00755C9A"/>
    <w:rsid w:val="00755DF0"/>
    <w:rsid w:val="00755EA5"/>
    <w:rsid w:val="007607BE"/>
    <w:rsid w:val="007619E2"/>
    <w:rsid w:val="0076211C"/>
    <w:rsid w:val="007640DC"/>
    <w:rsid w:val="007648B6"/>
    <w:rsid w:val="007650B6"/>
    <w:rsid w:val="00765C06"/>
    <w:rsid w:val="007667A2"/>
    <w:rsid w:val="007672FD"/>
    <w:rsid w:val="007700A0"/>
    <w:rsid w:val="007710C8"/>
    <w:rsid w:val="007735DE"/>
    <w:rsid w:val="007741C5"/>
    <w:rsid w:val="0077430C"/>
    <w:rsid w:val="00774B70"/>
    <w:rsid w:val="00774B86"/>
    <w:rsid w:val="007755D9"/>
    <w:rsid w:val="00781477"/>
    <w:rsid w:val="007818B4"/>
    <w:rsid w:val="00781FEC"/>
    <w:rsid w:val="0078267E"/>
    <w:rsid w:val="00784C2A"/>
    <w:rsid w:val="00785C37"/>
    <w:rsid w:val="007878F5"/>
    <w:rsid w:val="00787DA5"/>
    <w:rsid w:val="00791387"/>
    <w:rsid w:val="00791AD7"/>
    <w:rsid w:val="00791D94"/>
    <w:rsid w:val="00794875"/>
    <w:rsid w:val="00795CB6"/>
    <w:rsid w:val="007A0593"/>
    <w:rsid w:val="007A0960"/>
    <w:rsid w:val="007A240E"/>
    <w:rsid w:val="007A314F"/>
    <w:rsid w:val="007A333F"/>
    <w:rsid w:val="007A33CC"/>
    <w:rsid w:val="007A44B8"/>
    <w:rsid w:val="007A4B8E"/>
    <w:rsid w:val="007A545C"/>
    <w:rsid w:val="007A5B0E"/>
    <w:rsid w:val="007A5EDB"/>
    <w:rsid w:val="007A6C62"/>
    <w:rsid w:val="007B0481"/>
    <w:rsid w:val="007B0662"/>
    <w:rsid w:val="007B06D9"/>
    <w:rsid w:val="007B0CC1"/>
    <w:rsid w:val="007B0CC4"/>
    <w:rsid w:val="007B15DE"/>
    <w:rsid w:val="007B1EF0"/>
    <w:rsid w:val="007B229D"/>
    <w:rsid w:val="007B2369"/>
    <w:rsid w:val="007B2DC0"/>
    <w:rsid w:val="007B30B1"/>
    <w:rsid w:val="007B365D"/>
    <w:rsid w:val="007B4AD5"/>
    <w:rsid w:val="007B6194"/>
    <w:rsid w:val="007B66F1"/>
    <w:rsid w:val="007B6CD1"/>
    <w:rsid w:val="007B7960"/>
    <w:rsid w:val="007C0653"/>
    <w:rsid w:val="007C0669"/>
    <w:rsid w:val="007C0AA4"/>
    <w:rsid w:val="007C1391"/>
    <w:rsid w:val="007C216C"/>
    <w:rsid w:val="007C39DF"/>
    <w:rsid w:val="007C3EB2"/>
    <w:rsid w:val="007C4BB7"/>
    <w:rsid w:val="007C5277"/>
    <w:rsid w:val="007C781D"/>
    <w:rsid w:val="007D08B0"/>
    <w:rsid w:val="007D0A9F"/>
    <w:rsid w:val="007D16F0"/>
    <w:rsid w:val="007D2211"/>
    <w:rsid w:val="007D2598"/>
    <w:rsid w:val="007D4192"/>
    <w:rsid w:val="007D4235"/>
    <w:rsid w:val="007D4D5B"/>
    <w:rsid w:val="007D5567"/>
    <w:rsid w:val="007D6773"/>
    <w:rsid w:val="007D71DF"/>
    <w:rsid w:val="007D7973"/>
    <w:rsid w:val="007E00C1"/>
    <w:rsid w:val="007E07FC"/>
    <w:rsid w:val="007E1943"/>
    <w:rsid w:val="007E20F1"/>
    <w:rsid w:val="007E281C"/>
    <w:rsid w:val="007E35F2"/>
    <w:rsid w:val="007E37BF"/>
    <w:rsid w:val="007E3EA2"/>
    <w:rsid w:val="007E50BF"/>
    <w:rsid w:val="007E7539"/>
    <w:rsid w:val="007E758E"/>
    <w:rsid w:val="007E7F6D"/>
    <w:rsid w:val="007E7FFC"/>
    <w:rsid w:val="007F04AE"/>
    <w:rsid w:val="007F0831"/>
    <w:rsid w:val="007F15E5"/>
    <w:rsid w:val="007F22A4"/>
    <w:rsid w:val="007F293B"/>
    <w:rsid w:val="007F4383"/>
    <w:rsid w:val="007F568C"/>
    <w:rsid w:val="007F5A7B"/>
    <w:rsid w:val="007F5F53"/>
    <w:rsid w:val="007F6711"/>
    <w:rsid w:val="007F691E"/>
    <w:rsid w:val="007F6A9D"/>
    <w:rsid w:val="007F7BCB"/>
    <w:rsid w:val="007F7D3D"/>
    <w:rsid w:val="0080141E"/>
    <w:rsid w:val="00801A87"/>
    <w:rsid w:val="00801FF3"/>
    <w:rsid w:val="00802748"/>
    <w:rsid w:val="0080428D"/>
    <w:rsid w:val="00804ABF"/>
    <w:rsid w:val="00804AD6"/>
    <w:rsid w:val="00804FD3"/>
    <w:rsid w:val="00805A10"/>
    <w:rsid w:val="00807ED4"/>
    <w:rsid w:val="00810AB9"/>
    <w:rsid w:val="00810BD9"/>
    <w:rsid w:val="008114C8"/>
    <w:rsid w:val="008131E8"/>
    <w:rsid w:val="00813489"/>
    <w:rsid w:val="00813D6B"/>
    <w:rsid w:val="00815DFD"/>
    <w:rsid w:val="00816D82"/>
    <w:rsid w:val="0081741A"/>
    <w:rsid w:val="00817A46"/>
    <w:rsid w:val="00820759"/>
    <w:rsid w:val="00820937"/>
    <w:rsid w:val="008212DD"/>
    <w:rsid w:val="00821750"/>
    <w:rsid w:val="00821E44"/>
    <w:rsid w:val="008222C7"/>
    <w:rsid w:val="00825BEF"/>
    <w:rsid w:val="00825D0C"/>
    <w:rsid w:val="008261A5"/>
    <w:rsid w:val="008267BD"/>
    <w:rsid w:val="00826B26"/>
    <w:rsid w:val="00826BE2"/>
    <w:rsid w:val="00826D43"/>
    <w:rsid w:val="008272BB"/>
    <w:rsid w:val="00827F8B"/>
    <w:rsid w:val="0083045C"/>
    <w:rsid w:val="00830DC2"/>
    <w:rsid w:val="00833267"/>
    <w:rsid w:val="008336B5"/>
    <w:rsid w:val="00833C3B"/>
    <w:rsid w:val="00836565"/>
    <w:rsid w:val="0083696B"/>
    <w:rsid w:val="00837A25"/>
    <w:rsid w:val="0084008D"/>
    <w:rsid w:val="00840264"/>
    <w:rsid w:val="0084037B"/>
    <w:rsid w:val="00841C0D"/>
    <w:rsid w:val="00841CBA"/>
    <w:rsid w:val="00842406"/>
    <w:rsid w:val="008432C3"/>
    <w:rsid w:val="00843CF6"/>
    <w:rsid w:val="008442DF"/>
    <w:rsid w:val="0084468C"/>
    <w:rsid w:val="00844766"/>
    <w:rsid w:val="00844E05"/>
    <w:rsid w:val="00845046"/>
    <w:rsid w:val="008453B5"/>
    <w:rsid w:val="00845922"/>
    <w:rsid w:val="00845AA9"/>
    <w:rsid w:val="00846A4E"/>
    <w:rsid w:val="00846A7C"/>
    <w:rsid w:val="00847234"/>
    <w:rsid w:val="00847DA8"/>
    <w:rsid w:val="008512AF"/>
    <w:rsid w:val="0085191B"/>
    <w:rsid w:val="00851A12"/>
    <w:rsid w:val="00851D5E"/>
    <w:rsid w:val="00854140"/>
    <w:rsid w:val="00855312"/>
    <w:rsid w:val="00856001"/>
    <w:rsid w:val="0085605C"/>
    <w:rsid w:val="008565DA"/>
    <w:rsid w:val="00857BE3"/>
    <w:rsid w:val="00857C12"/>
    <w:rsid w:val="00860750"/>
    <w:rsid w:val="00860C4B"/>
    <w:rsid w:val="00862BB3"/>
    <w:rsid w:val="008632F8"/>
    <w:rsid w:val="00863C1D"/>
    <w:rsid w:val="00863F23"/>
    <w:rsid w:val="00864359"/>
    <w:rsid w:val="00864CE9"/>
    <w:rsid w:val="00865FE4"/>
    <w:rsid w:val="00866276"/>
    <w:rsid w:val="0086680B"/>
    <w:rsid w:val="00866D82"/>
    <w:rsid w:val="00866FB1"/>
    <w:rsid w:val="0086795E"/>
    <w:rsid w:val="00867DEA"/>
    <w:rsid w:val="0087019C"/>
    <w:rsid w:val="008713DC"/>
    <w:rsid w:val="0087273E"/>
    <w:rsid w:val="008734FB"/>
    <w:rsid w:val="00875AC8"/>
    <w:rsid w:val="0087639A"/>
    <w:rsid w:val="00876824"/>
    <w:rsid w:val="00877245"/>
    <w:rsid w:val="0088057D"/>
    <w:rsid w:val="00880E10"/>
    <w:rsid w:val="00881510"/>
    <w:rsid w:val="0088174C"/>
    <w:rsid w:val="00881E57"/>
    <w:rsid w:val="00882D61"/>
    <w:rsid w:val="00882F6B"/>
    <w:rsid w:val="0088397C"/>
    <w:rsid w:val="008849DF"/>
    <w:rsid w:val="00885D8D"/>
    <w:rsid w:val="00887177"/>
    <w:rsid w:val="0089003A"/>
    <w:rsid w:val="00890862"/>
    <w:rsid w:val="0089277D"/>
    <w:rsid w:val="00893018"/>
    <w:rsid w:val="00893D3D"/>
    <w:rsid w:val="00896376"/>
    <w:rsid w:val="008963D6"/>
    <w:rsid w:val="0089652A"/>
    <w:rsid w:val="008969D0"/>
    <w:rsid w:val="00897FBD"/>
    <w:rsid w:val="008A0619"/>
    <w:rsid w:val="008A0F54"/>
    <w:rsid w:val="008A3B3F"/>
    <w:rsid w:val="008A404C"/>
    <w:rsid w:val="008A478F"/>
    <w:rsid w:val="008A4F16"/>
    <w:rsid w:val="008A562B"/>
    <w:rsid w:val="008A6BE9"/>
    <w:rsid w:val="008A765C"/>
    <w:rsid w:val="008B15E1"/>
    <w:rsid w:val="008B1DD5"/>
    <w:rsid w:val="008B48A2"/>
    <w:rsid w:val="008B5207"/>
    <w:rsid w:val="008B5A19"/>
    <w:rsid w:val="008B604E"/>
    <w:rsid w:val="008B6D59"/>
    <w:rsid w:val="008B76CF"/>
    <w:rsid w:val="008B7A78"/>
    <w:rsid w:val="008C1F1E"/>
    <w:rsid w:val="008C2341"/>
    <w:rsid w:val="008C29F6"/>
    <w:rsid w:val="008C42E8"/>
    <w:rsid w:val="008C495B"/>
    <w:rsid w:val="008C4D06"/>
    <w:rsid w:val="008C58DD"/>
    <w:rsid w:val="008C5CC8"/>
    <w:rsid w:val="008C5CF3"/>
    <w:rsid w:val="008C6168"/>
    <w:rsid w:val="008C6B8E"/>
    <w:rsid w:val="008D0A1A"/>
    <w:rsid w:val="008D0B7C"/>
    <w:rsid w:val="008D168B"/>
    <w:rsid w:val="008D1DA1"/>
    <w:rsid w:val="008D20A7"/>
    <w:rsid w:val="008D3B63"/>
    <w:rsid w:val="008D4E1C"/>
    <w:rsid w:val="008D52F0"/>
    <w:rsid w:val="008D553C"/>
    <w:rsid w:val="008D5626"/>
    <w:rsid w:val="008D57FE"/>
    <w:rsid w:val="008D6185"/>
    <w:rsid w:val="008D69F6"/>
    <w:rsid w:val="008D74F8"/>
    <w:rsid w:val="008D771B"/>
    <w:rsid w:val="008E0BCD"/>
    <w:rsid w:val="008E1E28"/>
    <w:rsid w:val="008E254F"/>
    <w:rsid w:val="008E25C6"/>
    <w:rsid w:val="008E2F41"/>
    <w:rsid w:val="008E31FA"/>
    <w:rsid w:val="008E39F3"/>
    <w:rsid w:val="008E3A28"/>
    <w:rsid w:val="008E539D"/>
    <w:rsid w:val="008E563D"/>
    <w:rsid w:val="008E7A7A"/>
    <w:rsid w:val="008F06DA"/>
    <w:rsid w:val="008F090E"/>
    <w:rsid w:val="008F0D2F"/>
    <w:rsid w:val="008F236C"/>
    <w:rsid w:val="008F2A3B"/>
    <w:rsid w:val="008F40E1"/>
    <w:rsid w:val="008F41D6"/>
    <w:rsid w:val="008F4CC1"/>
    <w:rsid w:val="008F4E91"/>
    <w:rsid w:val="008F53A4"/>
    <w:rsid w:val="008F5BDF"/>
    <w:rsid w:val="008F6F7A"/>
    <w:rsid w:val="008F7191"/>
    <w:rsid w:val="008F7761"/>
    <w:rsid w:val="0090271A"/>
    <w:rsid w:val="009027DF"/>
    <w:rsid w:val="00903C62"/>
    <w:rsid w:val="00904591"/>
    <w:rsid w:val="00907516"/>
    <w:rsid w:val="009076D8"/>
    <w:rsid w:val="00910B2C"/>
    <w:rsid w:val="0091127F"/>
    <w:rsid w:val="00911579"/>
    <w:rsid w:val="00911CD6"/>
    <w:rsid w:val="00912380"/>
    <w:rsid w:val="00912F2D"/>
    <w:rsid w:val="00913169"/>
    <w:rsid w:val="00915C3B"/>
    <w:rsid w:val="00915F65"/>
    <w:rsid w:val="009161DB"/>
    <w:rsid w:val="00916D1F"/>
    <w:rsid w:val="0091730B"/>
    <w:rsid w:val="00917E14"/>
    <w:rsid w:val="00920359"/>
    <w:rsid w:val="0092051B"/>
    <w:rsid w:val="00921768"/>
    <w:rsid w:val="0092284D"/>
    <w:rsid w:val="00922CAF"/>
    <w:rsid w:val="00924F97"/>
    <w:rsid w:val="00925335"/>
    <w:rsid w:val="009256B1"/>
    <w:rsid w:val="00925814"/>
    <w:rsid w:val="0092585C"/>
    <w:rsid w:val="00926181"/>
    <w:rsid w:val="00926B9B"/>
    <w:rsid w:val="009310B5"/>
    <w:rsid w:val="00931343"/>
    <w:rsid w:val="00931BF5"/>
    <w:rsid w:val="00931FD5"/>
    <w:rsid w:val="0093231E"/>
    <w:rsid w:val="00933183"/>
    <w:rsid w:val="009332ED"/>
    <w:rsid w:val="00933EA0"/>
    <w:rsid w:val="009342FE"/>
    <w:rsid w:val="00934665"/>
    <w:rsid w:val="00934B5D"/>
    <w:rsid w:val="00934C55"/>
    <w:rsid w:val="00935C3C"/>
    <w:rsid w:val="00935EDA"/>
    <w:rsid w:val="00935F09"/>
    <w:rsid w:val="009360A9"/>
    <w:rsid w:val="009366EC"/>
    <w:rsid w:val="00936812"/>
    <w:rsid w:val="00937D67"/>
    <w:rsid w:val="00944029"/>
    <w:rsid w:val="0094466A"/>
    <w:rsid w:val="00944D75"/>
    <w:rsid w:val="009452C5"/>
    <w:rsid w:val="009468F7"/>
    <w:rsid w:val="0094725B"/>
    <w:rsid w:val="009476C7"/>
    <w:rsid w:val="00947EEC"/>
    <w:rsid w:val="009506CF"/>
    <w:rsid w:val="009530F0"/>
    <w:rsid w:val="00953ADA"/>
    <w:rsid w:val="00954153"/>
    <w:rsid w:val="00954602"/>
    <w:rsid w:val="00954611"/>
    <w:rsid w:val="009546BD"/>
    <w:rsid w:val="00956AAA"/>
    <w:rsid w:val="00956BED"/>
    <w:rsid w:val="00957A67"/>
    <w:rsid w:val="009600A6"/>
    <w:rsid w:val="00960389"/>
    <w:rsid w:val="009626ED"/>
    <w:rsid w:val="00963BA8"/>
    <w:rsid w:val="00963FFC"/>
    <w:rsid w:val="0096428F"/>
    <w:rsid w:val="0096449D"/>
    <w:rsid w:val="00964966"/>
    <w:rsid w:val="00965720"/>
    <w:rsid w:val="00965A7F"/>
    <w:rsid w:val="0096711D"/>
    <w:rsid w:val="00967BCF"/>
    <w:rsid w:val="00970409"/>
    <w:rsid w:val="009707CA"/>
    <w:rsid w:val="00971442"/>
    <w:rsid w:val="0097247E"/>
    <w:rsid w:val="00973948"/>
    <w:rsid w:val="009751EC"/>
    <w:rsid w:val="00975258"/>
    <w:rsid w:val="00975315"/>
    <w:rsid w:val="00975AC2"/>
    <w:rsid w:val="00975DF7"/>
    <w:rsid w:val="00976C27"/>
    <w:rsid w:val="009771C9"/>
    <w:rsid w:val="009773A6"/>
    <w:rsid w:val="00981680"/>
    <w:rsid w:val="00981DD8"/>
    <w:rsid w:val="0098384D"/>
    <w:rsid w:val="00984553"/>
    <w:rsid w:val="00985375"/>
    <w:rsid w:val="00985970"/>
    <w:rsid w:val="009874E6"/>
    <w:rsid w:val="0098786E"/>
    <w:rsid w:val="00987C3A"/>
    <w:rsid w:val="00990961"/>
    <w:rsid w:val="0099140E"/>
    <w:rsid w:val="00991C04"/>
    <w:rsid w:val="00991DE7"/>
    <w:rsid w:val="00992086"/>
    <w:rsid w:val="00993651"/>
    <w:rsid w:val="00993CC3"/>
    <w:rsid w:val="00993CD2"/>
    <w:rsid w:val="009942B1"/>
    <w:rsid w:val="009963DD"/>
    <w:rsid w:val="00997C11"/>
    <w:rsid w:val="009A1FA9"/>
    <w:rsid w:val="009A5296"/>
    <w:rsid w:val="009A5D16"/>
    <w:rsid w:val="009A6E23"/>
    <w:rsid w:val="009A7CC6"/>
    <w:rsid w:val="009B0A73"/>
    <w:rsid w:val="009B1030"/>
    <w:rsid w:val="009B1CD0"/>
    <w:rsid w:val="009B2453"/>
    <w:rsid w:val="009B3B19"/>
    <w:rsid w:val="009B4CE3"/>
    <w:rsid w:val="009B5AB9"/>
    <w:rsid w:val="009B5E0C"/>
    <w:rsid w:val="009B5E63"/>
    <w:rsid w:val="009B5F35"/>
    <w:rsid w:val="009B7EC1"/>
    <w:rsid w:val="009C139A"/>
    <w:rsid w:val="009C3431"/>
    <w:rsid w:val="009C3715"/>
    <w:rsid w:val="009C4801"/>
    <w:rsid w:val="009C4940"/>
    <w:rsid w:val="009C49AA"/>
    <w:rsid w:val="009C4B87"/>
    <w:rsid w:val="009C4C99"/>
    <w:rsid w:val="009C4F88"/>
    <w:rsid w:val="009C6248"/>
    <w:rsid w:val="009C685D"/>
    <w:rsid w:val="009D0C7B"/>
    <w:rsid w:val="009D1080"/>
    <w:rsid w:val="009D1845"/>
    <w:rsid w:val="009D1ADD"/>
    <w:rsid w:val="009D2718"/>
    <w:rsid w:val="009D2D48"/>
    <w:rsid w:val="009D3398"/>
    <w:rsid w:val="009D3F6C"/>
    <w:rsid w:val="009D4D8C"/>
    <w:rsid w:val="009D5D9B"/>
    <w:rsid w:val="009D60CD"/>
    <w:rsid w:val="009D6141"/>
    <w:rsid w:val="009D6604"/>
    <w:rsid w:val="009D703A"/>
    <w:rsid w:val="009D7BE0"/>
    <w:rsid w:val="009E06BA"/>
    <w:rsid w:val="009E15A6"/>
    <w:rsid w:val="009E1B8F"/>
    <w:rsid w:val="009E2D9D"/>
    <w:rsid w:val="009E2DB1"/>
    <w:rsid w:val="009E3BB5"/>
    <w:rsid w:val="009E41CB"/>
    <w:rsid w:val="009E44CC"/>
    <w:rsid w:val="009E4655"/>
    <w:rsid w:val="009E4A0B"/>
    <w:rsid w:val="009E5ACC"/>
    <w:rsid w:val="009E5DEA"/>
    <w:rsid w:val="009E6EBE"/>
    <w:rsid w:val="009F0662"/>
    <w:rsid w:val="009F180B"/>
    <w:rsid w:val="009F18EB"/>
    <w:rsid w:val="009F2357"/>
    <w:rsid w:val="009F27AA"/>
    <w:rsid w:val="009F3A34"/>
    <w:rsid w:val="009F425B"/>
    <w:rsid w:val="009F44BF"/>
    <w:rsid w:val="009F54E6"/>
    <w:rsid w:val="009F66F9"/>
    <w:rsid w:val="009F6E06"/>
    <w:rsid w:val="009F7345"/>
    <w:rsid w:val="00A004AD"/>
    <w:rsid w:val="00A011D0"/>
    <w:rsid w:val="00A01690"/>
    <w:rsid w:val="00A0351E"/>
    <w:rsid w:val="00A04E0D"/>
    <w:rsid w:val="00A04E0E"/>
    <w:rsid w:val="00A05DA1"/>
    <w:rsid w:val="00A06125"/>
    <w:rsid w:val="00A0652C"/>
    <w:rsid w:val="00A07A49"/>
    <w:rsid w:val="00A13B3F"/>
    <w:rsid w:val="00A13C1A"/>
    <w:rsid w:val="00A13E7D"/>
    <w:rsid w:val="00A141EA"/>
    <w:rsid w:val="00A14A0C"/>
    <w:rsid w:val="00A156F2"/>
    <w:rsid w:val="00A15CC2"/>
    <w:rsid w:val="00A16757"/>
    <w:rsid w:val="00A1694F"/>
    <w:rsid w:val="00A16E93"/>
    <w:rsid w:val="00A17204"/>
    <w:rsid w:val="00A17376"/>
    <w:rsid w:val="00A17B54"/>
    <w:rsid w:val="00A20267"/>
    <w:rsid w:val="00A203E0"/>
    <w:rsid w:val="00A229C0"/>
    <w:rsid w:val="00A229F6"/>
    <w:rsid w:val="00A22F3E"/>
    <w:rsid w:val="00A23251"/>
    <w:rsid w:val="00A235B0"/>
    <w:rsid w:val="00A23DB7"/>
    <w:rsid w:val="00A24077"/>
    <w:rsid w:val="00A24B4D"/>
    <w:rsid w:val="00A25379"/>
    <w:rsid w:val="00A258BD"/>
    <w:rsid w:val="00A26417"/>
    <w:rsid w:val="00A266E6"/>
    <w:rsid w:val="00A27670"/>
    <w:rsid w:val="00A27EDC"/>
    <w:rsid w:val="00A30FEE"/>
    <w:rsid w:val="00A34E6C"/>
    <w:rsid w:val="00A350D3"/>
    <w:rsid w:val="00A3518A"/>
    <w:rsid w:val="00A35938"/>
    <w:rsid w:val="00A368AB"/>
    <w:rsid w:val="00A36CD9"/>
    <w:rsid w:val="00A37083"/>
    <w:rsid w:val="00A377A4"/>
    <w:rsid w:val="00A37D9A"/>
    <w:rsid w:val="00A416CE"/>
    <w:rsid w:val="00A41DAB"/>
    <w:rsid w:val="00A43118"/>
    <w:rsid w:val="00A43C57"/>
    <w:rsid w:val="00A43FC6"/>
    <w:rsid w:val="00A44169"/>
    <w:rsid w:val="00A45F4F"/>
    <w:rsid w:val="00A4636D"/>
    <w:rsid w:val="00A46486"/>
    <w:rsid w:val="00A46705"/>
    <w:rsid w:val="00A46A1F"/>
    <w:rsid w:val="00A47318"/>
    <w:rsid w:val="00A473A7"/>
    <w:rsid w:val="00A4744C"/>
    <w:rsid w:val="00A4784F"/>
    <w:rsid w:val="00A50610"/>
    <w:rsid w:val="00A517EB"/>
    <w:rsid w:val="00A519E2"/>
    <w:rsid w:val="00A51DC1"/>
    <w:rsid w:val="00A5295C"/>
    <w:rsid w:val="00A529D0"/>
    <w:rsid w:val="00A52ABF"/>
    <w:rsid w:val="00A52EA5"/>
    <w:rsid w:val="00A52F0B"/>
    <w:rsid w:val="00A5355E"/>
    <w:rsid w:val="00A53643"/>
    <w:rsid w:val="00A536FB"/>
    <w:rsid w:val="00A55B68"/>
    <w:rsid w:val="00A55FAC"/>
    <w:rsid w:val="00A5632B"/>
    <w:rsid w:val="00A56A76"/>
    <w:rsid w:val="00A5703C"/>
    <w:rsid w:val="00A577B5"/>
    <w:rsid w:val="00A60F75"/>
    <w:rsid w:val="00A6143C"/>
    <w:rsid w:val="00A6184B"/>
    <w:rsid w:val="00A618C8"/>
    <w:rsid w:val="00A61FAF"/>
    <w:rsid w:val="00A629CC"/>
    <w:rsid w:val="00A63E23"/>
    <w:rsid w:val="00A63F81"/>
    <w:rsid w:val="00A647A3"/>
    <w:rsid w:val="00A65261"/>
    <w:rsid w:val="00A6772A"/>
    <w:rsid w:val="00A71FA5"/>
    <w:rsid w:val="00A72C32"/>
    <w:rsid w:val="00A751F1"/>
    <w:rsid w:val="00A75334"/>
    <w:rsid w:val="00A7533C"/>
    <w:rsid w:val="00A75A31"/>
    <w:rsid w:val="00A75C48"/>
    <w:rsid w:val="00A75EAC"/>
    <w:rsid w:val="00A76C27"/>
    <w:rsid w:val="00A807AB"/>
    <w:rsid w:val="00A816E9"/>
    <w:rsid w:val="00A82E0D"/>
    <w:rsid w:val="00A8342E"/>
    <w:rsid w:val="00A837C0"/>
    <w:rsid w:val="00A837EA"/>
    <w:rsid w:val="00A83CFE"/>
    <w:rsid w:val="00A8433B"/>
    <w:rsid w:val="00A8674C"/>
    <w:rsid w:val="00A86C98"/>
    <w:rsid w:val="00A86D12"/>
    <w:rsid w:val="00A86D88"/>
    <w:rsid w:val="00A87201"/>
    <w:rsid w:val="00A903E8"/>
    <w:rsid w:val="00A9134A"/>
    <w:rsid w:val="00A91C1E"/>
    <w:rsid w:val="00A9581B"/>
    <w:rsid w:val="00A962DE"/>
    <w:rsid w:val="00A968BB"/>
    <w:rsid w:val="00A96A38"/>
    <w:rsid w:val="00A96B1D"/>
    <w:rsid w:val="00A97520"/>
    <w:rsid w:val="00A97536"/>
    <w:rsid w:val="00AA0165"/>
    <w:rsid w:val="00AA12A0"/>
    <w:rsid w:val="00AA32CE"/>
    <w:rsid w:val="00AA4F07"/>
    <w:rsid w:val="00AA51B2"/>
    <w:rsid w:val="00AA5B11"/>
    <w:rsid w:val="00AA5FF7"/>
    <w:rsid w:val="00AA72DF"/>
    <w:rsid w:val="00AA7878"/>
    <w:rsid w:val="00AB1592"/>
    <w:rsid w:val="00AB19E1"/>
    <w:rsid w:val="00AB1F2C"/>
    <w:rsid w:val="00AB3296"/>
    <w:rsid w:val="00AB42E4"/>
    <w:rsid w:val="00AB4624"/>
    <w:rsid w:val="00AB6F35"/>
    <w:rsid w:val="00AB71E6"/>
    <w:rsid w:val="00AB7622"/>
    <w:rsid w:val="00AB77C8"/>
    <w:rsid w:val="00AC030E"/>
    <w:rsid w:val="00AC058E"/>
    <w:rsid w:val="00AC0ED4"/>
    <w:rsid w:val="00AC2D08"/>
    <w:rsid w:val="00AC2F18"/>
    <w:rsid w:val="00AC344A"/>
    <w:rsid w:val="00AC3E3D"/>
    <w:rsid w:val="00AC4826"/>
    <w:rsid w:val="00AC4A44"/>
    <w:rsid w:val="00AC50C3"/>
    <w:rsid w:val="00AC77B7"/>
    <w:rsid w:val="00AC7E87"/>
    <w:rsid w:val="00AD1013"/>
    <w:rsid w:val="00AD1DA9"/>
    <w:rsid w:val="00AD21E6"/>
    <w:rsid w:val="00AD3336"/>
    <w:rsid w:val="00AD59A8"/>
    <w:rsid w:val="00AD5D57"/>
    <w:rsid w:val="00AD60DC"/>
    <w:rsid w:val="00AD6471"/>
    <w:rsid w:val="00AD662F"/>
    <w:rsid w:val="00AD66CE"/>
    <w:rsid w:val="00AD6A0E"/>
    <w:rsid w:val="00AD792A"/>
    <w:rsid w:val="00AE0161"/>
    <w:rsid w:val="00AE0756"/>
    <w:rsid w:val="00AE083D"/>
    <w:rsid w:val="00AE1719"/>
    <w:rsid w:val="00AE28C7"/>
    <w:rsid w:val="00AE502C"/>
    <w:rsid w:val="00AE5090"/>
    <w:rsid w:val="00AE5450"/>
    <w:rsid w:val="00AE5BC8"/>
    <w:rsid w:val="00AE6859"/>
    <w:rsid w:val="00AE70B4"/>
    <w:rsid w:val="00AE7473"/>
    <w:rsid w:val="00AF0058"/>
    <w:rsid w:val="00AF1EF8"/>
    <w:rsid w:val="00AF3B9D"/>
    <w:rsid w:val="00AF5277"/>
    <w:rsid w:val="00AF55AF"/>
    <w:rsid w:val="00AF5CB5"/>
    <w:rsid w:val="00AF6488"/>
    <w:rsid w:val="00AF7067"/>
    <w:rsid w:val="00AF768F"/>
    <w:rsid w:val="00AF7C92"/>
    <w:rsid w:val="00B00ADE"/>
    <w:rsid w:val="00B00EBE"/>
    <w:rsid w:val="00B018AF"/>
    <w:rsid w:val="00B0393E"/>
    <w:rsid w:val="00B04B1D"/>
    <w:rsid w:val="00B051C1"/>
    <w:rsid w:val="00B05D74"/>
    <w:rsid w:val="00B06A1D"/>
    <w:rsid w:val="00B0752A"/>
    <w:rsid w:val="00B07940"/>
    <w:rsid w:val="00B141ED"/>
    <w:rsid w:val="00B14A81"/>
    <w:rsid w:val="00B155F1"/>
    <w:rsid w:val="00B15DA3"/>
    <w:rsid w:val="00B1659D"/>
    <w:rsid w:val="00B16765"/>
    <w:rsid w:val="00B175F8"/>
    <w:rsid w:val="00B2044E"/>
    <w:rsid w:val="00B206C1"/>
    <w:rsid w:val="00B2074A"/>
    <w:rsid w:val="00B20E93"/>
    <w:rsid w:val="00B21547"/>
    <w:rsid w:val="00B22340"/>
    <w:rsid w:val="00B23926"/>
    <w:rsid w:val="00B23B5B"/>
    <w:rsid w:val="00B23C2E"/>
    <w:rsid w:val="00B2489A"/>
    <w:rsid w:val="00B24976"/>
    <w:rsid w:val="00B24A3E"/>
    <w:rsid w:val="00B253C1"/>
    <w:rsid w:val="00B2648B"/>
    <w:rsid w:val="00B26B70"/>
    <w:rsid w:val="00B27287"/>
    <w:rsid w:val="00B31F55"/>
    <w:rsid w:val="00B332C1"/>
    <w:rsid w:val="00B34CE6"/>
    <w:rsid w:val="00B350CE"/>
    <w:rsid w:val="00B35156"/>
    <w:rsid w:val="00B35342"/>
    <w:rsid w:val="00B359DA"/>
    <w:rsid w:val="00B40106"/>
    <w:rsid w:val="00B40459"/>
    <w:rsid w:val="00B40975"/>
    <w:rsid w:val="00B40A2F"/>
    <w:rsid w:val="00B42706"/>
    <w:rsid w:val="00B44D38"/>
    <w:rsid w:val="00B45255"/>
    <w:rsid w:val="00B462CA"/>
    <w:rsid w:val="00B4683C"/>
    <w:rsid w:val="00B46B42"/>
    <w:rsid w:val="00B46FA1"/>
    <w:rsid w:val="00B474CD"/>
    <w:rsid w:val="00B5025C"/>
    <w:rsid w:val="00B50B72"/>
    <w:rsid w:val="00B51433"/>
    <w:rsid w:val="00B525FE"/>
    <w:rsid w:val="00B53399"/>
    <w:rsid w:val="00B53949"/>
    <w:rsid w:val="00B53E51"/>
    <w:rsid w:val="00B55400"/>
    <w:rsid w:val="00B5738E"/>
    <w:rsid w:val="00B57706"/>
    <w:rsid w:val="00B64359"/>
    <w:rsid w:val="00B657A5"/>
    <w:rsid w:val="00B67678"/>
    <w:rsid w:val="00B7177C"/>
    <w:rsid w:val="00B719D6"/>
    <w:rsid w:val="00B724B6"/>
    <w:rsid w:val="00B72ACA"/>
    <w:rsid w:val="00B747D9"/>
    <w:rsid w:val="00B75626"/>
    <w:rsid w:val="00B758A4"/>
    <w:rsid w:val="00B75F59"/>
    <w:rsid w:val="00B771D6"/>
    <w:rsid w:val="00B77561"/>
    <w:rsid w:val="00B77D6B"/>
    <w:rsid w:val="00B80768"/>
    <w:rsid w:val="00B81659"/>
    <w:rsid w:val="00B81C2B"/>
    <w:rsid w:val="00B8677B"/>
    <w:rsid w:val="00B86D26"/>
    <w:rsid w:val="00B870E2"/>
    <w:rsid w:val="00B90679"/>
    <w:rsid w:val="00B907B5"/>
    <w:rsid w:val="00B91753"/>
    <w:rsid w:val="00B917B9"/>
    <w:rsid w:val="00B92092"/>
    <w:rsid w:val="00B924BB"/>
    <w:rsid w:val="00B941EC"/>
    <w:rsid w:val="00B947D5"/>
    <w:rsid w:val="00B94B65"/>
    <w:rsid w:val="00B95EEA"/>
    <w:rsid w:val="00B96155"/>
    <w:rsid w:val="00B96183"/>
    <w:rsid w:val="00B96DE7"/>
    <w:rsid w:val="00B96DEC"/>
    <w:rsid w:val="00B9721B"/>
    <w:rsid w:val="00B97CFA"/>
    <w:rsid w:val="00B97DEA"/>
    <w:rsid w:val="00B97FB2"/>
    <w:rsid w:val="00BA021D"/>
    <w:rsid w:val="00BA085B"/>
    <w:rsid w:val="00BA0CC6"/>
    <w:rsid w:val="00BA1BEE"/>
    <w:rsid w:val="00BA1C4D"/>
    <w:rsid w:val="00BA2028"/>
    <w:rsid w:val="00BA3ED2"/>
    <w:rsid w:val="00BA3F3E"/>
    <w:rsid w:val="00BA4255"/>
    <w:rsid w:val="00BA5025"/>
    <w:rsid w:val="00BA521C"/>
    <w:rsid w:val="00BA66AB"/>
    <w:rsid w:val="00BA6E97"/>
    <w:rsid w:val="00BA7219"/>
    <w:rsid w:val="00BB1AC0"/>
    <w:rsid w:val="00BB1F2D"/>
    <w:rsid w:val="00BB200A"/>
    <w:rsid w:val="00BB5FA3"/>
    <w:rsid w:val="00BB6137"/>
    <w:rsid w:val="00BB6320"/>
    <w:rsid w:val="00BB6994"/>
    <w:rsid w:val="00BB7AB0"/>
    <w:rsid w:val="00BB7B05"/>
    <w:rsid w:val="00BB7C8A"/>
    <w:rsid w:val="00BC16B4"/>
    <w:rsid w:val="00BC3957"/>
    <w:rsid w:val="00BC4197"/>
    <w:rsid w:val="00BC41BC"/>
    <w:rsid w:val="00BC4A27"/>
    <w:rsid w:val="00BC512E"/>
    <w:rsid w:val="00BC51B6"/>
    <w:rsid w:val="00BC5523"/>
    <w:rsid w:val="00BC57B2"/>
    <w:rsid w:val="00BC593F"/>
    <w:rsid w:val="00BC6243"/>
    <w:rsid w:val="00BC653E"/>
    <w:rsid w:val="00BC7455"/>
    <w:rsid w:val="00BC78B7"/>
    <w:rsid w:val="00BC7ADE"/>
    <w:rsid w:val="00BD043D"/>
    <w:rsid w:val="00BD049B"/>
    <w:rsid w:val="00BD135B"/>
    <w:rsid w:val="00BD149B"/>
    <w:rsid w:val="00BD1667"/>
    <w:rsid w:val="00BD18AA"/>
    <w:rsid w:val="00BD2910"/>
    <w:rsid w:val="00BD299E"/>
    <w:rsid w:val="00BD2BBA"/>
    <w:rsid w:val="00BD5230"/>
    <w:rsid w:val="00BD5D20"/>
    <w:rsid w:val="00BD5D8B"/>
    <w:rsid w:val="00BD6A25"/>
    <w:rsid w:val="00BD77DC"/>
    <w:rsid w:val="00BE00AF"/>
    <w:rsid w:val="00BE05B6"/>
    <w:rsid w:val="00BE07A0"/>
    <w:rsid w:val="00BE08DC"/>
    <w:rsid w:val="00BE0F3C"/>
    <w:rsid w:val="00BE1020"/>
    <w:rsid w:val="00BE129C"/>
    <w:rsid w:val="00BE14C4"/>
    <w:rsid w:val="00BE1801"/>
    <w:rsid w:val="00BE1F83"/>
    <w:rsid w:val="00BE2648"/>
    <w:rsid w:val="00BE2DAF"/>
    <w:rsid w:val="00BE3533"/>
    <w:rsid w:val="00BE362B"/>
    <w:rsid w:val="00BE4220"/>
    <w:rsid w:val="00BE4B11"/>
    <w:rsid w:val="00BE4F65"/>
    <w:rsid w:val="00BE5D74"/>
    <w:rsid w:val="00BE634D"/>
    <w:rsid w:val="00BE6931"/>
    <w:rsid w:val="00BE77FC"/>
    <w:rsid w:val="00BF0151"/>
    <w:rsid w:val="00BF0797"/>
    <w:rsid w:val="00BF217E"/>
    <w:rsid w:val="00BF38C0"/>
    <w:rsid w:val="00BF3C2C"/>
    <w:rsid w:val="00BF463C"/>
    <w:rsid w:val="00BF4F03"/>
    <w:rsid w:val="00BF598D"/>
    <w:rsid w:val="00BF69A3"/>
    <w:rsid w:val="00BF79F9"/>
    <w:rsid w:val="00C0039D"/>
    <w:rsid w:val="00C00866"/>
    <w:rsid w:val="00C00B58"/>
    <w:rsid w:val="00C0173C"/>
    <w:rsid w:val="00C04713"/>
    <w:rsid w:val="00C05B83"/>
    <w:rsid w:val="00C066A6"/>
    <w:rsid w:val="00C075F2"/>
    <w:rsid w:val="00C129A0"/>
    <w:rsid w:val="00C12B7E"/>
    <w:rsid w:val="00C1357A"/>
    <w:rsid w:val="00C13FE1"/>
    <w:rsid w:val="00C152CC"/>
    <w:rsid w:val="00C15694"/>
    <w:rsid w:val="00C159DD"/>
    <w:rsid w:val="00C15A2E"/>
    <w:rsid w:val="00C161B2"/>
    <w:rsid w:val="00C2129D"/>
    <w:rsid w:val="00C21B0F"/>
    <w:rsid w:val="00C21D38"/>
    <w:rsid w:val="00C235CE"/>
    <w:rsid w:val="00C24160"/>
    <w:rsid w:val="00C2467E"/>
    <w:rsid w:val="00C24C8D"/>
    <w:rsid w:val="00C256A2"/>
    <w:rsid w:val="00C25A76"/>
    <w:rsid w:val="00C260BA"/>
    <w:rsid w:val="00C27D91"/>
    <w:rsid w:val="00C30415"/>
    <w:rsid w:val="00C3093A"/>
    <w:rsid w:val="00C312CD"/>
    <w:rsid w:val="00C31770"/>
    <w:rsid w:val="00C31F58"/>
    <w:rsid w:val="00C33ACD"/>
    <w:rsid w:val="00C34657"/>
    <w:rsid w:val="00C36194"/>
    <w:rsid w:val="00C362D4"/>
    <w:rsid w:val="00C36E30"/>
    <w:rsid w:val="00C37185"/>
    <w:rsid w:val="00C37A8A"/>
    <w:rsid w:val="00C37FB5"/>
    <w:rsid w:val="00C405A8"/>
    <w:rsid w:val="00C4279E"/>
    <w:rsid w:val="00C43F7D"/>
    <w:rsid w:val="00C45D78"/>
    <w:rsid w:val="00C461E1"/>
    <w:rsid w:val="00C46F4E"/>
    <w:rsid w:val="00C47241"/>
    <w:rsid w:val="00C47366"/>
    <w:rsid w:val="00C5061A"/>
    <w:rsid w:val="00C5079C"/>
    <w:rsid w:val="00C50971"/>
    <w:rsid w:val="00C50B50"/>
    <w:rsid w:val="00C512E3"/>
    <w:rsid w:val="00C51C86"/>
    <w:rsid w:val="00C51EB3"/>
    <w:rsid w:val="00C546AB"/>
    <w:rsid w:val="00C54A2F"/>
    <w:rsid w:val="00C55B9A"/>
    <w:rsid w:val="00C55BBB"/>
    <w:rsid w:val="00C55CFA"/>
    <w:rsid w:val="00C56BBD"/>
    <w:rsid w:val="00C60617"/>
    <w:rsid w:val="00C60834"/>
    <w:rsid w:val="00C6114E"/>
    <w:rsid w:val="00C61AB5"/>
    <w:rsid w:val="00C6213D"/>
    <w:rsid w:val="00C62239"/>
    <w:rsid w:val="00C627C9"/>
    <w:rsid w:val="00C642A8"/>
    <w:rsid w:val="00C64B52"/>
    <w:rsid w:val="00C64D20"/>
    <w:rsid w:val="00C658D1"/>
    <w:rsid w:val="00C67931"/>
    <w:rsid w:val="00C67C95"/>
    <w:rsid w:val="00C67CAA"/>
    <w:rsid w:val="00C7022A"/>
    <w:rsid w:val="00C70582"/>
    <w:rsid w:val="00C70D69"/>
    <w:rsid w:val="00C71662"/>
    <w:rsid w:val="00C71714"/>
    <w:rsid w:val="00C7189D"/>
    <w:rsid w:val="00C72300"/>
    <w:rsid w:val="00C74D67"/>
    <w:rsid w:val="00C772E2"/>
    <w:rsid w:val="00C77F45"/>
    <w:rsid w:val="00C81F6A"/>
    <w:rsid w:val="00C82A56"/>
    <w:rsid w:val="00C83A6F"/>
    <w:rsid w:val="00C83B49"/>
    <w:rsid w:val="00C84222"/>
    <w:rsid w:val="00C84411"/>
    <w:rsid w:val="00C85143"/>
    <w:rsid w:val="00C8569F"/>
    <w:rsid w:val="00C858FD"/>
    <w:rsid w:val="00C86068"/>
    <w:rsid w:val="00C8694F"/>
    <w:rsid w:val="00C87413"/>
    <w:rsid w:val="00C877D1"/>
    <w:rsid w:val="00C90740"/>
    <w:rsid w:val="00C90D7F"/>
    <w:rsid w:val="00C9210C"/>
    <w:rsid w:val="00C92157"/>
    <w:rsid w:val="00C923BF"/>
    <w:rsid w:val="00C92F9D"/>
    <w:rsid w:val="00C93881"/>
    <w:rsid w:val="00C93882"/>
    <w:rsid w:val="00C947CE"/>
    <w:rsid w:val="00C95E81"/>
    <w:rsid w:val="00C96F4F"/>
    <w:rsid w:val="00C97396"/>
    <w:rsid w:val="00C97B73"/>
    <w:rsid w:val="00C97FA8"/>
    <w:rsid w:val="00CA13E8"/>
    <w:rsid w:val="00CA1F05"/>
    <w:rsid w:val="00CA3911"/>
    <w:rsid w:val="00CA4588"/>
    <w:rsid w:val="00CA5AB7"/>
    <w:rsid w:val="00CB070E"/>
    <w:rsid w:val="00CB3605"/>
    <w:rsid w:val="00CB484B"/>
    <w:rsid w:val="00CB4BB4"/>
    <w:rsid w:val="00CB5853"/>
    <w:rsid w:val="00CB5C5B"/>
    <w:rsid w:val="00CB62DB"/>
    <w:rsid w:val="00CB6CB3"/>
    <w:rsid w:val="00CC0248"/>
    <w:rsid w:val="00CC076C"/>
    <w:rsid w:val="00CC2E79"/>
    <w:rsid w:val="00CC2EB6"/>
    <w:rsid w:val="00CC337E"/>
    <w:rsid w:val="00CC4666"/>
    <w:rsid w:val="00CC48B7"/>
    <w:rsid w:val="00CC5E4E"/>
    <w:rsid w:val="00CC6EFB"/>
    <w:rsid w:val="00CD1C95"/>
    <w:rsid w:val="00CD1CFF"/>
    <w:rsid w:val="00CD1D62"/>
    <w:rsid w:val="00CD2E42"/>
    <w:rsid w:val="00CD3562"/>
    <w:rsid w:val="00CD3724"/>
    <w:rsid w:val="00CD4186"/>
    <w:rsid w:val="00CD5745"/>
    <w:rsid w:val="00CD5F49"/>
    <w:rsid w:val="00CD6E12"/>
    <w:rsid w:val="00CD6F83"/>
    <w:rsid w:val="00CD74E8"/>
    <w:rsid w:val="00CD7EAB"/>
    <w:rsid w:val="00CE053B"/>
    <w:rsid w:val="00CE0F66"/>
    <w:rsid w:val="00CE13A0"/>
    <w:rsid w:val="00CE152D"/>
    <w:rsid w:val="00CE1C4F"/>
    <w:rsid w:val="00CE2FDE"/>
    <w:rsid w:val="00CE38FB"/>
    <w:rsid w:val="00CE4977"/>
    <w:rsid w:val="00CE4F78"/>
    <w:rsid w:val="00CE51E5"/>
    <w:rsid w:val="00CE522B"/>
    <w:rsid w:val="00CE598D"/>
    <w:rsid w:val="00CE5C67"/>
    <w:rsid w:val="00CE60E7"/>
    <w:rsid w:val="00CE6AED"/>
    <w:rsid w:val="00CE77A8"/>
    <w:rsid w:val="00CF01DA"/>
    <w:rsid w:val="00CF08BC"/>
    <w:rsid w:val="00CF0A99"/>
    <w:rsid w:val="00CF16EF"/>
    <w:rsid w:val="00CF18BE"/>
    <w:rsid w:val="00CF3678"/>
    <w:rsid w:val="00CF443C"/>
    <w:rsid w:val="00CF47A0"/>
    <w:rsid w:val="00CF5AB3"/>
    <w:rsid w:val="00CF5CDE"/>
    <w:rsid w:val="00CF6291"/>
    <w:rsid w:val="00CF6C24"/>
    <w:rsid w:val="00CF78A3"/>
    <w:rsid w:val="00D00632"/>
    <w:rsid w:val="00D01AEA"/>
    <w:rsid w:val="00D024A6"/>
    <w:rsid w:val="00D0257A"/>
    <w:rsid w:val="00D02623"/>
    <w:rsid w:val="00D02978"/>
    <w:rsid w:val="00D030DE"/>
    <w:rsid w:val="00D0444D"/>
    <w:rsid w:val="00D049E7"/>
    <w:rsid w:val="00D05C0C"/>
    <w:rsid w:val="00D06597"/>
    <w:rsid w:val="00D074DC"/>
    <w:rsid w:val="00D10083"/>
    <w:rsid w:val="00D103C2"/>
    <w:rsid w:val="00D1074C"/>
    <w:rsid w:val="00D11068"/>
    <w:rsid w:val="00D11248"/>
    <w:rsid w:val="00D12A39"/>
    <w:rsid w:val="00D13227"/>
    <w:rsid w:val="00D14E92"/>
    <w:rsid w:val="00D14F5E"/>
    <w:rsid w:val="00D161E8"/>
    <w:rsid w:val="00D164DD"/>
    <w:rsid w:val="00D16E4A"/>
    <w:rsid w:val="00D17751"/>
    <w:rsid w:val="00D213D5"/>
    <w:rsid w:val="00D22BA6"/>
    <w:rsid w:val="00D230E0"/>
    <w:rsid w:val="00D23CC9"/>
    <w:rsid w:val="00D24E34"/>
    <w:rsid w:val="00D25652"/>
    <w:rsid w:val="00D262E8"/>
    <w:rsid w:val="00D26AC0"/>
    <w:rsid w:val="00D27130"/>
    <w:rsid w:val="00D3057C"/>
    <w:rsid w:val="00D3062C"/>
    <w:rsid w:val="00D319AC"/>
    <w:rsid w:val="00D31A09"/>
    <w:rsid w:val="00D31C3E"/>
    <w:rsid w:val="00D31D9B"/>
    <w:rsid w:val="00D3235F"/>
    <w:rsid w:val="00D3294D"/>
    <w:rsid w:val="00D32A25"/>
    <w:rsid w:val="00D342C6"/>
    <w:rsid w:val="00D3439A"/>
    <w:rsid w:val="00D343E4"/>
    <w:rsid w:val="00D34473"/>
    <w:rsid w:val="00D34B48"/>
    <w:rsid w:val="00D35AD0"/>
    <w:rsid w:val="00D364AD"/>
    <w:rsid w:val="00D367B8"/>
    <w:rsid w:val="00D36F16"/>
    <w:rsid w:val="00D37082"/>
    <w:rsid w:val="00D372DF"/>
    <w:rsid w:val="00D379ED"/>
    <w:rsid w:val="00D37EFB"/>
    <w:rsid w:val="00D40631"/>
    <w:rsid w:val="00D40B2A"/>
    <w:rsid w:val="00D44A73"/>
    <w:rsid w:val="00D4520D"/>
    <w:rsid w:val="00D46098"/>
    <w:rsid w:val="00D46389"/>
    <w:rsid w:val="00D476EF"/>
    <w:rsid w:val="00D50B21"/>
    <w:rsid w:val="00D512FA"/>
    <w:rsid w:val="00D51B6A"/>
    <w:rsid w:val="00D5252D"/>
    <w:rsid w:val="00D54219"/>
    <w:rsid w:val="00D54B35"/>
    <w:rsid w:val="00D5586F"/>
    <w:rsid w:val="00D567B1"/>
    <w:rsid w:val="00D56D22"/>
    <w:rsid w:val="00D57058"/>
    <w:rsid w:val="00D60070"/>
    <w:rsid w:val="00D606D8"/>
    <w:rsid w:val="00D61690"/>
    <w:rsid w:val="00D634FF"/>
    <w:rsid w:val="00D63A35"/>
    <w:rsid w:val="00D6467B"/>
    <w:rsid w:val="00D64F00"/>
    <w:rsid w:val="00D65F6E"/>
    <w:rsid w:val="00D66951"/>
    <w:rsid w:val="00D704D7"/>
    <w:rsid w:val="00D71699"/>
    <w:rsid w:val="00D72710"/>
    <w:rsid w:val="00D7297B"/>
    <w:rsid w:val="00D72CE2"/>
    <w:rsid w:val="00D7335C"/>
    <w:rsid w:val="00D73568"/>
    <w:rsid w:val="00D73AD0"/>
    <w:rsid w:val="00D74130"/>
    <w:rsid w:val="00D7427D"/>
    <w:rsid w:val="00D758A1"/>
    <w:rsid w:val="00D75B63"/>
    <w:rsid w:val="00D763D5"/>
    <w:rsid w:val="00D7662F"/>
    <w:rsid w:val="00D7705C"/>
    <w:rsid w:val="00D77B13"/>
    <w:rsid w:val="00D77E7E"/>
    <w:rsid w:val="00D8044B"/>
    <w:rsid w:val="00D80AB4"/>
    <w:rsid w:val="00D80E14"/>
    <w:rsid w:val="00D82205"/>
    <w:rsid w:val="00D83610"/>
    <w:rsid w:val="00D85D77"/>
    <w:rsid w:val="00D8620C"/>
    <w:rsid w:val="00D865A8"/>
    <w:rsid w:val="00D87698"/>
    <w:rsid w:val="00D87852"/>
    <w:rsid w:val="00D87D95"/>
    <w:rsid w:val="00D90795"/>
    <w:rsid w:val="00D91311"/>
    <w:rsid w:val="00D91ED1"/>
    <w:rsid w:val="00D928B7"/>
    <w:rsid w:val="00D9375C"/>
    <w:rsid w:val="00D93C3F"/>
    <w:rsid w:val="00D95490"/>
    <w:rsid w:val="00D95D08"/>
    <w:rsid w:val="00D96B3F"/>
    <w:rsid w:val="00D96F6F"/>
    <w:rsid w:val="00DA03EC"/>
    <w:rsid w:val="00DA0C9A"/>
    <w:rsid w:val="00DA15A0"/>
    <w:rsid w:val="00DA267A"/>
    <w:rsid w:val="00DA317F"/>
    <w:rsid w:val="00DA3C73"/>
    <w:rsid w:val="00DA3CE4"/>
    <w:rsid w:val="00DA3FBD"/>
    <w:rsid w:val="00DA624D"/>
    <w:rsid w:val="00DB0124"/>
    <w:rsid w:val="00DB0369"/>
    <w:rsid w:val="00DB05CE"/>
    <w:rsid w:val="00DB0CC8"/>
    <w:rsid w:val="00DB0D6F"/>
    <w:rsid w:val="00DB25D9"/>
    <w:rsid w:val="00DB32E9"/>
    <w:rsid w:val="00DB3F0B"/>
    <w:rsid w:val="00DB414C"/>
    <w:rsid w:val="00DB5572"/>
    <w:rsid w:val="00DB58EA"/>
    <w:rsid w:val="00DB611B"/>
    <w:rsid w:val="00DB61E7"/>
    <w:rsid w:val="00DB6746"/>
    <w:rsid w:val="00DB68A1"/>
    <w:rsid w:val="00DB7330"/>
    <w:rsid w:val="00DC0A96"/>
    <w:rsid w:val="00DC22C4"/>
    <w:rsid w:val="00DC23CB"/>
    <w:rsid w:val="00DC25EF"/>
    <w:rsid w:val="00DC3348"/>
    <w:rsid w:val="00DC4217"/>
    <w:rsid w:val="00DC5370"/>
    <w:rsid w:val="00DC54C3"/>
    <w:rsid w:val="00DC5AA0"/>
    <w:rsid w:val="00DC5B08"/>
    <w:rsid w:val="00DC6B53"/>
    <w:rsid w:val="00DC77FD"/>
    <w:rsid w:val="00DC7C82"/>
    <w:rsid w:val="00DD03C0"/>
    <w:rsid w:val="00DD119F"/>
    <w:rsid w:val="00DD1220"/>
    <w:rsid w:val="00DD264F"/>
    <w:rsid w:val="00DD267A"/>
    <w:rsid w:val="00DD2A41"/>
    <w:rsid w:val="00DD314A"/>
    <w:rsid w:val="00DD3162"/>
    <w:rsid w:val="00DD37C1"/>
    <w:rsid w:val="00DD552D"/>
    <w:rsid w:val="00DD6AFC"/>
    <w:rsid w:val="00DD7D97"/>
    <w:rsid w:val="00DD7F3D"/>
    <w:rsid w:val="00DE2321"/>
    <w:rsid w:val="00DE24A0"/>
    <w:rsid w:val="00DE4029"/>
    <w:rsid w:val="00DE4526"/>
    <w:rsid w:val="00DE5AC0"/>
    <w:rsid w:val="00DE5ACB"/>
    <w:rsid w:val="00DE601A"/>
    <w:rsid w:val="00DE6184"/>
    <w:rsid w:val="00DE67E7"/>
    <w:rsid w:val="00DE796C"/>
    <w:rsid w:val="00DE7A8A"/>
    <w:rsid w:val="00DF02F6"/>
    <w:rsid w:val="00DF10A9"/>
    <w:rsid w:val="00DF12B1"/>
    <w:rsid w:val="00DF17A9"/>
    <w:rsid w:val="00DF257F"/>
    <w:rsid w:val="00DF27C4"/>
    <w:rsid w:val="00DF55C3"/>
    <w:rsid w:val="00DF61C6"/>
    <w:rsid w:val="00DF6F0E"/>
    <w:rsid w:val="00DF798D"/>
    <w:rsid w:val="00E00273"/>
    <w:rsid w:val="00E004AA"/>
    <w:rsid w:val="00E0053B"/>
    <w:rsid w:val="00E00A50"/>
    <w:rsid w:val="00E01427"/>
    <w:rsid w:val="00E0196F"/>
    <w:rsid w:val="00E02073"/>
    <w:rsid w:val="00E02A76"/>
    <w:rsid w:val="00E036D6"/>
    <w:rsid w:val="00E03B71"/>
    <w:rsid w:val="00E04CC2"/>
    <w:rsid w:val="00E05112"/>
    <w:rsid w:val="00E064A7"/>
    <w:rsid w:val="00E066ED"/>
    <w:rsid w:val="00E069E0"/>
    <w:rsid w:val="00E1131B"/>
    <w:rsid w:val="00E1325A"/>
    <w:rsid w:val="00E13569"/>
    <w:rsid w:val="00E1571B"/>
    <w:rsid w:val="00E15A9D"/>
    <w:rsid w:val="00E1696B"/>
    <w:rsid w:val="00E170B4"/>
    <w:rsid w:val="00E1712D"/>
    <w:rsid w:val="00E173C6"/>
    <w:rsid w:val="00E208E0"/>
    <w:rsid w:val="00E20E85"/>
    <w:rsid w:val="00E21341"/>
    <w:rsid w:val="00E2151D"/>
    <w:rsid w:val="00E22216"/>
    <w:rsid w:val="00E22F8C"/>
    <w:rsid w:val="00E23315"/>
    <w:rsid w:val="00E234A6"/>
    <w:rsid w:val="00E2362D"/>
    <w:rsid w:val="00E23632"/>
    <w:rsid w:val="00E23E61"/>
    <w:rsid w:val="00E24CB4"/>
    <w:rsid w:val="00E24DDB"/>
    <w:rsid w:val="00E254E9"/>
    <w:rsid w:val="00E271E2"/>
    <w:rsid w:val="00E27AB9"/>
    <w:rsid w:val="00E27DB9"/>
    <w:rsid w:val="00E315EF"/>
    <w:rsid w:val="00E31CE9"/>
    <w:rsid w:val="00E32DE7"/>
    <w:rsid w:val="00E3340B"/>
    <w:rsid w:val="00E335C1"/>
    <w:rsid w:val="00E33D42"/>
    <w:rsid w:val="00E3419E"/>
    <w:rsid w:val="00E36BD3"/>
    <w:rsid w:val="00E37238"/>
    <w:rsid w:val="00E40398"/>
    <w:rsid w:val="00E40544"/>
    <w:rsid w:val="00E4065C"/>
    <w:rsid w:val="00E40AF2"/>
    <w:rsid w:val="00E41547"/>
    <w:rsid w:val="00E41FDD"/>
    <w:rsid w:val="00E42839"/>
    <w:rsid w:val="00E4474A"/>
    <w:rsid w:val="00E44B3C"/>
    <w:rsid w:val="00E45003"/>
    <w:rsid w:val="00E45471"/>
    <w:rsid w:val="00E45B16"/>
    <w:rsid w:val="00E46DF7"/>
    <w:rsid w:val="00E46E61"/>
    <w:rsid w:val="00E46E9B"/>
    <w:rsid w:val="00E476F1"/>
    <w:rsid w:val="00E5094E"/>
    <w:rsid w:val="00E514A5"/>
    <w:rsid w:val="00E518EC"/>
    <w:rsid w:val="00E524EB"/>
    <w:rsid w:val="00E529B1"/>
    <w:rsid w:val="00E5420E"/>
    <w:rsid w:val="00E54473"/>
    <w:rsid w:val="00E54C25"/>
    <w:rsid w:val="00E560AF"/>
    <w:rsid w:val="00E571A9"/>
    <w:rsid w:val="00E616F5"/>
    <w:rsid w:val="00E6187C"/>
    <w:rsid w:val="00E619FD"/>
    <w:rsid w:val="00E62FA4"/>
    <w:rsid w:val="00E63E3B"/>
    <w:rsid w:val="00E64380"/>
    <w:rsid w:val="00E65443"/>
    <w:rsid w:val="00E671BB"/>
    <w:rsid w:val="00E67936"/>
    <w:rsid w:val="00E70A0F"/>
    <w:rsid w:val="00E72A22"/>
    <w:rsid w:val="00E73261"/>
    <w:rsid w:val="00E734BC"/>
    <w:rsid w:val="00E73541"/>
    <w:rsid w:val="00E739CB"/>
    <w:rsid w:val="00E73C12"/>
    <w:rsid w:val="00E73E1A"/>
    <w:rsid w:val="00E73FE9"/>
    <w:rsid w:val="00E74302"/>
    <w:rsid w:val="00E75341"/>
    <w:rsid w:val="00E75C56"/>
    <w:rsid w:val="00E75CE1"/>
    <w:rsid w:val="00E76FB7"/>
    <w:rsid w:val="00E7759F"/>
    <w:rsid w:val="00E80065"/>
    <w:rsid w:val="00E806E7"/>
    <w:rsid w:val="00E80E8D"/>
    <w:rsid w:val="00E80F83"/>
    <w:rsid w:val="00E81C46"/>
    <w:rsid w:val="00E827AF"/>
    <w:rsid w:val="00E844B3"/>
    <w:rsid w:val="00E850FB"/>
    <w:rsid w:val="00E85A58"/>
    <w:rsid w:val="00E85A6D"/>
    <w:rsid w:val="00E87050"/>
    <w:rsid w:val="00E8756B"/>
    <w:rsid w:val="00E87664"/>
    <w:rsid w:val="00E8784F"/>
    <w:rsid w:val="00E8787E"/>
    <w:rsid w:val="00E90526"/>
    <w:rsid w:val="00E9236F"/>
    <w:rsid w:val="00E92557"/>
    <w:rsid w:val="00E926C8"/>
    <w:rsid w:val="00E93E01"/>
    <w:rsid w:val="00E9516D"/>
    <w:rsid w:val="00E95673"/>
    <w:rsid w:val="00E96FB3"/>
    <w:rsid w:val="00E974A1"/>
    <w:rsid w:val="00E97597"/>
    <w:rsid w:val="00EA023F"/>
    <w:rsid w:val="00EA2971"/>
    <w:rsid w:val="00EA359B"/>
    <w:rsid w:val="00EA3D7F"/>
    <w:rsid w:val="00EA5761"/>
    <w:rsid w:val="00EA58DA"/>
    <w:rsid w:val="00EA5AD4"/>
    <w:rsid w:val="00EA6660"/>
    <w:rsid w:val="00EA6942"/>
    <w:rsid w:val="00EA6CB3"/>
    <w:rsid w:val="00EA7B66"/>
    <w:rsid w:val="00EA7DE7"/>
    <w:rsid w:val="00EB0899"/>
    <w:rsid w:val="00EB08E5"/>
    <w:rsid w:val="00EB11E7"/>
    <w:rsid w:val="00EB157D"/>
    <w:rsid w:val="00EB1719"/>
    <w:rsid w:val="00EB1C9F"/>
    <w:rsid w:val="00EB2345"/>
    <w:rsid w:val="00EB2910"/>
    <w:rsid w:val="00EB2FF5"/>
    <w:rsid w:val="00EB3750"/>
    <w:rsid w:val="00EB38DF"/>
    <w:rsid w:val="00EB3E82"/>
    <w:rsid w:val="00EB496F"/>
    <w:rsid w:val="00EB4B96"/>
    <w:rsid w:val="00EB5307"/>
    <w:rsid w:val="00EB6252"/>
    <w:rsid w:val="00EB652F"/>
    <w:rsid w:val="00EB784D"/>
    <w:rsid w:val="00EC079A"/>
    <w:rsid w:val="00EC0B21"/>
    <w:rsid w:val="00EC103A"/>
    <w:rsid w:val="00EC20AC"/>
    <w:rsid w:val="00EC35D9"/>
    <w:rsid w:val="00EC3EE0"/>
    <w:rsid w:val="00EC56AD"/>
    <w:rsid w:val="00EC57DF"/>
    <w:rsid w:val="00EC5AF3"/>
    <w:rsid w:val="00EC69F5"/>
    <w:rsid w:val="00ED1274"/>
    <w:rsid w:val="00ED1652"/>
    <w:rsid w:val="00ED1A3E"/>
    <w:rsid w:val="00ED20CB"/>
    <w:rsid w:val="00ED2CDD"/>
    <w:rsid w:val="00ED3E8E"/>
    <w:rsid w:val="00ED4426"/>
    <w:rsid w:val="00ED58A0"/>
    <w:rsid w:val="00ED6DB6"/>
    <w:rsid w:val="00EE0C6A"/>
    <w:rsid w:val="00EE194C"/>
    <w:rsid w:val="00EE1E2B"/>
    <w:rsid w:val="00EE1E7A"/>
    <w:rsid w:val="00EE22E8"/>
    <w:rsid w:val="00EE3121"/>
    <w:rsid w:val="00EE31B6"/>
    <w:rsid w:val="00EE34C2"/>
    <w:rsid w:val="00EE43F2"/>
    <w:rsid w:val="00EE4601"/>
    <w:rsid w:val="00EE4B87"/>
    <w:rsid w:val="00EE4C28"/>
    <w:rsid w:val="00EE52DC"/>
    <w:rsid w:val="00EE6464"/>
    <w:rsid w:val="00EE6BEB"/>
    <w:rsid w:val="00EE7453"/>
    <w:rsid w:val="00EF0DC0"/>
    <w:rsid w:val="00EF162E"/>
    <w:rsid w:val="00EF1C16"/>
    <w:rsid w:val="00EF1F5D"/>
    <w:rsid w:val="00EF2D7F"/>
    <w:rsid w:val="00EF2DF3"/>
    <w:rsid w:val="00EF5DD5"/>
    <w:rsid w:val="00EF63BC"/>
    <w:rsid w:val="00EF7488"/>
    <w:rsid w:val="00EF7F22"/>
    <w:rsid w:val="00F006AA"/>
    <w:rsid w:val="00F01EDB"/>
    <w:rsid w:val="00F024C9"/>
    <w:rsid w:val="00F025E9"/>
    <w:rsid w:val="00F031E2"/>
    <w:rsid w:val="00F03496"/>
    <w:rsid w:val="00F03853"/>
    <w:rsid w:val="00F0412C"/>
    <w:rsid w:val="00F061BE"/>
    <w:rsid w:val="00F06F64"/>
    <w:rsid w:val="00F071B5"/>
    <w:rsid w:val="00F0784E"/>
    <w:rsid w:val="00F103B1"/>
    <w:rsid w:val="00F11E76"/>
    <w:rsid w:val="00F12B1C"/>
    <w:rsid w:val="00F1304A"/>
    <w:rsid w:val="00F14838"/>
    <w:rsid w:val="00F14BC0"/>
    <w:rsid w:val="00F153AB"/>
    <w:rsid w:val="00F16BDE"/>
    <w:rsid w:val="00F177E7"/>
    <w:rsid w:val="00F17FB4"/>
    <w:rsid w:val="00F20109"/>
    <w:rsid w:val="00F20683"/>
    <w:rsid w:val="00F2240C"/>
    <w:rsid w:val="00F22543"/>
    <w:rsid w:val="00F23127"/>
    <w:rsid w:val="00F23BB1"/>
    <w:rsid w:val="00F23D69"/>
    <w:rsid w:val="00F23E8F"/>
    <w:rsid w:val="00F23F91"/>
    <w:rsid w:val="00F25C6C"/>
    <w:rsid w:val="00F2712C"/>
    <w:rsid w:val="00F27286"/>
    <w:rsid w:val="00F30192"/>
    <w:rsid w:val="00F30512"/>
    <w:rsid w:val="00F3063C"/>
    <w:rsid w:val="00F30C5B"/>
    <w:rsid w:val="00F31526"/>
    <w:rsid w:val="00F3158C"/>
    <w:rsid w:val="00F319A9"/>
    <w:rsid w:val="00F32952"/>
    <w:rsid w:val="00F33FF9"/>
    <w:rsid w:val="00F34377"/>
    <w:rsid w:val="00F349B0"/>
    <w:rsid w:val="00F360FA"/>
    <w:rsid w:val="00F36BB8"/>
    <w:rsid w:val="00F37007"/>
    <w:rsid w:val="00F40E72"/>
    <w:rsid w:val="00F41DE3"/>
    <w:rsid w:val="00F41E9B"/>
    <w:rsid w:val="00F42BF0"/>
    <w:rsid w:val="00F43346"/>
    <w:rsid w:val="00F453C3"/>
    <w:rsid w:val="00F466AC"/>
    <w:rsid w:val="00F47305"/>
    <w:rsid w:val="00F50C41"/>
    <w:rsid w:val="00F50D21"/>
    <w:rsid w:val="00F51040"/>
    <w:rsid w:val="00F510E5"/>
    <w:rsid w:val="00F51AA8"/>
    <w:rsid w:val="00F51CFA"/>
    <w:rsid w:val="00F52334"/>
    <w:rsid w:val="00F531BD"/>
    <w:rsid w:val="00F5346C"/>
    <w:rsid w:val="00F537EF"/>
    <w:rsid w:val="00F542C5"/>
    <w:rsid w:val="00F54672"/>
    <w:rsid w:val="00F54C10"/>
    <w:rsid w:val="00F55510"/>
    <w:rsid w:val="00F55E71"/>
    <w:rsid w:val="00F603FA"/>
    <w:rsid w:val="00F61FD2"/>
    <w:rsid w:val="00F61FDB"/>
    <w:rsid w:val="00F6246C"/>
    <w:rsid w:val="00F62AB4"/>
    <w:rsid w:val="00F62D13"/>
    <w:rsid w:val="00F6309D"/>
    <w:rsid w:val="00F631C3"/>
    <w:rsid w:val="00F6464B"/>
    <w:rsid w:val="00F64E3F"/>
    <w:rsid w:val="00F64F41"/>
    <w:rsid w:val="00F65BBB"/>
    <w:rsid w:val="00F6680B"/>
    <w:rsid w:val="00F672FF"/>
    <w:rsid w:val="00F70A67"/>
    <w:rsid w:val="00F70B38"/>
    <w:rsid w:val="00F713D8"/>
    <w:rsid w:val="00F7143B"/>
    <w:rsid w:val="00F71854"/>
    <w:rsid w:val="00F72115"/>
    <w:rsid w:val="00F723DB"/>
    <w:rsid w:val="00F72452"/>
    <w:rsid w:val="00F72DD6"/>
    <w:rsid w:val="00F7358E"/>
    <w:rsid w:val="00F73F23"/>
    <w:rsid w:val="00F74792"/>
    <w:rsid w:val="00F75B25"/>
    <w:rsid w:val="00F75E74"/>
    <w:rsid w:val="00F768EE"/>
    <w:rsid w:val="00F7761D"/>
    <w:rsid w:val="00F77B3A"/>
    <w:rsid w:val="00F80E96"/>
    <w:rsid w:val="00F81C16"/>
    <w:rsid w:val="00F837FF"/>
    <w:rsid w:val="00F8428F"/>
    <w:rsid w:val="00F84561"/>
    <w:rsid w:val="00F84753"/>
    <w:rsid w:val="00F84BE8"/>
    <w:rsid w:val="00F84E29"/>
    <w:rsid w:val="00F84F57"/>
    <w:rsid w:val="00F85DA2"/>
    <w:rsid w:val="00F864B0"/>
    <w:rsid w:val="00F870E9"/>
    <w:rsid w:val="00F87BDB"/>
    <w:rsid w:val="00F9009C"/>
    <w:rsid w:val="00F9035F"/>
    <w:rsid w:val="00F90514"/>
    <w:rsid w:val="00F91068"/>
    <w:rsid w:val="00F91190"/>
    <w:rsid w:val="00F913F2"/>
    <w:rsid w:val="00F91783"/>
    <w:rsid w:val="00F91855"/>
    <w:rsid w:val="00F91999"/>
    <w:rsid w:val="00F91F58"/>
    <w:rsid w:val="00F9260E"/>
    <w:rsid w:val="00F93694"/>
    <w:rsid w:val="00F9450E"/>
    <w:rsid w:val="00F948EB"/>
    <w:rsid w:val="00F95149"/>
    <w:rsid w:val="00F962F1"/>
    <w:rsid w:val="00F964C9"/>
    <w:rsid w:val="00FA0780"/>
    <w:rsid w:val="00FA0BA0"/>
    <w:rsid w:val="00FA1A43"/>
    <w:rsid w:val="00FA1F7E"/>
    <w:rsid w:val="00FA20FF"/>
    <w:rsid w:val="00FA27B7"/>
    <w:rsid w:val="00FA329C"/>
    <w:rsid w:val="00FA4154"/>
    <w:rsid w:val="00FA4525"/>
    <w:rsid w:val="00FA5489"/>
    <w:rsid w:val="00FA5B94"/>
    <w:rsid w:val="00FA5F50"/>
    <w:rsid w:val="00FA72C1"/>
    <w:rsid w:val="00FA7A4C"/>
    <w:rsid w:val="00FB05E6"/>
    <w:rsid w:val="00FB0B68"/>
    <w:rsid w:val="00FB102B"/>
    <w:rsid w:val="00FB28B7"/>
    <w:rsid w:val="00FB302E"/>
    <w:rsid w:val="00FB35B9"/>
    <w:rsid w:val="00FB49EE"/>
    <w:rsid w:val="00FB4FD7"/>
    <w:rsid w:val="00FB6265"/>
    <w:rsid w:val="00FB6B74"/>
    <w:rsid w:val="00FB6F0A"/>
    <w:rsid w:val="00FB758C"/>
    <w:rsid w:val="00FC16B7"/>
    <w:rsid w:val="00FC17AF"/>
    <w:rsid w:val="00FC1889"/>
    <w:rsid w:val="00FC24B8"/>
    <w:rsid w:val="00FC36C2"/>
    <w:rsid w:val="00FC3C80"/>
    <w:rsid w:val="00FC6882"/>
    <w:rsid w:val="00FD0B9B"/>
    <w:rsid w:val="00FD130C"/>
    <w:rsid w:val="00FD2E69"/>
    <w:rsid w:val="00FD3C52"/>
    <w:rsid w:val="00FD4485"/>
    <w:rsid w:val="00FD472C"/>
    <w:rsid w:val="00FD612B"/>
    <w:rsid w:val="00FD64AF"/>
    <w:rsid w:val="00FD74CD"/>
    <w:rsid w:val="00FD786F"/>
    <w:rsid w:val="00FD7FC4"/>
    <w:rsid w:val="00FE01A1"/>
    <w:rsid w:val="00FE024E"/>
    <w:rsid w:val="00FE0F8F"/>
    <w:rsid w:val="00FE16F4"/>
    <w:rsid w:val="00FE2246"/>
    <w:rsid w:val="00FE35D1"/>
    <w:rsid w:val="00FE367F"/>
    <w:rsid w:val="00FE6910"/>
    <w:rsid w:val="00FE6C85"/>
    <w:rsid w:val="00FE728B"/>
    <w:rsid w:val="00FF0498"/>
    <w:rsid w:val="00FF0ED4"/>
    <w:rsid w:val="00FF1025"/>
    <w:rsid w:val="00FF2FCC"/>
    <w:rsid w:val="00FF45B1"/>
    <w:rsid w:val="00FF68CA"/>
    <w:rsid w:val="00FF6DEA"/>
    <w:rsid w:val="00FF7463"/>
    <w:rsid w:val="00FF7560"/>
    <w:rsid w:val="00FF7EA9"/>
    <w:rsid w:val="0EB0ACDB"/>
    <w:rsid w:val="140161CF"/>
    <w:rsid w:val="1C27423E"/>
    <w:rsid w:val="1C57549B"/>
    <w:rsid w:val="20EE6B61"/>
    <w:rsid w:val="22D17458"/>
    <w:rsid w:val="2ADC863D"/>
    <w:rsid w:val="2E4A2A2A"/>
    <w:rsid w:val="427641DC"/>
    <w:rsid w:val="440A6A91"/>
    <w:rsid w:val="4C625777"/>
    <w:rsid w:val="4FEA952F"/>
    <w:rsid w:val="64372B3E"/>
    <w:rsid w:val="69F350C4"/>
    <w:rsid w:val="6CC67946"/>
    <w:rsid w:val="728956E2"/>
    <w:rsid w:val="79AF5336"/>
    <w:rsid w:val="7BC534C1"/>
    <w:rsid w:val="7DC75B23"/>
    <w:rsid w:val="7DF194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1D49C"/>
  <w15:docId w15:val="{E45DC19A-E392-4DD2-AB15-46489C96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FFC"/>
    <w:pPr>
      <w:spacing w:before="0" w:line="240" w:lineRule="auto"/>
    </w:pPr>
    <w:rPr>
      <w:szCs w:val="20"/>
    </w:rPr>
  </w:style>
  <w:style w:type="paragraph" w:styleId="Heading1">
    <w:name w:val="heading 1"/>
    <w:basedOn w:val="Normal"/>
    <w:next w:val="Normal"/>
    <w:link w:val="Heading1Char"/>
    <w:qFormat/>
    <w:rsid w:val="006E6525"/>
    <w:pPr>
      <w:pageBreakBefore/>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before="200" w:after="120"/>
      <w:outlineLvl w:val="0"/>
    </w:pPr>
    <w:rPr>
      <w:b/>
      <w:bCs/>
      <w:caps/>
      <w:color w:val="4F81BD" w:themeColor="accent1"/>
      <w:sz w:val="36"/>
      <w:szCs w:val="22"/>
    </w:rPr>
  </w:style>
  <w:style w:type="paragraph" w:styleId="Heading2">
    <w:name w:val="heading 2"/>
    <w:basedOn w:val="Normal"/>
    <w:next w:val="Normal"/>
    <w:link w:val="Heading2Char"/>
    <w:unhideWhenUsed/>
    <w:qFormat/>
    <w:rsid w:val="00F768EE"/>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after="40"/>
      <w:outlineLvl w:val="1"/>
    </w:pPr>
    <w:rPr>
      <w:b/>
      <w:caps/>
      <w:sz w:val="28"/>
      <w:szCs w:val="22"/>
    </w:rPr>
  </w:style>
  <w:style w:type="paragraph" w:styleId="Heading3">
    <w:name w:val="heading 3"/>
    <w:basedOn w:val="Normal"/>
    <w:next w:val="Normal"/>
    <w:link w:val="Heading3Char"/>
    <w:uiPriority w:val="9"/>
    <w:unhideWhenUsed/>
    <w:qFormat/>
    <w:rsid w:val="004C24A2"/>
    <w:pPr>
      <w:spacing w:after="80"/>
      <w:outlineLvl w:val="2"/>
    </w:pPr>
    <w:rPr>
      <w:caps/>
      <w:color w:val="4F81BD" w:themeColor="accent1"/>
      <w:sz w:val="24"/>
      <w:szCs w:val="22"/>
    </w:rPr>
  </w:style>
  <w:style w:type="paragraph" w:styleId="Heading4">
    <w:name w:val="heading 4"/>
    <w:basedOn w:val="Normal"/>
    <w:next w:val="Normal"/>
    <w:link w:val="Heading4Char"/>
    <w:uiPriority w:val="9"/>
    <w:unhideWhenUsed/>
    <w:qFormat/>
    <w:rsid w:val="005D1810"/>
    <w:pPr>
      <w:spacing w:before="120" w:after="40"/>
      <w:outlineLvl w:val="3"/>
    </w:pPr>
    <w:rPr>
      <w:color w:val="000000" w:themeColor="text1"/>
      <w:spacing w:val="10"/>
      <w:szCs w:val="22"/>
    </w:rPr>
  </w:style>
  <w:style w:type="paragraph" w:styleId="Heading5">
    <w:name w:val="heading 5"/>
    <w:basedOn w:val="Normal"/>
    <w:next w:val="Normal"/>
    <w:link w:val="Heading5Char"/>
    <w:uiPriority w:val="9"/>
    <w:semiHidden/>
    <w:unhideWhenUsed/>
    <w:qFormat/>
    <w:rsid w:val="00A55FAC"/>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A55FAC"/>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nhideWhenUsed/>
    <w:qFormat/>
    <w:rsid w:val="00A55FAC"/>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A55F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5F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525"/>
    <w:rPr>
      <w:b/>
      <w:bCs/>
      <w:caps/>
      <w:color w:val="4F81BD" w:themeColor="accent1"/>
      <w:sz w:val="36"/>
    </w:rPr>
  </w:style>
  <w:style w:type="character" w:customStyle="1" w:styleId="Heading2Char">
    <w:name w:val="Heading 2 Char"/>
    <w:basedOn w:val="DefaultParagraphFont"/>
    <w:link w:val="Heading2"/>
    <w:rsid w:val="00F768EE"/>
    <w:rPr>
      <w:b/>
      <w:caps/>
      <w:sz w:val="28"/>
    </w:rPr>
  </w:style>
  <w:style w:type="character" w:customStyle="1" w:styleId="Heading3Char">
    <w:name w:val="Heading 3 Char"/>
    <w:basedOn w:val="DefaultParagraphFont"/>
    <w:link w:val="Heading3"/>
    <w:uiPriority w:val="9"/>
    <w:rsid w:val="004C24A2"/>
    <w:rPr>
      <w:caps/>
      <w:color w:val="4F81BD" w:themeColor="accent1"/>
      <w:sz w:val="24"/>
    </w:rPr>
  </w:style>
  <w:style w:type="character" w:customStyle="1" w:styleId="Heading4Char">
    <w:name w:val="Heading 4 Char"/>
    <w:basedOn w:val="DefaultParagraphFont"/>
    <w:link w:val="Heading4"/>
    <w:uiPriority w:val="9"/>
    <w:rsid w:val="005D1810"/>
    <w:rPr>
      <w:color w:val="000000" w:themeColor="text1"/>
      <w:spacing w:val="10"/>
    </w:rPr>
  </w:style>
  <w:style w:type="character" w:customStyle="1" w:styleId="Heading5Char">
    <w:name w:val="Heading 5 Char"/>
    <w:basedOn w:val="DefaultParagraphFont"/>
    <w:link w:val="Heading5"/>
    <w:uiPriority w:val="9"/>
    <w:semiHidden/>
    <w:rsid w:val="00A55FAC"/>
    <w:rPr>
      <w:caps/>
      <w:color w:val="365F91" w:themeColor="accent1" w:themeShade="BF"/>
      <w:spacing w:val="10"/>
    </w:rPr>
  </w:style>
  <w:style w:type="character" w:customStyle="1" w:styleId="Heading6Char">
    <w:name w:val="Heading 6 Char"/>
    <w:basedOn w:val="DefaultParagraphFont"/>
    <w:link w:val="Heading6"/>
    <w:uiPriority w:val="9"/>
    <w:semiHidden/>
    <w:rsid w:val="00A55FAC"/>
    <w:rPr>
      <w:caps/>
      <w:color w:val="365F91" w:themeColor="accent1" w:themeShade="BF"/>
      <w:spacing w:val="10"/>
    </w:rPr>
  </w:style>
  <w:style w:type="character" w:customStyle="1" w:styleId="Heading7Char">
    <w:name w:val="Heading 7 Char"/>
    <w:basedOn w:val="DefaultParagraphFont"/>
    <w:link w:val="Heading7"/>
    <w:rsid w:val="00A55FAC"/>
    <w:rPr>
      <w:caps/>
      <w:color w:val="365F91" w:themeColor="accent1" w:themeShade="BF"/>
      <w:spacing w:val="10"/>
    </w:rPr>
  </w:style>
  <w:style w:type="character" w:customStyle="1" w:styleId="Heading8Char">
    <w:name w:val="Heading 8 Char"/>
    <w:basedOn w:val="DefaultParagraphFont"/>
    <w:link w:val="Heading8"/>
    <w:uiPriority w:val="9"/>
    <w:semiHidden/>
    <w:rsid w:val="00A55FAC"/>
    <w:rPr>
      <w:caps/>
      <w:spacing w:val="10"/>
      <w:sz w:val="18"/>
      <w:szCs w:val="18"/>
    </w:rPr>
  </w:style>
  <w:style w:type="character" w:customStyle="1" w:styleId="Heading9Char">
    <w:name w:val="Heading 9 Char"/>
    <w:basedOn w:val="DefaultParagraphFont"/>
    <w:link w:val="Heading9"/>
    <w:uiPriority w:val="9"/>
    <w:semiHidden/>
    <w:rsid w:val="00A55FAC"/>
    <w:rPr>
      <w:i/>
      <w:caps/>
      <w:spacing w:val="10"/>
      <w:sz w:val="18"/>
      <w:szCs w:val="18"/>
    </w:rPr>
  </w:style>
  <w:style w:type="paragraph" w:styleId="Caption">
    <w:name w:val="caption"/>
    <w:basedOn w:val="Normal"/>
    <w:next w:val="Normal"/>
    <w:uiPriority w:val="35"/>
    <w:semiHidden/>
    <w:unhideWhenUsed/>
    <w:qFormat/>
    <w:rsid w:val="00A55FAC"/>
    <w:rPr>
      <w:b/>
      <w:bCs/>
      <w:color w:val="365F91" w:themeColor="accent1" w:themeShade="BF"/>
      <w:sz w:val="16"/>
      <w:szCs w:val="16"/>
    </w:rPr>
  </w:style>
  <w:style w:type="paragraph" w:styleId="Title">
    <w:name w:val="Title"/>
    <w:basedOn w:val="Normal"/>
    <w:next w:val="Normal"/>
    <w:link w:val="TitleChar"/>
    <w:qFormat/>
    <w:rsid w:val="008E31FA"/>
    <w:pPr>
      <w:spacing w:after="0"/>
    </w:pPr>
    <w:rPr>
      <w:b/>
      <w:caps/>
      <w:color w:val="000000" w:themeColor="text1"/>
      <w:spacing w:val="10"/>
      <w:kern w:val="28"/>
      <w:sz w:val="48"/>
      <w:szCs w:val="52"/>
    </w:rPr>
  </w:style>
  <w:style w:type="character" w:customStyle="1" w:styleId="TitleChar">
    <w:name w:val="Title Char"/>
    <w:basedOn w:val="DefaultParagraphFont"/>
    <w:link w:val="Title"/>
    <w:rsid w:val="008E31FA"/>
    <w:rPr>
      <w:b/>
      <w:caps/>
      <w:color w:val="000000" w:themeColor="text1"/>
      <w:spacing w:val="10"/>
      <w:kern w:val="28"/>
      <w:sz w:val="48"/>
      <w:szCs w:val="52"/>
    </w:rPr>
  </w:style>
  <w:style w:type="paragraph" w:styleId="Subtitle">
    <w:name w:val="Subtitle"/>
    <w:basedOn w:val="Normal"/>
    <w:next w:val="Normal"/>
    <w:link w:val="SubtitleChar"/>
    <w:uiPriority w:val="11"/>
    <w:qFormat/>
    <w:rsid w:val="00614545"/>
    <w:pPr>
      <w:spacing w:after="1000"/>
    </w:pPr>
    <w:rPr>
      <w:caps/>
      <w:color w:val="000000" w:themeColor="text1"/>
      <w:spacing w:val="10"/>
      <w:sz w:val="24"/>
      <w:szCs w:val="24"/>
    </w:rPr>
  </w:style>
  <w:style w:type="character" w:customStyle="1" w:styleId="SubtitleChar">
    <w:name w:val="Subtitle Char"/>
    <w:basedOn w:val="DefaultParagraphFont"/>
    <w:link w:val="Subtitle"/>
    <w:uiPriority w:val="11"/>
    <w:rsid w:val="00614545"/>
    <w:rPr>
      <w:caps/>
      <w:color w:val="000000" w:themeColor="text1"/>
      <w:spacing w:val="10"/>
      <w:sz w:val="24"/>
      <w:szCs w:val="24"/>
    </w:rPr>
  </w:style>
  <w:style w:type="character" w:styleId="Strong">
    <w:name w:val="Strong"/>
    <w:uiPriority w:val="22"/>
    <w:qFormat/>
    <w:rsid w:val="00A55FAC"/>
    <w:rPr>
      <w:b/>
      <w:bCs/>
    </w:rPr>
  </w:style>
  <w:style w:type="character" w:styleId="Emphasis">
    <w:name w:val="Emphasis"/>
    <w:uiPriority w:val="20"/>
    <w:qFormat/>
    <w:rsid w:val="00A55FAC"/>
    <w:rPr>
      <w:caps/>
      <w:color w:val="243F60" w:themeColor="accent1" w:themeShade="7F"/>
      <w:spacing w:val="5"/>
    </w:rPr>
  </w:style>
  <w:style w:type="paragraph" w:styleId="NoSpacing">
    <w:name w:val="No Spacing"/>
    <w:basedOn w:val="Normal"/>
    <w:link w:val="NoSpacingChar"/>
    <w:uiPriority w:val="1"/>
    <w:qFormat/>
    <w:rsid w:val="00A55FAC"/>
    <w:pPr>
      <w:spacing w:after="0"/>
    </w:pPr>
  </w:style>
  <w:style w:type="character" w:customStyle="1" w:styleId="NoSpacingChar">
    <w:name w:val="No Spacing Char"/>
    <w:basedOn w:val="DefaultParagraphFont"/>
    <w:link w:val="NoSpacing"/>
    <w:uiPriority w:val="1"/>
    <w:rsid w:val="00A55FAC"/>
    <w:rPr>
      <w:sz w:val="20"/>
      <w:szCs w:val="20"/>
    </w:rPr>
  </w:style>
  <w:style w:type="paragraph" w:styleId="ListParagraph">
    <w:name w:val="List Paragraph"/>
    <w:basedOn w:val="Normal"/>
    <w:link w:val="ListParagraphChar"/>
    <w:qFormat/>
    <w:rsid w:val="00A55FAC"/>
    <w:pPr>
      <w:ind w:left="720"/>
      <w:contextualSpacing/>
    </w:pPr>
  </w:style>
  <w:style w:type="paragraph" w:styleId="Quote">
    <w:name w:val="Quote"/>
    <w:basedOn w:val="Normal"/>
    <w:next w:val="Normal"/>
    <w:link w:val="QuoteChar"/>
    <w:uiPriority w:val="29"/>
    <w:qFormat/>
    <w:rsid w:val="00A55FAC"/>
    <w:rPr>
      <w:i/>
      <w:iCs/>
    </w:rPr>
  </w:style>
  <w:style w:type="character" w:customStyle="1" w:styleId="QuoteChar">
    <w:name w:val="Quote Char"/>
    <w:basedOn w:val="DefaultParagraphFont"/>
    <w:link w:val="Quote"/>
    <w:uiPriority w:val="29"/>
    <w:rsid w:val="00A55FAC"/>
    <w:rPr>
      <w:i/>
      <w:iCs/>
      <w:sz w:val="20"/>
      <w:szCs w:val="20"/>
    </w:rPr>
  </w:style>
  <w:style w:type="paragraph" w:styleId="IntenseQuote">
    <w:name w:val="Intense Quote"/>
    <w:basedOn w:val="Normal"/>
    <w:next w:val="Normal"/>
    <w:link w:val="IntenseQuoteChar"/>
    <w:uiPriority w:val="30"/>
    <w:qFormat/>
    <w:rsid w:val="00A55F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55FAC"/>
    <w:rPr>
      <w:i/>
      <w:iCs/>
      <w:color w:val="4F81BD" w:themeColor="accent1"/>
      <w:sz w:val="20"/>
      <w:szCs w:val="20"/>
    </w:rPr>
  </w:style>
  <w:style w:type="character" w:styleId="SubtleEmphasis">
    <w:name w:val="Subtle Emphasis"/>
    <w:uiPriority w:val="19"/>
    <w:qFormat/>
    <w:rsid w:val="00A55FAC"/>
    <w:rPr>
      <w:i/>
      <w:iCs/>
      <w:color w:val="243F60" w:themeColor="accent1" w:themeShade="7F"/>
    </w:rPr>
  </w:style>
  <w:style w:type="character" w:styleId="IntenseEmphasis">
    <w:name w:val="Intense Emphasis"/>
    <w:uiPriority w:val="21"/>
    <w:qFormat/>
    <w:rsid w:val="00A55FAC"/>
    <w:rPr>
      <w:b/>
      <w:bCs/>
      <w:caps/>
      <w:color w:val="243F60" w:themeColor="accent1" w:themeShade="7F"/>
      <w:spacing w:val="10"/>
    </w:rPr>
  </w:style>
  <w:style w:type="character" w:styleId="SubtleReference">
    <w:name w:val="Subtle Reference"/>
    <w:uiPriority w:val="31"/>
    <w:qFormat/>
    <w:rsid w:val="00A55FAC"/>
    <w:rPr>
      <w:b/>
      <w:bCs/>
      <w:color w:val="4F81BD" w:themeColor="accent1"/>
    </w:rPr>
  </w:style>
  <w:style w:type="character" w:styleId="IntenseReference">
    <w:name w:val="Intense Reference"/>
    <w:uiPriority w:val="32"/>
    <w:qFormat/>
    <w:rsid w:val="00A55FAC"/>
    <w:rPr>
      <w:b/>
      <w:bCs/>
      <w:i/>
      <w:iCs/>
      <w:caps/>
      <w:color w:val="4F81BD" w:themeColor="accent1"/>
    </w:rPr>
  </w:style>
  <w:style w:type="character" w:styleId="BookTitle">
    <w:name w:val="Book Title"/>
    <w:uiPriority w:val="33"/>
    <w:qFormat/>
    <w:rsid w:val="00A55FAC"/>
    <w:rPr>
      <w:b/>
      <w:bCs/>
      <w:i/>
      <w:iCs/>
      <w:spacing w:val="9"/>
    </w:rPr>
  </w:style>
  <w:style w:type="paragraph" w:styleId="TOCHeading">
    <w:name w:val="TOC Heading"/>
    <w:basedOn w:val="Heading1"/>
    <w:next w:val="Normal"/>
    <w:uiPriority w:val="39"/>
    <w:semiHidden/>
    <w:unhideWhenUsed/>
    <w:qFormat/>
    <w:rsid w:val="008E31FA"/>
    <w:pPr>
      <w:outlineLvl w:val="9"/>
    </w:pPr>
  </w:style>
  <w:style w:type="character" w:styleId="Hyperlink">
    <w:name w:val="Hyperlink"/>
    <w:basedOn w:val="DefaultParagraphFont"/>
    <w:uiPriority w:val="99"/>
    <w:rsid w:val="00606FA3"/>
    <w:rPr>
      <w:color w:val="0000FF" w:themeColor="hyperlink"/>
      <w:u w:val="single"/>
    </w:rPr>
  </w:style>
  <w:style w:type="paragraph" w:customStyle="1" w:styleId="BoardMembers">
    <w:name w:val="BoardMembers"/>
    <w:basedOn w:val="Normal"/>
    <w:semiHidden/>
    <w:rsid w:val="00606FA3"/>
    <w:pPr>
      <w:spacing w:after="0"/>
      <w:jc w:val="center"/>
    </w:pPr>
    <w:rPr>
      <w:rFonts w:ascii="Arial" w:eastAsia="Times New Roman" w:hAnsi="Arial" w:cs="Times New Roman"/>
      <w:sz w:val="18"/>
      <w:lang w:bidi="ar-SA"/>
    </w:rPr>
  </w:style>
  <w:style w:type="paragraph" w:customStyle="1" w:styleId="Permission">
    <w:name w:val="Permission"/>
    <w:basedOn w:val="Normal"/>
    <w:semiHidden/>
    <w:rsid w:val="00606FA3"/>
    <w:pPr>
      <w:spacing w:after="0"/>
      <w:jc w:val="center"/>
    </w:pPr>
    <w:rPr>
      <w:rFonts w:ascii="Arial" w:eastAsia="Times New Roman" w:hAnsi="Arial" w:cs="Times New Roman"/>
      <w:i/>
      <w:iCs/>
      <w:sz w:val="18"/>
      <w:lang w:bidi="ar-SA"/>
    </w:rPr>
  </w:style>
  <w:style w:type="paragraph" w:customStyle="1" w:styleId="Table">
    <w:name w:val="Table"/>
    <w:basedOn w:val="Normal"/>
    <w:qFormat/>
    <w:rsid w:val="00AB19E1"/>
    <w:pPr>
      <w:spacing w:before="80" w:after="80"/>
    </w:pPr>
    <w:rPr>
      <w:sz w:val="20"/>
    </w:rPr>
  </w:style>
  <w:style w:type="paragraph" w:styleId="BalloonText">
    <w:name w:val="Balloon Text"/>
    <w:basedOn w:val="Normal"/>
    <w:link w:val="BalloonTextChar"/>
    <w:uiPriority w:val="99"/>
    <w:semiHidden/>
    <w:unhideWhenUsed/>
    <w:rsid w:val="006D5D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D2F"/>
    <w:rPr>
      <w:rFonts w:ascii="Tahoma" w:hAnsi="Tahoma" w:cs="Tahoma"/>
      <w:sz w:val="16"/>
      <w:szCs w:val="16"/>
    </w:rPr>
  </w:style>
  <w:style w:type="paragraph" w:styleId="TOC1">
    <w:name w:val="toc 1"/>
    <w:basedOn w:val="Normal"/>
    <w:next w:val="Normal"/>
    <w:autoRedefine/>
    <w:uiPriority w:val="39"/>
    <w:unhideWhenUsed/>
    <w:rsid w:val="0006160A"/>
    <w:pPr>
      <w:tabs>
        <w:tab w:val="right" w:leader="dot" w:pos="9350"/>
      </w:tabs>
      <w:spacing w:after="100"/>
    </w:pPr>
  </w:style>
  <w:style w:type="paragraph" w:styleId="TOC2">
    <w:name w:val="toc 2"/>
    <w:basedOn w:val="Normal"/>
    <w:next w:val="Normal"/>
    <w:autoRedefine/>
    <w:uiPriority w:val="39"/>
    <w:unhideWhenUsed/>
    <w:rsid w:val="006D5D2F"/>
    <w:pPr>
      <w:spacing w:after="100"/>
      <w:ind w:left="220"/>
    </w:pPr>
  </w:style>
  <w:style w:type="paragraph" w:styleId="TOC3">
    <w:name w:val="toc 3"/>
    <w:basedOn w:val="Normal"/>
    <w:next w:val="Normal"/>
    <w:autoRedefine/>
    <w:uiPriority w:val="39"/>
    <w:unhideWhenUsed/>
    <w:rsid w:val="006D5D2F"/>
    <w:pPr>
      <w:spacing w:after="100"/>
      <w:ind w:left="440"/>
    </w:pPr>
  </w:style>
  <w:style w:type="paragraph" w:styleId="Header">
    <w:name w:val="header"/>
    <w:basedOn w:val="Normal"/>
    <w:link w:val="HeaderChar"/>
    <w:unhideWhenUsed/>
    <w:rsid w:val="00F0784E"/>
    <w:pPr>
      <w:tabs>
        <w:tab w:val="center" w:pos="4680"/>
        <w:tab w:val="right" w:pos="9360"/>
      </w:tabs>
      <w:spacing w:after="0"/>
    </w:pPr>
  </w:style>
  <w:style w:type="character" w:customStyle="1" w:styleId="HeaderChar">
    <w:name w:val="Header Char"/>
    <w:basedOn w:val="DefaultParagraphFont"/>
    <w:link w:val="Header"/>
    <w:uiPriority w:val="99"/>
    <w:rsid w:val="00F0784E"/>
    <w:rPr>
      <w:szCs w:val="20"/>
    </w:rPr>
  </w:style>
  <w:style w:type="paragraph" w:styleId="Footer">
    <w:name w:val="footer"/>
    <w:basedOn w:val="Normal"/>
    <w:link w:val="FooterChar"/>
    <w:uiPriority w:val="99"/>
    <w:unhideWhenUsed/>
    <w:rsid w:val="00F0784E"/>
    <w:pPr>
      <w:tabs>
        <w:tab w:val="center" w:pos="4680"/>
        <w:tab w:val="right" w:pos="9360"/>
      </w:tabs>
      <w:spacing w:after="0"/>
    </w:pPr>
  </w:style>
  <w:style w:type="character" w:customStyle="1" w:styleId="FooterChar">
    <w:name w:val="Footer Char"/>
    <w:basedOn w:val="DefaultParagraphFont"/>
    <w:link w:val="Footer"/>
    <w:uiPriority w:val="99"/>
    <w:rsid w:val="00F0784E"/>
    <w:rPr>
      <w:szCs w:val="20"/>
    </w:rPr>
  </w:style>
  <w:style w:type="table" w:styleId="TableGrid">
    <w:name w:val="Table Grid"/>
    <w:basedOn w:val="TableNormal"/>
    <w:uiPriority w:val="59"/>
    <w:rsid w:val="00567D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67DA8"/>
    <w:rPr>
      <w:sz w:val="16"/>
      <w:szCs w:val="16"/>
    </w:rPr>
  </w:style>
  <w:style w:type="paragraph" w:styleId="CommentText">
    <w:name w:val="annotation text"/>
    <w:basedOn w:val="Normal"/>
    <w:link w:val="CommentTextChar"/>
    <w:uiPriority w:val="99"/>
    <w:rsid w:val="00567DA8"/>
    <w:pPr>
      <w:spacing w:after="0"/>
    </w:pPr>
    <w:rPr>
      <w:rFonts w:ascii="Times New Roman" w:eastAsia="Times New Roman" w:hAnsi="Times New Roman" w:cs="Times New Roman"/>
      <w:sz w:val="20"/>
      <w:lang w:bidi="ar-SA"/>
    </w:rPr>
  </w:style>
  <w:style w:type="character" w:customStyle="1" w:styleId="CommentTextChar">
    <w:name w:val="Comment Text Char"/>
    <w:basedOn w:val="DefaultParagraphFont"/>
    <w:link w:val="CommentText"/>
    <w:uiPriority w:val="99"/>
    <w:rsid w:val="00567DA8"/>
    <w:rPr>
      <w:rFonts w:ascii="Times New Roman" w:eastAsia="Times New Roman" w:hAnsi="Times New Roman" w:cs="Times New Roman"/>
      <w:sz w:val="20"/>
      <w:szCs w:val="20"/>
      <w:lang w:bidi="ar-SA"/>
    </w:rPr>
  </w:style>
  <w:style w:type="paragraph" w:customStyle="1" w:styleId="Body">
    <w:name w:val="Body"/>
    <w:basedOn w:val="Normal"/>
    <w:link w:val="BodyChar"/>
    <w:uiPriority w:val="99"/>
    <w:rsid w:val="006F14C8"/>
    <w:pPr>
      <w:spacing w:after="120"/>
    </w:pPr>
    <w:rPr>
      <w:rFonts w:ascii="Times New Roman" w:eastAsia="Times New Roman" w:hAnsi="Times New Roman" w:cs="Times New Roman"/>
      <w:sz w:val="24"/>
      <w:szCs w:val="24"/>
      <w:lang w:bidi="ar-SA"/>
    </w:rPr>
  </w:style>
  <w:style w:type="character" w:customStyle="1" w:styleId="BodyChar">
    <w:name w:val="Body Char"/>
    <w:basedOn w:val="DefaultParagraphFont"/>
    <w:link w:val="Body"/>
    <w:uiPriority w:val="99"/>
    <w:rsid w:val="006F14C8"/>
    <w:rPr>
      <w:rFonts w:ascii="Times New Roman" w:eastAsia="Times New Roman" w:hAnsi="Times New Roman" w:cs="Times New Roman"/>
      <w:sz w:val="24"/>
      <w:szCs w:val="24"/>
      <w:lang w:bidi="ar-SA"/>
    </w:rPr>
  </w:style>
  <w:style w:type="paragraph" w:styleId="FootnoteText">
    <w:name w:val="footnote text"/>
    <w:basedOn w:val="Normal"/>
    <w:link w:val="FootnoteTextChar"/>
    <w:rsid w:val="00F5346C"/>
    <w:pPr>
      <w:spacing w:after="0"/>
    </w:pPr>
    <w:rPr>
      <w:rFonts w:ascii="Calibri" w:eastAsia="Times New Roman" w:hAnsi="Calibri" w:cs="Times New Roman"/>
      <w:sz w:val="18"/>
      <w:lang w:bidi="ar-SA"/>
    </w:rPr>
  </w:style>
  <w:style w:type="character" w:customStyle="1" w:styleId="FootnoteTextChar">
    <w:name w:val="Footnote Text Char"/>
    <w:basedOn w:val="DefaultParagraphFont"/>
    <w:link w:val="FootnoteText"/>
    <w:rsid w:val="00F5346C"/>
    <w:rPr>
      <w:rFonts w:ascii="Calibri" w:eastAsia="Times New Roman" w:hAnsi="Calibri" w:cs="Times New Roman"/>
      <w:sz w:val="18"/>
      <w:szCs w:val="20"/>
      <w:lang w:bidi="ar-SA"/>
    </w:rPr>
  </w:style>
  <w:style w:type="character" w:styleId="FootnoteReference">
    <w:name w:val="footnote reference"/>
    <w:basedOn w:val="DefaultParagraphFont"/>
    <w:rsid w:val="006F14C8"/>
    <w:rPr>
      <w:vertAlign w:val="superscript"/>
    </w:rPr>
  </w:style>
  <w:style w:type="paragraph" w:customStyle="1" w:styleId="FinePrint">
    <w:name w:val="Fine Print"/>
    <w:basedOn w:val="Table"/>
    <w:qFormat/>
    <w:rsid w:val="00330B05"/>
    <w:pPr>
      <w:spacing w:before="0" w:after="0"/>
      <w:jc w:val="center"/>
    </w:pPr>
  </w:style>
  <w:style w:type="paragraph" w:styleId="CommentSubject">
    <w:name w:val="annotation subject"/>
    <w:basedOn w:val="CommentText"/>
    <w:next w:val="CommentText"/>
    <w:link w:val="CommentSubjectChar"/>
    <w:uiPriority w:val="99"/>
    <w:semiHidden/>
    <w:unhideWhenUsed/>
    <w:rsid w:val="00016B98"/>
    <w:pPr>
      <w:spacing w:before="200" w:after="200"/>
    </w:pPr>
    <w:rPr>
      <w:rFonts w:asciiTheme="minorHAnsi" w:eastAsiaTheme="minorEastAsia" w:hAnsiTheme="minorHAnsi" w:cstheme="minorBidi"/>
      <w:b/>
      <w:bCs/>
      <w:lang w:bidi="en-US"/>
    </w:rPr>
  </w:style>
  <w:style w:type="character" w:customStyle="1" w:styleId="CommentSubjectChar">
    <w:name w:val="Comment Subject Char"/>
    <w:basedOn w:val="CommentTextChar"/>
    <w:link w:val="CommentSubject"/>
    <w:uiPriority w:val="99"/>
    <w:semiHidden/>
    <w:rsid w:val="00016B98"/>
    <w:rPr>
      <w:rFonts w:ascii="Times New Roman" w:eastAsia="Times New Roman" w:hAnsi="Times New Roman" w:cs="Times New Roman"/>
      <w:b/>
      <w:bCs/>
      <w:sz w:val="20"/>
      <w:szCs w:val="20"/>
      <w:lang w:bidi="ar-SA"/>
    </w:rPr>
  </w:style>
  <w:style w:type="character" w:styleId="FollowedHyperlink">
    <w:name w:val="FollowedHyperlink"/>
    <w:basedOn w:val="DefaultParagraphFont"/>
    <w:uiPriority w:val="99"/>
    <w:semiHidden/>
    <w:unhideWhenUsed/>
    <w:rsid w:val="008969D0"/>
    <w:rPr>
      <w:color w:val="800080" w:themeColor="followedHyperlink"/>
      <w:u w:val="single"/>
    </w:rPr>
  </w:style>
  <w:style w:type="character" w:customStyle="1" w:styleId="bold">
    <w:name w:val="bold"/>
    <w:basedOn w:val="DefaultParagraphFont"/>
    <w:rsid w:val="00393195"/>
  </w:style>
  <w:style w:type="character" w:customStyle="1" w:styleId="apple-converted-space">
    <w:name w:val="apple-converted-space"/>
    <w:basedOn w:val="DefaultParagraphFont"/>
    <w:rsid w:val="00393195"/>
  </w:style>
  <w:style w:type="paragraph" w:styleId="BodyTextIndent">
    <w:name w:val="Body Text Indent"/>
    <w:aliases w:val="10 pt"/>
    <w:basedOn w:val="Normal"/>
    <w:link w:val="BodyTextIndentChar"/>
    <w:rsid w:val="0083045C"/>
    <w:pPr>
      <w:widowControl w:val="0"/>
      <w:numPr>
        <w:numId w:val="1"/>
      </w:numPr>
      <w:spacing w:after="0"/>
    </w:pPr>
    <w:rPr>
      <w:rFonts w:ascii="Times New Roman" w:eastAsia="Times New Roman" w:hAnsi="Times New Roman" w:cs="Times New Roman"/>
      <w:snapToGrid w:val="0"/>
      <w:color w:val="000000"/>
      <w:sz w:val="20"/>
      <w:szCs w:val="24"/>
      <w:lang w:bidi="ar-SA"/>
    </w:rPr>
  </w:style>
  <w:style w:type="character" w:customStyle="1" w:styleId="BodyTextIndentChar">
    <w:name w:val="Body Text Indent Char"/>
    <w:aliases w:val="10 pt Char"/>
    <w:basedOn w:val="DefaultParagraphFont"/>
    <w:link w:val="BodyTextIndent"/>
    <w:rsid w:val="0083045C"/>
    <w:rPr>
      <w:rFonts w:ascii="Times New Roman" w:eastAsia="Times New Roman" w:hAnsi="Times New Roman" w:cs="Times New Roman"/>
      <w:snapToGrid w:val="0"/>
      <w:color w:val="000000"/>
      <w:sz w:val="20"/>
      <w:szCs w:val="24"/>
      <w:lang w:bidi="ar-SA"/>
    </w:rPr>
  </w:style>
  <w:style w:type="paragraph" w:customStyle="1" w:styleId="Listbulletintented2">
    <w:name w:val="List bullet intented 2"/>
    <w:basedOn w:val="Normal"/>
    <w:qFormat/>
    <w:rsid w:val="00F74792"/>
    <w:pPr>
      <w:numPr>
        <w:numId w:val="24"/>
      </w:numPr>
      <w:spacing w:after="120"/>
      <w:jc w:val="both"/>
    </w:pPr>
    <w:rPr>
      <w:rFonts w:ascii="Cambria" w:eastAsiaTheme="minorHAnsi" w:hAnsi="Cambria" w:cs="Times New Roman"/>
      <w:sz w:val="24"/>
      <w:szCs w:val="24"/>
      <w:lang w:bidi="ar-SA"/>
    </w:rPr>
  </w:style>
  <w:style w:type="paragraph" w:customStyle="1" w:styleId="IndentedText">
    <w:name w:val="Indented Text"/>
    <w:basedOn w:val="Normal"/>
    <w:qFormat/>
    <w:rsid w:val="00C83A6F"/>
    <w:pPr>
      <w:spacing w:after="120"/>
      <w:ind w:left="720"/>
      <w:jc w:val="both"/>
    </w:pPr>
    <w:rPr>
      <w:rFonts w:ascii="Cambria" w:eastAsia="Times New Roman" w:hAnsi="Cambria" w:cs="Times New Roman"/>
      <w:sz w:val="24"/>
      <w:szCs w:val="24"/>
      <w:lang w:bidi="ar-SA"/>
    </w:rPr>
  </w:style>
  <w:style w:type="paragraph" w:customStyle="1" w:styleId="ListBulletIndent">
    <w:name w:val="List Bullet Indent"/>
    <w:basedOn w:val="Normal"/>
    <w:autoRedefine/>
    <w:qFormat/>
    <w:rsid w:val="006B2725"/>
    <w:pPr>
      <w:contextualSpacing/>
    </w:pPr>
    <w:rPr>
      <w:rFonts w:ascii="Calibri" w:eastAsia="Times New Roman" w:hAnsi="Calibri" w:cs="Times New Roman"/>
      <w:szCs w:val="24"/>
      <w:lang w:bidi="ar-SA"/>
    </w:rPr>
  </w:style>
  <w:style w:type="table" w:customStyle="1" w:styleId="TableGrid2">
    <w:name w:val="Table Grid2"/>
    <w:basedOn w:val="TableNormal"/>
    <w:next w:val="TableGrid"/>
    <w:uiPriority w:val="39"/>
    <w:rsid w:val="0068001F"/>
    <w:pPr>
      <w:spacing w:before="0"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2C7179"/>
    <w:pPr>
      <w:spacing w:line="276" w:lineRule="auto"/>
    </w:pPr>
    <w:rPr>
      <w:b/>
      <w:sz w:val="22"/>
    </w:rPr>
  </w:style>
  <w:style w:type="table" w:customStyle="1" w:styleId="TableGrid1">
    <w:name w:val="Table Grid1"/>
    <w:basedOn w:val="TableNormal"/>
    <w:next w:val="TableGrid"/>
    <w:uiPriority w:val="59"/>
    <w:rsid w:val="00213C91"/>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3C91"/>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4478"/>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236A"/>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0E14"/>
    <w:pPr>
      <w:spacing w:before="0" w:after="0" w:line="240" w:lineRule="auto"/>
    </w:pPr>
    <w:rPr>
      <w:szCs w:val="20"/>
    </w:rPr>
  </w:style>
  <w:style w:type="paragraph" w:customStyle="1" w:styleId="Default">
    <w:name w:val="Default"/>
    <w:rsid w:val="001D6EF9"/>
    <w:pPr>
      <w:autoSpaceDE w:val="0"/>
      <w:autoSpaceDN w:val="0"/>
      <w:adjustRightInd w:val="0"/>
      <w:spacing w:before="0" w:after="0" w:line="240" w:lineRule="auto"/>
    </w:pPr>
    <w:rPr>
      <w:rFonts w:ascii="Calibri" w:eastAsia="Times New Roman" w:hAnsi="Calibri" w:cs="Calibri"/>
      <w:color w:val="000000"/>
      <w:sz w:val="24"/>
      <w:szCs w:val="24"/>
      <w:lang w:bidi="ar-SA"/>
    </w:rPr>
  </w:style>
  <w:style w:type="paragraph" w:styleId="NormalWeb">
    <w:name w:val="Normal (Web)"/>
    <w:basedOn w:val="Normal"/>
    <w:uiPriority w:val="99"/>
    <w:unhideWhenUsed/>
    <w:rsid w:val="001D6EF9"/>
    <w:pPr>
      <w:spacing w:before="100" w:beforeAutospacing="1" w:after="100" w:afterAutospacing="1"/>
    </w:pPr>
    <w:rPr>
      <w:rFonts w:ascii="Times New Roman" w:eastAsia="Times New Roman" w:hAnsi="Times New Roman" w:cs="Times New Roman"/>
      <w:sz w:val="24"/>
      <w:szCs w:val="24"/>
      <w:lang w:bidi="ar-SA"/>
    </w:rPr>
  </w:style>
  <w:style w:type="paragraph" w:customStyle="1" w:styleId="List-Numbered1">
    <w:name w:val="List - Numbered: 1"/>
    <w:basedOn w:val="Normal"/>
    <w:rsid w:val="001D6EF9"/>
    <w:pPr>
      <w:numPr>
        <w:numId w:val="3"/>
      </w:numPr>
      <w:spacing w:before="120" w:after="120"/>
    </w:pPr>
    <w:rPr>
      <w:rFonts w:ascii="Times New Roman" w:eastAsia="Times New Roman" w:hAnsi="Times New Roman" w:cs="Times New Roman"/>
      <w:sz w:val="24"/>
      <w:szCs w:val="24"/>
      <w:lang w:bidi="ar-SA"/>
    </w:rPr>
  </w:style>
  <w:style w:type="table" w:customStyle="1" w:styleId="TableGrid6">
    <w:name w:val="Table Grid6"/>
    <w:basedOn w:val="TableNormal"/>
    <w:next w:val="TableGrid"/>
    <w:uiPriority w:val="59"/>
    <w:rsid w:val="001D6EF9"/>
    <w:pPr>
      <w:spacing w:before="0"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
    <w:name w:val="lg"/>
    <w:basedOn w:val="DefaultParagraphFont"/>
    <w:rsid w:val="001D6EF9"/>
  </w:style>
  <w:style w:type="table" w:customStyle="1" w:styleId="LightShading1">
    <w:name w:val="Light Shading1"/>
    <w:basedOn w:val="TableNormal"/>
    <w:uiPriority w:val="60"/>
    <w:rsid w:val="001D6EF9"/>
    <w:pPr>
      <w:spacing w:before="0" w:after="0" w:line="240" w:lineRule="auto"/>
    </w:pPr>
    <w:rPr>
      <w:rFonts w:ascii="Times New Roman" w:eastAsia="Times New Roman" w:hAnsi="Times New Roman" w:cs="Times New Roman"/>
      <w:color w:val="000000" w:themeColor="text1" w:themeShade="BF"/>
      <w:sz w:val="20"/>
      <w:szCs w:val="20"/>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D6EF9"/>
    <w:pPr>
      <w:spacing w:before="0" w:after="0" w:line="240" w:lineRule="auto"/>
    </w:pPr>
    <w:rPr>
      <w:rFonts w:ascii="Times New Roman" w:eastAsia="Times New Roman" w:hAnsi="Times New Roman" w:cs="Times New Roman"/>
      <w:color w:val="365F91" w:themeColor="accent1" w:themeShade="BF"/>
      <w:sz w:val="20"/>
      <w:szCs w:val="20"/>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sid w:val="001D6EF9"/>
    <w:rPr>
      <w:color w:val="605E5C"/>
      <w:shd w:val="clear" w:color="auto" w:fill="E1DFDD"/>
    </w:rPr>
  </w:style>
  <w:style w:type="character" w:customStyle="1" w:styleId="UnresolvedMention2">
    <w:name w:val="Unresolved Mention2"/>
    <w:basedOn w:val="DefaultParagraphFont"/>
    <w:uiPriority w:val="99"/>
    <w:semiHidden/>
    <w:unhideWhenUsed/>
    <w:rsid w:val="001D6EF9"/>
    <w:rPr>
      <w:color w:val="605E5C"/>
      <w:shd w:val="clear" w:color="auto" w:fill="E1DFDD"/>
    </w:rPr>
  </w:style>
  <w:style w:type="table" w:customStyle="1" w:styleId="TableGrid31">
    <w:name w:val="Table Grid31"/>
    <w:basedOn w:val="TableNormal"/>
    <w:next w:val="TableGrid"/>
    <w:uiPriority w:val="59"/>
    <w:rsid w:val="00F17FB4"/>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156DF"/>
    <w:rPr>
      <w:color w:val="605E5C"/>
      <w:shd w:val="clear" w:color="auto" w:fill="E1DFDD"/>
    </w:rPr>
  </w:style>
  <w:style w:type="character" w:customStyle="1" w:styleId="ListParagraphChar">
    <w:name w:val="List Paragraph Char"/>
    <w:basedOn w:val="DefaultParagraphFont"/>
    <w:link w:val="ListParagraph"/>
    <w:locked/>
    <w:rsid w:val="00934B5D"/>
    <w:rPr>
      <w:szCs w:val="20"/>
    </w:rPr>
  </w:style>
  <w:style w:type="character" w:styleId="UnresolvedMention">
    <w:name w:val="Unresolved Mention"/>
    <w:basedOn w:val="DefaultParagraphFont"/>
    <w:uiPriority w:val="99"/>
    <w:unhideWhenUsed/>
    <w:rsid w:val="004811E0"/>
    <w:rPr>
      <w:color w:val="605E5C"/>
      <w:shd w:val="clear" w:color="auto" w:fill="E1DFDD"/>
    </w:rPr>
  </w:style>
  <w:style w:type="paragraph" w:customStyle="1" w:styleId="ListBullet1">
    <w:name w:val="List Bullet1"/>
    <w:basedOn w:val="ListParagraph"/>
    <w:qFormat/>
    <w:rsid w:val="00EF2D7F"/>
    <w:pPr>
      <w:numPr>
        <w:numId w:val="4"/>
      </w:numPr>
      <w:spacing w:after="120"/>
      <w:contextualSpacing w:val="0"/>
      <w:jc w:val="both"/>
    </w:pPr>
    <w:rPr>
      <w:rFonts w:ascii="Times New Roman" w:eastAsia="Times New Roman" w:hAnsi="Times New Roman" w:cs="Times New Roman"/>
      <w:sz w:val="24"/>
      <w:szCs w:val="24"/>
      <w:lang w:bidi="ar-SA"/>
    </w:rPr>
  </w:style>
  <w:style w:type="paragraph" w:customStyle="1" w:styleId="Figurelistbullet">
    <w:name w:val="Figure list bullet"/>
    <w:basedOn w:val="ListParagraph"/>
    <w:qFormat/>
    <w:rsid w:val="00262A71"/>
    <w:pPr>
      <w:numPr>
        <w:numId w:val="5"/>
      </w:numPr>
      <w:spacing w:after="120"/>
    </w:pPr>
    <w:rPr>
      <w:rFonts w:ascii="Cambria" w:eastAsia="Times New Roman" w:hAnsi="Cambria" w:cs="Times New Roman"/>
      <w:szCs w:val="22"/>
      <w:lang w:bidi="ar-SA"/>
    </w:rPr>
  </w:style>
  <w:style w:type="table" w:customStyle="1" w:styleId="TableGrid7">
    <w:name w:val="Table Grid7"/>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F0A25"/>
    <w:pPr>
      <w:spacing w:after="0"/>
    </w:pPr>
    <w:rPr>
      <w:sz w:val="20"/>
    </w:rPr>
  </w:style>
  <w:style w:type="character" w:customStyle="1" w:styleId="EndnoteTextChar">
    <w:name w:val="Endnote Text Char"/>
    <w:basedOn w:val="DefaultParagraphFont"/>
    <w:link w:val="EndnoteText"/>
    <w:uiPriority w:val="99"/>
    <w:semiHidden/>
    <w:rsid w:val="000F0A25"/>
    <w:rPr>
      <w:sz w:val="20"/>
      <w:szCs w:val="20"/>
    </w:rPr>
  </w:style>
  <w:style w:type="character" w:styleId="EndnoteReference">
    <w:name w:val="endnote reference"/>
    <w:basedOn w:val="DefaultParagraphFont"/>
    <w:uiPriority w:val="99"/>
    <w:semiHidden/>
    <w:unhideWhenUsed/>
    <w:rsid w:val="000F0A25"/>
    <w:rPr>
      <w:vertAlign w:val="superscript"/>
    </w:rPr>
  </w:style>
  <w:style w:type="character" w:styleId="Mention">
    <w:name w:val="Mention"/>
    <w:basedOn w:val="DefaultParagraphFont"/>
    <w:uiPriority w:val="99"/>
    <w:unhideWhenUsed/>
    <w:rsid w:val="00EF1C16"/>
    <w:rPr>
      <w:color w:val="2B579A"/>
      <w:shd w:val="clear" w:color="auto" w:fill="E1DFDD"/>
    </w:rPr>
  </w:style>
  <w:style w:type="character" w:customStyle="1" w:styleId="normaltextrun">
    <w:name w:val="normaltextrun"/>
    <w:basedOn w:val="DefaultParagraphFont"/>
    <w:rsid w:val="00DB7330"/>
  </w:style>
  <w:style w:type="table" w:styleId="GridTable2-Accent1">
    <w:name w:val="Grid Table 2 Accent 1"/>
    <w:basedOn w:val="TableNormal"/>
    <w:uiPriority w:val="47"/>
    <w:rsid w:val="00612F2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347299">
      <w:bodyDiv w:val="1"/>
      <w:marLeft w:val="0"/>
      <w:marRight w:val="0"/>
      <w:marTop w:val="0"/>
      <w:marBottom w:val="0"/>
      <w:divBdr>
        <w:top w:val="none" w:sz="0" w:space="0" w:color="auto"/>
        <w:left w:val="none" w:sz="0" w:space="0" w:color="auto"/>
        <w:bottom w:val="none" w:sz="0" w:space="0" w:color="auto"/>
        <w:right w:val="none" w:sz="0" w:space="0" w:color="auto"/>
      </w:divBdr>
    </w:div>
    <w:div w:id="699817007">
      <w:bodyDiv w:val="1"/>
      <w:marLeft w:val="0"/>
      <w:marRight w:val="0"/>
      <w:marTop w:val="0"/>
      <w:marBottom w:val="0"/>
      <w:divBdr>
        <w:top w:val="none" w:sz="0" w:space="0" w:color="auto"/>
        <w:left w:val="none" w:sz="0" w:space="0" w:color="auto"/>
        <w:bottom w:val="none" w:sz="0" w:space="0" w:color="auto"/>
        <w:right w:val="none" w:sz="0" w:space="0" w:color="auto"/>
      </w:divBdr>
    </w:div>
    <w:div w:id="756246892">
      <w:bodyDiv w:val="1"/>
      <w:marLeft w:val="0"/>
      <w:marRight w:val="0"/>
      <w:marTop w:val="0"/>
      <w:marBottom w:val="0"/>
      <w:divBdr>
        <w:top w:val="none" w:sz="0" w:space="0" w:color="auto"/>
        <w:left w:val="none" w:sz="0" w:space="0" w:color="auto"/>
        <w:bottom w:val="none" w:sz="0" w:space="0" w:color="auto"/>
        <w:right w:val="none" w:sz="0" w:space="0" w:color="auto"/>
      </w:divBdr>
    </w:div>
    <w:div w:id="797459119">
      <w:bodyDiv w:val="1"/>
      <w:marLeft w:val="0"/>
      <w:marRight w:val="0"/>
      <w:marTop w:val="0"/>
      <w:marBottom w:val="0"/>
      <w:divBdr>
        <w:top w:val="none" w:sz="0" w:space="0" w:color="auto"/>
        <w:left w:val="none" w:sz="0" w:space="0" w:color="auto"/>
        <w:bottom w:val="none" w:sz="0" w:space="0" w:color="auto"/>
        <w:right w:val="none" w:sz="0" w:space="0" w:color="auto"/>
      </w:divBdr>
    </w:div>
    <w:div w:id="806553611">
      <w:bodyDiv w:val="1"/>
      <w:marLeft w:val="0"/>
      <w:marRight w:val="0"/>
      <w:marTop w:val="0"/>
      <w:marBottom w:val="0"/>
      <w:divBdr>
        <w:top w:val="none" w:sz="0" w:space="0" w:color="auto"/>
        <w:left w:val="none" w:sz="0" w:space="0" w:color="auto"/>
        <w:bottom w:val="none" w:sz="0" w:space="0" w:color="auto"/>
        <w:right w:val="none" w:sz="0" w:space="0" w:color="auto"/>
      </w:divBdr>
    </w:div>
    <w:div w:id="1072315781">
      <w:bodyDiv w:val="1"/>
      <w:marLeft w:val="0"/>
      <w:marRight w:val="0"/>
      <w:marTop w:val="0"/>
      <w:marBottom w:val="0"/>
      <w:divBdr>
        <w:top w:val="none" w:sz="0" w:space="0" w:color="auto"/>
        <w:left w:val="none" w:sz="0" w:space="0" w:color="auto"/>
        <w:bottom w:val="none" w:sz="0" w:space="0" w:color="auto"/>
        <w:right w:val="none" w:sz="0" w:space="0" w:color="auto"/>
      </w:divBdr>
    </w:div>
    <w:div w:id="1103450573">
      <w:bodyDiv w:val="1"/>
      <w:marLeft w:val="0"/>
      <w:marRight w:val="0"/>
      <w:marTop w:val="0"/>
      <w:marBottom w:val="0"/>
      <w:divBdr>
        <w:top w:val="none" w:sz="0" w:space="0" w:color="auto"/>
        <w:left w:val="none" w:sz="0" w:space="0" w:color="auto"/>
        <w:bottom w:val="none" w:sz="0" w:space="0" w:color="auto"/>
        <w:right w:val="none" w:sz="0" w:space="0" w:color="auto"/>
      </w:divBdr>
    </w:div>
    <w:div w:id="1657372312">
      <w:bodyDiv w:val="1"/>
      <w:marLeft w:val="0"/>
      <w:marRight w:val="0"/>
      <w:marTop w:val="0"/>
      <w:marBottom w:val="0"/>
      <w:divBdr>
        <w:top w:val="none" w:sz="0" w:space="0" w:color="auto"/>
        <w:left w:val="none" w:sz="0" w:space="0" w:color="auto"/>
        <w:bottom w:val="none" w:sz="0" w:space="0" w:color="auto"/>
        <w:right w:val="none" w:sz="0" w:space="0" w:color="auto"/>
      </w:divBdr>
      <w:divsChild>
        <w:div w:id="120806809">
          <w:marLeft w:val="0"/>
          <w:marRight w:val="0"/>
          <w:marTop w:val="0"/>
          <w:marBottom w:val="0"/>
          <w:divBdr>
            <w:top w:val="none" w:sz="0" w:space="0" w:color="auto"/>
            <w:left w:val="none" w:sz="0" w:space="0" w:color="auto"/>
            <w:bottom w:val="none" w:sz="0" w:space="0" w:color="auto"/>
            <w:right w:val="none" w:sz="0" w:space="0" w:color="auto"/>
          </w:divBdr>
        </w:div>
        <w:div w:id="404575011">
          <w:marLeft w:val="0"/>
          <w:marRight w:val="0"/>
          <w:marTop w:val="0"/>
          <w:marBottom w:val="0"/>
          <w:divBdr>
            <w:top w:val="none" w:sz="0" w:space="0" w:color="auto"/>
            <w:left w:val="none" w:sz="0" w:space="0" w:color="auto"/>
            <w:bottom w:val="none" w:sz="0" w:space="0" w:color="auto"/>
            <w:right w:val="none" w:sz="0" w:space="0" w:color="auto"/>
          </w:divBdr>
        </w:div>
        <w:div w:id="1397125394">
          <w:marLeft w:val="0"/>
          <w:marRight w:val="0"/>
          <w:marTop w:val="0"/>
          <w:marBottom w:val="0"/>
          <w:divBdr>
            <w:top w:val="none" w:sz="0" w:space="0" w:color="auto"/>
            <w:left w:val="none" w:sz="0" w:space="0" w:color="auto"/>
            <w:bottom w:val="none" w:sz="0" w:space="0" w:color="auto"/>
            <w:right w:val="none" w:sz="0" w:space="0" w:color="auto"/>
          </w:divBdr>
        </w:div>
        <w:div w:id="1599874498">
          <w:marLeft w:val="0"/>
          <w:marRight w:val="0"/>
          <w:marTop w:val="0"/>
          <w:marBottom w:val="0"/>
          <w:divBdr>
            <w:top w:val="none" w:sz="0" w:space="0" w:color="auto"/>
            <w:left w:val="none" w:sz="0" w:space="0" w:color="auto"/>
            <w:bottom w:val="none" w:sz="0" w:space="0" w:color="auto"/>
            <w:right w:val="none" w:sz="0" w:space="0" w:color="auto"/>
          </w:divBdr>
        </w:div>
        <w:div w:id="1979726518">
          <w:marLeft w:val="0"/>
          <w:marRight w:val="0"/>
          <w:marTop w:val="0"/>
          <w:marBottom w:val="0"/>
          <w:divBdr>
            <w:top w:val="none" w:sz="0" w:space="0" w:color="auto"/>
            <w:left w:val="none" w:sz="0" w:space="0" w:color="auto"/>
            <w:bottom w:val="none" w:sz="0" w:space="0" w:color="auto"/>
            <w:right w:val="none" w:sz="0" w:space="0" w:color="auto"/>
          </w:divBdr>
        </w:div>
      </w:divsChild>
    </w:div>
    <w:div w:id="1820459111">
      <w:bodyDiv w:val="1"/>
      <w:marLeft w:val="0"/>
      <w:marRight w:val="0"/>
      <w:marTop w:val="0"/>
      <w:marBottom w:val="0"/>
      <w:divBdr>
        <w:top w:val="none" w:sz="0" w:space="0" w:color="auto"/>
        <w:left w:val="none" w:sz="0" w:space="0" w:color="auto"/>
        <w:bottom w:val="none" w:sz="0" w:space="0" w:color="auto"/>
        <w:right w:val="none" w:sz="0" w:space="0" w:color="auto"/>
      </w:divBdr>
      <w:divsChild>
        <w:div w:id="1022587548">
          <w:marLeft w:val="0"/>
          <w:marRight w:val="0"/>
          <w:marTop w:val="0"/>
          <w:marBottom w:val="0"/>
          <w:divBdr>
            <w:top w:val="none" w:sz="0" w:space="0" w:color="auto"/>
            <w:left w:val="none" w:sz="0" w:space="0" w:color="auto"/>
            <w:bottom w:val="none" w:sz="0" w:space="0" w:color="auto"/>
            <w:right w:val="none" w:sz="0" w:space="0" w:color="auto"/>
          </w:divBdr>
        </w:div>
      </w:divsChild>
    </w:div>
    <w:div w:id="1866863565">
      <w:bodyDiv w:val="1"/>
      <w:marLeft w:val="0"/>
      <w:marRight w:val="0"/>
      <w:marTop w:val="0"/>
      <w:marBottom w:val="0"/>
      <w:divBdr>
        <w:top w:val="none" w:sz="0" w:space="0" w:color="auto"/>
        <w:left w:val="none" w:sz="0" w:space="0" w:color="auto"/>
        <w:bottom w:val="none" w:sz="0" w:space="0" w:color="auto"/>
        <w:right w:val="none" w:sz="0" w:space="0" w:color="auto"/>
      </w:divBdr>
    </w:div>
    <w:div w:id="1929117801">
      <w:bodyDiv w:val="1"/>
      <w:marLeft w:val="0"/>
      <w:marRight w:val="0"/>
      <w:marTop w:val="0"/>
      <w:marBottom w:val="0"/>
      <w:divBdr>
        <w:top w:val="none" w:sz="0" w:space="0" w:color="auto"/>
        <w:left w:val="none" w:sz="0" w:space="0" w:color="auto"/>
        <w:bottom w:val="none" w:sz="0" w:space="0" w:color="auto"/>
        <w:right w:val="none" w:sz="0" w:space="0" w:color="auto"/>
      </w:divBdr>
    </w:div>
    <w:div w:id="1941058525">
      <w:bodyDiv w:val="1"/>
      <w:marLeft w:val="0"/>
      <w:marRight w:val="0"/>
      <w:marTop w:val="0"/>
      <w:marBottom w:val="0"/>
      <w:divBdr>
        <w:top w:val="none" w:sz="0" w:space="0" w:color="auto"/>
        <w:left w:val="none" w:sz="0" w:space="0" w:color="auto"/>
        <w:bottom w:val="none" w:sz="0" w:space="0" w:color="auto"/>
        <w:right w:val="none" w:sz="0" w:space="0" w:color="auto"/>
      </w:divBdr>
    </w:div>
    <w:div w:id="20647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 TargetMode="External"/><Relationship Id="rId18" Type="http://schemas.openxmlformats.org/officeDocument/2006/relationships/hyperlink" Target="https://malegislature.gov/laws/generallaws/parti/titlexii/chapter71/section89" TargetMode="External"/><Relationship Id="rId26" Type="http://schemas.openxmlformats.org/officeDocument/2006/relationships/hyperlink" Target="https://nationalcharterschools.org/a-game-grant/data-visualizations/aec-dashboards/" TargetMode="External"/><Relationship Id="rId3" Type="http://schemas.openxmlformats.org/officeDocument/2006/relationships/customXml" Target="../customXml/item3.xml"/><Relationship Id="rId21" Type="http://schemas.openxmlformats.org/officeDocument/2006/relationships/hyperlink" Target="https://www.doe.mass.edu/charter/acct.html?section=criteria"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nationalcharterschools.org/a-game-grant/data-visualization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doe.mass.edu/accountabil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nationalcharterschools.org/agam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oe.mass.edu/account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oe.mass.edu/charter/acct.html?section=guidelines" TargetMode="External"/><Relationship Id="rId27" Type="http://schemas.openxmlformats.org/officeDocument/2006/relationships/hyperlink" Target="https://nationalcharterschools.org/a-game-grant/documents-deliverabl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Buckwalter, Patrick (DESE)</DisplayName>
        <AccountId>250</AccountId>
        <AccountType/>
      </UserInfo>
      <UserInfo>
        <DisplayName>Gordon, Melissa (DESE)</DisplayName>
        <AccountId>129</AccountId>
        <AccountType/>
      </UserInfo>
      <UserInfo>
        <DisplayName>Pamphile, Janice (DESE)</DisplayName>
        <AccountId>273</AccountId>
        <AccountType/>
      </UserInfo>
      <UserInfo>
        <DisplayName>Capitolin, Benie (DESE)</DisplayName>
        <AccountId>85</AccountId>
        <AccountType/>
      </UserInfo>
      <UserInfo>
        <DisplayName>Chavez, Jacqueline G. (DESE)</DisplayName>
        <AccountId>322</AccountId>
        <AccountType/>
      </UserInfo>
      <UserInfo>
        <DisplayName>Bagg, Alison (DESE)</DisplayName>
        <AccountId>122</AccountId>
        <AccountType/>
      </UserInfo>
      <UserInfo>
        <DisplayName>DeLorenzo, Lee E (DESE)</DisplayName>
        <AccountId>83</AccountId>
        <AccountType/>
      </UserInfo>
      <UserInfo>
        <DisplayName>Jeong, Esther (DESE)</DisplayName>
        <AccountId>103</AccountId>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75529-BC29-4892-8860-B3B0655FA606}">
  <ds:schemaRefs>
    <ds:schemaRef ds:uri="http://schemas.microsoft.com/sharepoint/v3/contenttype/forms"/>
  </ds:schemaRefs>
</ds:datastoreItem>
</file>

<file path=customXml/itemProps2.xml><?xml version="1.0" encoding="utf-8"?>
<ds:datastoreItem xmlns:ds="http://schemas.openxmlformats.org/officeDocument/2006/customXml" ds:itemID="{D33114EE-D989-4509-9E3A-A55C121CB2FE}">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3.xml><?xml version="1.0" encoding="utf-8"?>
<ds:datastoreItem xmlns:ds="http://schemas.openxmlformats.org/officeDocument/2006/customXml" ds:itemID="{E112D971-E4C3-400A-9C93-116B69379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7BFB0-D46F-4DFD-AE79-166AC25D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19</Pages>
  <Words>5260</Words>
  <Characters>27356</Characters>
  <Application>Microsoft Office Word</Application>
  <DocSecurity>0</DocSecurity>
  <Lines>1052</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Accountability Plan Guidelines for Alternative Charter Schools</dc:title>
  <dc:subject/>
  <dc:creator>DESE</dc:creator>
  <cp:keywords/>
  <cp:lastModifiedBy>Zou, Dong (EOE)</cp:lastModifiedBy>
  <cp:revision>35</cp:revision>
  <dcterms:created xsi:type="dcterms:W3CDTF">2024-04-24T18:42:00Z</dcterms:created>
  <dcterms:modified xsi:type="dcterms:W3CDTF">2024-08-02T19:19:00Z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 2024 12:00AM</vt:lpwstr>
  </property>
</Properties>
</file>