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51A" w:rsidRPr="00E865ED" w:rsidRDefault="0075351A" w:rsidP="00E32616">
      <w:pPr>
        <w:pStyle w:val="Title"/>
        <w:spacing w:after="120" w:line="240" w:lineRule="auto"/>
      </w:pPr>
      <w:bookmarkStart w:id="0" w:name="_GoBack"/>
      <w:bookmarkEnd w:id="0"/>
      <w:r w:rsidRPr="00E865ED">
        <w:t>The Gateway to College Program</w:t>
      </w:r>
    </w:p>
    <w:p w:rsidR="00CD03CE" w:rsidRPr="00CD03CE" w:rsidRDefault="00CD03CE" w:rsidP="00E32616">
      <w:pPr>
        <w:pStyle w:val="Subtitle"/>
        <w:spacing w:after="120" w:line="240" w:lineRule="auto"/>
        <w:rPr>
          <w:rFonts w:ascii="Bell MT" w:hAnsi="Bell MT"/>
          <w:sz w:val="28"/>
        </w:rPr>
      </w:pPr>
      <w:r w:rsidRPr="00CD03CE">
        <w:rPr>
          <w:rFonts w:ascii="Bell MT" w:hAnsi="Bell MT"/>
          <w:sz w:val="28"/>
        </w:rPr>
        <w:t>MassGrad Summary Brief</w:t>
      </w:r>
      <w:r w:rsidR="0075351A" w:rsidRPr="00CD03CE">
        <w:rPr>
          <w:rFonts w:ascii="Bell MT" w:hAnsi="Bell MT"/>
          <w:sz w:val="28"/>
        </w:rPr>
        <w:t xml:space="preserve"> </w:t>
      </w:r>
    </w:p>
    <w:p w:rsidR="0075351A" w:rsidRPr="00460FB8" w:rsidRDefault="005C0CD4" w:rsidP="00E32616">
      <w:pPr>
        <w:pStyle w:val="Subtitle"/>
        <w:spacing w:after="120" w:line="240" w:lineRule="auto"/>
        <w:rPr>
          <w:sz w:val="24"/>
        </w:rPr>
      </w:pPr>
      <w:r w:rsidRPr="00460FB8">
        <w:rPr>
          <w:sz w:val="24"/>
        </w:rPr>
        <w:t>February</w:t>
      </w:r>
      <w:r w:rsidR="0075351A" w:rsidRPr="00460FB8">
        <w:rPr>
          <w:sz w:val="24"/>
        </w:rPr>
        <w:t xml:space="preserve"> 2016</w:t>
      </w:r>
    </w:p>
    <w:p w:rsidR="0075351A" w:rsidRPr="00AE1CDC" w:rsidRDefault="00E32616" w:rsidP="00AE1CDC">
      <w:pPr>
        <w:spacing w:line="240" w:lineRule="auto"/>
        <w:rPr>
          <w:b/>
          <w:color w:val="8A0000"/>
          <w:sz w:val="28"/>
          <w:szCs w:val="32"/>
        </w:rPr>
      </w:pPr>
      <w:r w:rsidRPr="00AE1CDC">
        <w:rPr>
          <w:b/>
          <w:color w:val="8A0000"/>
          <w:sz w:val="28"/>
          <w:szCs w:val="32"/>
        </w:rPr>
        <w:t>Introduction</w:t>
      </w:r>
      <w:r w:rsidR="003E3857" w:rsidRPr="00AE1CDC">
        <w:rPr>
          <w:b/>
          <w:color w:val="8A0000"/>
          <w:sz w:val="28"/>
          <w:szCs w:val="32"/>
        </w:rPr>
        <w:t xml:space="preserve"> </w:t>
      </w:r>
    </w:p>
    <w:p w:rsidR="00E32616" w:rsidRDefault="00E32616" w:rsidP="00E32616">
      <w:pPr>
        <w:spacing w:line="240" w:lineRule="auto"/>
      </w:pPr>
    </w:p>
    <w:p w:rsidR="00A23ED6" w:rsidRDefault="00B50D2E" w:rsidP="00E32616">
      <w:pPr>
        <w:spacing w:line="240" w:lineRule="auto"/>
      </w:pPr>
      <w:r w:rsidRPr="00F523EE">
        <w:t xml:space="preserve">This brief provides an overview of the </w:t>
      </w:r>
      <w:r w:rsidR="00BE336A">
        <w:t xml:space="preserve">promising practices and lessons learned from </w:t>
      </w:r>
      <w:r w:rsidR="00ED27F1">
        <w:t xml:space="preserve">implementation of the </w:t>
      </w:r>
      <w:r w:rsidRPr="00F523EE">
        <w:t>G</w:t>
      </w:r>
      <w:r w:rsidR="00F523EE" w:rsidRPr="00F523EE">
        <w:t>ateway to College (</w:t>
      </w:r>
      <w:proofErr w:type="spellStart"/>
      <w:r w:rsidR="00F523EE" w:rsidRPr="00F523EE">
        <w:t>GtC</w:t>
      </w:r>
      <w:proofErr w:type="spellEnd"/>
      <w:r w:rsidR="00F523EE" w:rsidRPr="00F523EE">
        <w:t xml:space="preserve">) program in three </w:t>
      </w:r>
      <w:r w:rsidRPr="00F523EE">
        <w:t>Massachusetts</w:t>
      </w:r>
      <w:r w:rsidR="00F523EE" w:rsidRPr="00F523EE">
        <w:t xml:space="preserve"> sites that received </w:t>
      </w:r>
      <w:r w:rsidR="008715D4">
        <w:t xml:space="preserve">planning and </w:t>
      </w:r>
      <w:r w:rsidR="008715D4" w:rsidRPr="00E865ED">
        <w:t>implementation funds</w:t>
      </w:r>
      <w:r w:rsidR="00F523EE" w:rsidRPr="00E865ED">
        <w:t xml:space="preserve"> through the </w:t>
      </w:r>
      <w:r w:rsidR="004B51C2" w:rsidRPr="00E865ED">
        <w:t xml:space="preserve">MassGrad </w:t>
      </w:r>
      <w:r w:rsidR="00A23ED6" w:rsidRPr="00E865ED">
        <w:t>initiative. The program enrolls youth</w:t>
      </w:r>
      <w:r w:rsidR="003E70BC" w:rsidRPr="00E865ED">
        <w:t xml:space="preserve"> between the ages of 16 and 21</w:t>
      </w:r>
      <w:r w:rsidR="00A23ED6" w:rsidRPr="00E865ED">
        <w:t xml:space="preserve"> who have dropped out of high school or who are </w:t>
      </w:r>
      <w:r w:rsidR="00BE336A" w:rsidRPr="00E865ED">
        <w:t xml:space="preserve">at very high risk </w:t>
      </w:r>
      <w:r w:rsidR="0027027B" w:rsidRPr="00E865ED">
        <w:t>of dropping out</w:t>
      </w:r>
      <w:r w:rsidR="00BE336A" w:rsidRPr="00E865ED">
        <w:t xml:space="preserve"> based on indicators such as attendance or credit accumulation</w:t>
      </w:r>
      <w:r w:rsidR="00A23ED6" w:rsidRPr="00E865ED">
        <w:t>.</w:t>
      </w:r>
      <w:r w:rsidR="00BE336A" w:rsidRPr="00E865ED">
        <w:t xml:space="preserve"> </w:t>
      </w:r>
      <w:proofErr w:type="spellStart"/>
      <w:r w:rsidR="00BE336A" w:rsidRPr="00E865ED">
        <w:t>GtC</w:t>
      </w:r>
      <w:proofErr w:type="spellEnd"/>
      <w:r w:rsidR="00BE336A" w:rsidRPr="00E865ED">
        <w:t xml:space="preserve"> is an early college model offered </w:t>
      </w:r>
      <w:r w:rsidR="00AD2664" w:rsidRPr="00E865ED">
        <w:t xml:space="preserve">at </w:t>
      </w:r>
      <w:r w:rsidR="00BE336A" w:rsidRPr="00E865ED">
        <w:t>community college</w:t>
      </w:r>
      <w:r w:rsidR="00AD2664" w:rsidRPr="00E865ED">
        <w:t>s</w:t>
      </w:r>
      <w:r w:rsidR="00BE336A" w:rsidRPr="00E865ED">
        <w:t xml:space="preserve"> that combines targeted supports with academic courses to allow students to complete their high school diploma whil</w:t>
      </w:r>
      <w:r w:rsidR="00AD2664" w:rsidRPr="00E865ED">
        <w:t>e earning</w:t>
      </w:r>
      <w:r w:rsidR="00AD2664">
        <w:t xml:space="preserve"> college credit toward</w:t>
      </w:r>
      <w:r w:rsidR="00BE336A">
        <w:t xml:space="preserve"> a postsecondary credential.</w:t>
      </w:r>
    </w:p>
    <w:p w:rsidR="00A23ED6" w:rsidRDefault="00A23ED6" w:rsidP="00E32616">
      <w:pPr>
        <w:spacing w:line="240" w:lineRule="auto"/>
      </w:pPr>
    </w:p>
    <w:p w:rsidR="00A23ED6" w:rsidRPr="00B77FE7" w:rsidRDefault="00A23ED6" w:rsidP="00E32616">
      <w:pPr>
        <w:spacing w:line="240" w:lineRule="auto"/>
      </w:pPr>
      <w:r w:rsidRPr="00B77FE7">
        <w:t xml:space="preserve">Funded by the U.S. Department of Education and implemented by the Massachusetts Department of Elementary and Secondary Education (ESE), </w:t>
      </w:r>
      <w:proofErr w:type="spellStart"/>
      <w:r w:rsidRPr="00B77FE7">
        <w:t>MassGrad’s</w:t>
      </w:r>
      <w:proofErr w:type="spellEnd"/>
      <w:r w:rsidRPr="00B77FE7">
        <w:t xml:space="preserve"> primary goal was “to substantially increase the number of students who earn a high school diploma.” MassGrad targeted the 133 schools from 76 districts that exceeded the statewide annual dropout rate of 2.9 percent during the 2008–09 school </w:t>
      </w:r>
      <w:proofErr w:type="gramStart"/>
      <w:r w:rsidRPr="00B77FE7">
        <w:t>year</w:t>
      </w:r>
      <w:proofErr w:type="gramEnd"/>
      <w:r w:rsidRPr="00B77FE7">
        <w:t>.</w:t>
      </w:r>
      <w:r w:rsidR="003E3857">
        <w:t xml:space="preserve"> </w:t>
      </w:r>
      <w:r w:rsidR="007345CF">
        <w:t xml:space="preserve">In order to receive funds, </w:t>
      </w:r>
      <w:proofErr w:type="spellStart"/>
      <w:r w:rsidR="007345CF">
        <w:t>GtC</w:t>
      </w:r>
      <w:proofErr w:type="spellEnd"/>
      <w:r w:rsidR="007345CF">
        <w:t xml:space="preserve"> programs had to partner with at least one of the </w:t>
      </w:r>
      <w:r w:rsidR="00AD2664">
        <w:t xml:space="preserve">MassGrad </w:t>
      </w:r>
      <w:r w:rsidR="007345CF">
        <w:t>districts.</w:t>
      </w:r>
      <w:r w:rsidR="003E3857">
        <w:t xml:space="preserve"> </w:t>
      </w:r>
    </w:p>
    <w:p w:rsidR="00A23ED6" w:rsidRPr="00B77FE7" w:rsidRDefault="00A23ED6" w:rsidP="00E32616">
      <w:pPr>
        <w:spacing w:line="240" w:lineRule="auto"/>
      </w:pPr>
    </w:p>
    <w:p w:rsidR="000D36C5" w:rsidRDefault="00A23ED6" w:rsidP="00E32616">
      <w:pPr>
        <w:spacing w:line="240" w:lineRule="auto"/>
      </w:pPr>
      <w:r>
        <w:t xml:space="preserve">Through a competitive proposal process, </w:t>
      </w:r>
      <w:r w:rsidR="00F523EE" w:rsidRPr="00F523EE">
        <w:t xml:space="preserve">ESE </w:t>
      </w:r>
      <w:r w:rsidR="00F96F65">
        <w:t xml:space="preserve">awarded </w:t>
      </w:r>
      <w:r w:rsidR="00100D93">
        <w:t xml:space="preserve">three years of funding to </w:t>
      </w:r>
      <w:r w:rsidR="008715D4">
        <w:t xml:space="preserve">Bristol Community College (BCC), </w:t>
      </w:r>
      <w:proofErr w:type="spellStart"/>
      <w:r w:rsidR="008715D4">
        <w:t>Quinsigamond</w:t>
      </w:r>
      <w:proofErr w:type="spellEnd"/>
      <w:r w:rsidR="008715D4">
        <w:t xml:space="preserve"> Community College (QCC)</w:t>
      </w:r>
      <w:r w:rsidR="0003425F">
        <w:t>,</w:t>
      </w:r>
      <w:r w:rsidR="008715D4">
        <w:t xml:space="preserve"> and Springfield Technical Community College (STCC)</w:t>
      </w:r>
      <w:r w:rsidR="00F523EE" w:rsidRPr="00F523EE">
        <w:t xml:space="preserve">. </w:t>
      </w:r>
      <w:r w:rsidR="00100D93">
        <w:t xml:space="preserve">Each award supported a planning year followed by two years of serving students, although BCC only needed </w:t>
      </w:r>
      <w:r w:rsidR="000C40FF">
        <w:t xml:space="preserve">one planning semester and then enrolled five semesters of students. </w:t>
      </w:r>
      <w:r w:rsidR="00377F4D">
        <w:t xml:space="preserve">BCC </w:t>
      </w:r>
      <w:r w:rsidR="000C40FF">
        <w:t xml:space="preserve">began enrolling students </w:t>
      </w:r>
      <w:r w:rsidR="00F93315">
        <w:t>in January 2012 in partnership with the Fall River Public Schools</w:t>
      </w:r>
      <w:r w:rsidR="00377F4D">
        <w:t xml:space="preserve">, QCC </w:t>
      </w:r>
      <w:r w:rsidR="000C40FF">
        <w:t xml:space="preserve">began </w:t>
      </w:r>
      <w:r w:rsidR="00377F4D">
        <w:t>in</w:t>
      </w:r>
      <w:r w:rsidR="00F93315">
        <w:t xml:space="preserve"> September 2012 with the Worcester </w:t>
      </w:r>
      <w:r w:rsidR="00F93315" w:rsidRPr="00445E6D">
        <w:t>Public Schools</w:t>
      </w:r>
      <w:r w:rsidR="00377F4D" w:rsidRPr="00445E6D">
        <w:t>, and STCC</w:t>
      </w:r>
      <w:r w:rsidR="00F93315" w:rsidRPr="00445E6D">
        <w:t xml:space="preserve"> </w:t>
      </w:r>
      <w:r w:rsidR="000C40FF">
        <w:t xml:space="preserve">began </w:t>
      </w:r>
      <w:r w:rsidR="00F93315" w:rsidRPr="00445E6D">
        <w:t xml:space="preserve">in September 2013 with the </w:t>
      </w:r>
      <w:r w:rsidR="00445E6D" w:rsidRPr="00445E6D">
        <w:t xml:space="preserve">Springfield </w:t>
      </w:r>
      <w:r w:rsidR="00F93315" w:rsidRPr="00445E6D">
        <w:t>Public Schools</w:t>
      </w:r>
      <w:r w:rsidR="00445E6D" w:rsidRPr="00445E6D">
        <w:t>.</w:t>
      </w:r>
      <w:r w:rsidR="000C40FF">
        <w:t xml:space="preserve"> The awards also enabled the Gateway to College National Network (</w:t>
      </w:r>
      <w:proofErr w:type="spellStart"/>
      <w:r w:rsidR="000C40FF">
        <w:t>GtCNN</w:t>
      </w:r>
      <w:proofErr w:type="spellEnd"/>
      <w:r w:rsidR="000C40FF">
        <w:t>) to provide technical assistance for three years.</w:t>
      </w:r>
    </w:p>
    <w:p w:rsidR="000D36C5" w:rsidRDefault="000D36C5" w:rsidP="00E32616">
      <w:pPr>
        <w:spacing w:line="240" w:lineRule="auto"/>
      </w:pPr>
    </w:p>
    <w:p w:rsidR="00CE30CB" w:rsidRDefault="00CE30CB" w:rsidP="00E32616">
      <w:pPr>
        <w:spacing w:line="240" w:lineRule="auto"/>
        <w:sectPr w:rsidR="00CE30CB" w:rsidSect="008E0EF2">
          <w:footerReference w:type="default" r:id="rId12"/>
          <w:footerReference w:type="first" r:id="rId13"/>
          <w:pgSz w:w="12240" w:h="15840"/>
          <w:pgMar w:top="1440" w:right="1440" w:bottom="1440" w:left="1440" w:header="720" w:footer="720" w:gutter="0"/>
          <w:cols w:space="720"/>
          <w:titlePg/>
          <w:docGrid w:linePitch="360"/>
        </w:sectPr>
      </w:pPr>
    </w:p>
    <w:p w:rsidR="008E0EF2" w:rsidRPr="00AE1CDC" w:rsidRDefault="008E0EF2" w:rsidP="00E32616">
      <w:pPr>
        <w:pStyle w:val="Heading3"/>
        <w:spacing w:line="240" w:lineRule="auto"/>
        <w:rPr>
          <w:color w:val="8A0000"/>
          <w:sz w:val="28"/>
          <w:szCs w:val="32"/>
        </w:rPr>
      </w:pPr>
      <w:r w:rsidRPr="00AE1CDC">
        <w:rPr>
          <w:color w:val="8A0000"/>
          <w:sz w:val="28"/>
          <w:szCs w:val="32"/>
        </w:rPr>
        <w:lastRenderedPageBreak/>
        <w:t>Overview of the Gateway to College National Model</w:t>
      </w:r>
    </w:p>
    <w:p w:rsidR="008E0EF2" w:rsidRDefault="008E0EF2" w:rsidP="00E32616">
      <w:pPr>
        <w:spacing w:line="240" w:lineRule="auto"/>
      </w:pPr>
    </w:p>
    <w:p w:rsidR="00AC5642" w:rsidRDefault="000D32E5" w:rsidP="00E32616">
      <w:pPr>
        <w:spacing w:line="240" w:lineRule="auto"/>
      </w:pPr>
      <w:r>
        <w:t xml:space="preserve">The </w:t>
      </w:r>
      <w:proofErr w:type="spellStart"/>
      <w:r>
        <w:t>GtC</w:t>
      </w:r>
      <w:proofErr w:type="spellEnd"/>
      <w:r>
        <w:t xml:space="preserve"> program began in 2000 </w:t>
      </w:r>
      <w:r w:rsidR="0075351A">
        <w:t xml:space="preserve">in Oregon </w:t>
      </w:r>
      <w:r>
        <w:t xml:space="preserve">and </w:t>
      </w:r>
      <w:r w:rsidRPr="00E32616">
        <w:t>has expanded to a network of 4</w:t>
      </w:r>
      <w:r w:rsidR="0042629F" w:rsidRPr="00E32616">
        <w:t>1</w:t>
      </w:r>
      <w:r w:rsidRPr="00E32616">
        <w:t xml:space="preserve"> </w:t>
      </w:r>
      <w:r w:rsidR="0042629F" w:rsidRPr="00E32616">
        <w:t xml:space="preserve">colleges </w:t>
      </w:r>
      <w:r w:rsidRPr="00E32616">
        <w:t>in 2</w:t>
      </w:r>
      <w:r w:rsidR="0042629F" w:rsidRPr="00E32616">
        <w:t>1</w:t>
      </w:r>
      <w:r w:rsidRPr="00E32616">
        <w:t xml:space="preserve"> states. Between 2004 and 2014, more than 3,000 students graduated high school </w:t>
      </w:r>
      <w:r w:rsidR="00F6570B" w:rsidRPr="00E32616">
        <w:t xml:space="preserve">while earning college credit </w:t>
      </w:r>
      <w:r w:rsidRPr="00E32616">
        <w:t xml:space="preserve">through the </w:t>
      </w:r>
      <w:proofErr w:type="spellStart"/>
      <w:r w:rsidRPr="00E32616">
        <w:t>GtC</w:t>
      </w:r>
      <w:proofErr w:type="spellEnd"/>
      <w:r w:rsidRPr="00E32616">
        <w:t xml:space="preserve"> program. </w:t>
      </w:r>
      <w:r w:rsidR="00AC5642" w:rsidRPr="00E32616">
        <w:t xml:space="preserve">The program’s location on a community college campus may make it more desirable to students who </w:t>
      </w:r>
      <w:r w:rsidR="004D3006" w:rsidRPr="00E32616">
        <w:t>a</w:t>
      </w:r>
      <w:r w:rsidR="00AC5642" w:rsidRPr="00E32616">
        <w:t>re not succeeding in a traditional high school setting. At the same time, the college’s partnership with a public school district brings expertise and support from secondary school and district personnel.</w:t>
      </w:r>
    </w:p>
    <w:p w:rsidR="00AC5642" w:rsidRDefault="00AC5642" w:rsidP="00E32616">
      <w:pPr>
        <w:spacing w:line="240" w:lineRule="auto"/>
      </w:pPr>
    </w:p>
    <w:p w:rsidR="00CB6421" w:rsidRDefault="009F6FBA" w:rsidP="00E32616">
      <w:pPr>
        <w:spacing w:line="240" w:lineRule="auto"/>
      </w:pPr>
      <w:r>
        <w:t xml:space="preserve">The </w:t>
      </w:r>
      <w:r w:rsidR="00BA4261">
        <w:t>Gateway to College National Network (</w:t>
      </w:r>
      <w:proofErr w:type="spellStart"/>
      <w:r w:rsidR="00F24BF5">
        <w:t>GtCNN</w:t>
      </w:r>
      <w:proofErr w:type="spellEnd"/>
      <w:r>
        <w:t>) supports all programs in the network.</w:t>
      </w:r>
      <w:r w:rsidR="00413032">
        <w:t xml:space="preserve"> </w:t>
      </w:r>
      <w:r w:rsidR="005C0CD4">
        <w:t>As shown on the next</w:t>
      </w:r>
      <w:r w:rsidR="00CE30CB">
        <w:t xml:space="preserve"> page</w:t>
      </w:r>
      <w:r w:rsidR="00D120BC">
        <w:t>,</w:t>
      </w:r>
      <w:r w:rsidR="000F43A5">
        <w:t xml:space="preserve"> </w:t>
      </w:r>
      <w:r w:rsidR="006D683F">
        <w:t xml:space="preserve">the </w:t>
      </w:r>
      <w:proofErr w:type="spellStart"/>
      <w:r w:rsidR="006D683F">
        <w:t>GtC</w:t>
      </w:r>
      <w:proofErr w:type="spellEnd"/>
      <w:r w:rsidR="006D683F">
        <w:t xml:space="preserve"> model has </w:t>
      </w:r>
      <w:r w:rsidR="00C75A48">
        <w:t xml:space="preserve">five </w:t>
      </w:r>
    </w:p>
    <w:p w:rsidR="00F93315" w:rsidRDefault="00545BD0" w:rsidP="00E32616">
      <w:pPr>
        <w:spacing w:line="240" w:lineRule="auto"/>
      </w:pPr>
      <w:r>
        <w:lastRenderedPageBreak/>
        <w:t>“</w:t>
      </w:r>
      <w:proofErr w:type="gramStart"/>
      <w:r w:rsidR="00C75A48">
        <w:t>essential</w:t>
      </w:r>
      <w:proofErr w:type="gramEnd"/>
      <w:r w:rsidR="00C75A48">
        <w:t xml:space="preserve"> elements</w:t>
      </w:r>
      <w:r>
        <w:t>”</w:t>
      </w:r>
      <w:r w:rsidR="00C75A48">
        <w:t xml:space="preserve">: </w:t>
      </w:r>
      <w:r w:rsidR="00CE30CB" w:rsidRPr="00CE30CB">
        <w:t>innovative teaching and learning, intentional collaboration, sustainable partnerships, significant dual credi</w:t>
      </w:r>
      <w:r w:rsidR="00CE30CB">
        <w:t>t, and holistic student support</w:t>
      </w:r>
      <w:r w:rsidR="00C75A48">
        <w:t>.</w:t>
      </w:r>
      <w:r w:rsidR="0012405B">
        <w:t xml:space="preserve"> </w:t>
      </w:r>
      <w:proofErr w:type="spellStart"/>
      <w:r w:rsidR="00F93315">
        <w:t>GtC</w:t>
      </w:r>
      <w:proofErr w:type="spellEnd"/>
      <w:r w:rsidR="00F93315">
        <w:t xml:space="preserve"> programs are funded by public school districts, which </w:t>
      </w:r>
      <w:r w:rsidR="00D120BC">
        <w:t xml:space="preserve">pay tuition for each student from their district </w:t>
      </w:r>
      <w:proofErr w:type="gramStart"/>
      <w:r w:rsidR="00D120BC">
        <w:t>who</w:t>
      </w:r>
      <w:proofErr w:type="gramEnd"/>
      <w:r w:rsidR="00D120BC">
        <w:t xml:space="preserve"> enrolls.</w:t>
      </w:r>
      <w:r w:rsidR="00F93315">
        <w:t xml:space="preserve"> The program may also receive in-</w:t>
      </w:r>
      <w:r w:rsidR="00F93315" w:rsidRPr="00B20171">
        <w:t>kind support from the college, such as reduced</w:t>
      </w:r>
      <w:r w:rsidR="00F93315">
        <w:t xml:space="preserve"> tuition and fees, </w:t>
      </w:r>
      <w:r w:rsidR="00F93315" w:rsidRPr="00B20171">
        <w:t>rent-free space in college building</w:t>
      </w:r>
      <w:r w:rsidR="00F93315">
        <w:t>s</w:t>
      </w:r>
      <w:r w:rsidR="00F93315" w:rsidRPr="00B20171">
        <w:t xml:space="preserve">, </w:t>
      </w:r>
      <w:r w:rsidR="00F93315">
        <w:t>and access to the college’s computing resources.</w:t>
      </w:r>
    </w:p>
    <w:p w:rsidR="00F93315" w:rsidRDefault="00F93315" w:rsidP="00E32616">
      <w:pPr>
        <w:spacing w:line="240" w:lineRule="auto"/>
      </w:pPr>
    </w:p>
    <w:p w:rsidR="006C3636" w:rsidRDefault="006D683F" w:rsidP="00E32616">
      <w:pPr>
        <w:spacing w:line="240" w:lineRule="auto"/>
      </w:pPr>
      <w:r w:rsidRPr="00F17B42">
        <w:t xml:space="preserve">The staff of each </w:t>
      </w:r>
      <w:proofErr w:type="spellStart"/>
      <w:r w:rsidRPr="00F17B42">
        <w:t>GtC</w:t>
      </w:r>
      <w:proofErr w:type="spellEnd"/>
      <w:r w:rsidRPr="00F17B42">
        <w:t xml:space="preserve"> program includes </w:t>
      </w:r>
      <w:r w:rsidR="00F24BF5" w:rsidRPr="00F17B42">
        <w:t xml:space="preserve">a director, </w:t>
      </w:r>
      <w:r w:rsidR="004B1E35" w:rsidRPr="00F17B42">
        <w:t xml:space="preserve">one or more </w:t>
      </w:r>
      <w:r w:rsidR="00F24BF5" w:rsidRPr="00F17B42">
        <w:t>resource specialists, and</w:t>
      </w:r>
      <w:r w:rsidR="00F24BF5">
        <w:t xml:space="preserve"> a data analyst</w:t>
      </w:r>
      <w:r w:rsidR="0002362E">
        <w:t xml:space="preserve"> or program assistant</w:t>
      </w:r>
      <w:r w:rsidR="00F24BF5">
        <w:t xml:space="preserve">. </w:t>
      </w:r>
      <w:proofErr w:type="spellStart"/>
      <w:r w:rsidR="004C3971">
        <w:t>GtC</w:t>
      </w:r>
      <w:proofErr w:type="spellEnd"/>
      <w:r w:rsidR="00F24BF5">
        <w:t xml:space="preserve"> director</w:t>
      </w:r>
      <w:r w:rsidR="004C3971">
        <w:t>s</w:t>
      </w:r>
      <w:r w:rsidR="00F24BF5">
        <w:t xml:space="preserve"> oversee program operations and implementation</w:t>
      </w:r>
      <w:r>
        <w:t xml:space="preserve">, serve as the </w:t>
      </w:r>
      <w:r w:rsidR="00F24BF5">
        <w:t xml:space="preserve">primary contact for </w:t>
      </w:r>
      <w:r>
        <w:t xml:space="preserve">the college and </w:t>
      </w:r>
      <w:proofErr w:type="spellStart"/>
      <w:r>
        <w:t>GtCNN</w:t>
      </w:r>
      <w:proofErr w:type="spellEnd"/>
      <w:r>
        <w:t>, and work</w:t>
      </w:r>
      <w:r w:rsidR="00F24BF5">
        <w:t xml:space="preserve"> with the college to secure </w:t>
      </w:r>
      <w:r w:rsidR="004C3971">
        <w:t xml:space="preserve">course </w:t>
      </w:r>
      <w:r w:rsidR="00F24BF5">
        <w:t xml:space="preserve">seats for </w:t>
      </w:r>
      <w:proofErr w:type="spellStart"/>
      <w:r w:rsidR="00F24BF5">
        <w:t>GtC</w:t>
      </w:r>
      <w:proofErr w:type="spellEnd"/>
      <w:r w:rsidR="00F24BF5">
        <w:t xml:space="preserve"> students. In addition, they </w:t>
      </w:r>
      <w:r>
        <w:t xml:space="preserve">develop </w:t>
      </w:r>
      <w:r w:rsidR="006C3636">
        <w:t xml:space="preserve">strategies to recruit districts, recruit </w:t>
      </w:r>
      <w:r>
        <w:t>and enroll students, and</w:t>
      </w:r>
      <w:r w:rsidR="0002362E">
        <w:t xml:space="preserve"> </w:t>
      </w:r>
      <w:r>
        <w:t xml:space="preserve">manage </w:t>
      </w:r>
      <w:r w:rsidR="00F24BF5">
        <w:t>the resource specialists</w:t>
      </w:r>
      <w:r w:rsidR="006C3636">
        <w:t>’</w:t>
      </w:r>
      <w:r w:rsidR="0002362E">
        <w:t xml:space="preserve"> </w:t>
      </w:r>
      <w:r>
        <w:lastRenderedPageBreak/>
        <w:t xml:space="preserve">implementation of </w:t>
      </w:r>
      <w:r w:rsidR="0002362E">
        <w:t>the</w:t>
      </w:r>
      <w:r>
        <w:t xml:space="preserve">se </w:t>
      </w:r>
      <w:r w:rsidR="00043012">
        <w:t>process</w:t>
      </w:r>
      <w:r w:rsidR="006C3636">
        <w:t>es</w:t>
      </w:r>
      <w:r w:rsidR="006741A1">
        <w:t>.</w:t>
      </w:r>
      <w:r w:rsidR="00F24BF5">
        <w:t xml:space="preserve"> </w:t>
      </w:r>
      <w:r w:rsidR="004C3971">
        <w:t>D</w:t>
      </w:r>
      <w:r w:rsidR="00F24BF5">
        <w:t>irector</w:t>
      </w:r>
      <w:r w:rsidR="004C3971">
        <w:t>s</w:t>
      </w:r>
      <w:r w:rsidR="00F24BF5">
        <w:t xml:space="preserve"> </w:t>
      </w:r>
      <w:r w:rsidR="004C3971">
        <w:t xml:space="preserve">have less </w:t>
      </w:r>
      <w:r w:rsidR="00F24BF5">
        <w:t>interaction with students</w:t>
      </w:r>
      <w:r w:rsidR="00043012">
        <w:t xml:space="preserve"> </w:t>
      </w:r>
      <w:r w:rsidR="004C3971">
        <w:t xml:space="preserve">than </w:t>
      </w:r>
      <w:r w:rsidR="00043012">
        <w:t>resource specialists</w:t>
      </w:r>
      <w:r>
        <w:t xml:space="preserve"> do</w:t>
      </w:r>
      <w:r w:rsidR="00F24BF5">
        <w:t xml:space="preserve">, </w:t>
      </w:r>
      <w:r w:rsidR="004C3971">
        <w:t xml:space="preserve">but </w:t>
      </w:r>
      <w:r w:rsidR="00F17B42">
        <w:t xml:space="preserve">they </w:t>
      </w:r>
      <w:r>
        <w:t xml:space="preserve">get involved with </w:t>
      </w:r>
      <w:r w:rsidR="00F17B42">
        <w:t xml:space="preserve">major </w:t>
      </w:r>
      <w:r w:rsidR="000027CA">
        <w:t>student</w:t>
      </w:r>
      <w:r w:rsidR="00F24BF5">
        <w:t xml:space="preserve"> </w:t>
      </w:r>
      <w:r w:rsidR="004C3971">
        <w:t>challenges</w:t>
      </w:r>
      <w:r>
        <w:t xml:space="preserve">, such as those </w:t>
      </w:r>
      <w:r w:rsidR="000027CA">
        <w:t>that may warrant dismissal from the program</w:t>
      </w:r>
      <w:r w:rsidR="00F24BF5">
        <w:t>.</w:t>
      </w:r>
    </w:p>
    <w:p w:rsidR="009A5311" w:rsidRDefault="009A5311" w:rsidP="00E32616">
      <w:pPr>
        <w:spacing w:line="240" w:lineRule="auto"/>
      </w:pPr>
    </w:p>
    <w:p w:rsidR="0012405B" w:rsidRDefault="00F24BF5" w:rsidP="00E32616">
      <w:pPr>
        <w:spacing w:line="240" w:lineRule="auto"/>
      </w:pPr>
      <w:r>
        <w:t>Resource specialists are the day</w:t>
      </w:r>
      <w:r w:rsidR="009E020D">
        <w:t>-</w:t>
      </w:r>
      <w:r>
        <w:t>to</w:t>
      </w:r>
      <w:r w:rsidR="009E020D">
        <w:t>-</w:t>
      </w:r>
      <w:r>
        <w:t xml:space="preserve">day </w:t>
      </w:r>
      <w:r w:rsidR="007B3EDF">
        <w:t>point of contact for</w:t>
      </w:r>
      <w:r>
        <w:t xml:space="preserve"> students</w:t>
      </w:r>
      <w:r w:rsidR="0002362E">
        <w:t xml:space="preserve">, </w:t>
      </w:r>
      <w:r w:rsidR="007B3EDF">
        <w:t>faculty</w:t>
      </w:r>
      <w:r w:rsidR="0002362E">
        <w:t>, and guidance counselors</w:t>
      </w:r>
      <w:r w:rsidR="00896287">
        <w:t xml:space="preserve"> from students’ sending high schools</w:t>
      </w:r>
      <w:r w:rsidR="0002362E">
        <w:t xml:space="preserve">. </w:t>
      </w:r>
      <w:r w:rsidR="000C732C">
        <w:t xml:space="preserve">They </w:t>
      </w:r>
      <w:r w:rsidR="007B3EDF">
        <w:t xml:space="preserve">provide wraparound support and resources </w:t>
      </w:r>
      <w:r w:rsidR="00CF3FBF">
        <w:t>for students</w:t>
      </w:r>
      <w:r w:rsidR="007B3EDF">
        <w:t xml:space="preserve"> navigating </w:t>
      </w:r>
      <w:r w:rsidR="00CF3FBF">
        <w:t>barriers</w:t>
      </w:r>
      <w:r w:rsidR="007B3EDF">
        <w:t xml:space="preserve"> to successful </w:t>
      </w:r>
      <w:r w:rsidR="008863A3">
        <w:t xml:space="preserve">program </w:t>
      </w:r>
      <w:r w:rsidR="007B3EDF">
        <w:t xml:space="preserve">completion, such as </w:t>
      </w:r>
      <w:r w:rsidR="00CF3FBF">
        <w:t xml:space="preserve">family </w:t>
      </w:r>
    </w:p>
    <w:p w:rsidR="007B3EDF" w:rsidRDefault="00CF3FBF" w:rsidP="00E32616">
      <w:pPr>
        <w:spacing w:line="240" w:lineRule="auto"/>
      </w:pPr>
      <w:proofErr w:type="gramStart"/>
      <w:r>
        <w:lastRenderedPageBreak/>
        <w:t>responsibilities</w:t>
      </w:r>
      <w:proofErr w:type="gramEnd"/>
      <w:r w:rsidR="00896287">
        <w:t xml:space="preserve"> or </w:t>
      </w:r>
      <w:r w:rsidR="00CC36E6">
        <w:t>lack of</w:t>
      </w:r>
      <w:r w:rsidR="007B3EDF">
        <w:t xml:space="preserve"> </w:t>
      </w:r>
      <w:r w:rsidR="00C64943">
        <w:t xml:space="preserve">transportation or </w:t>
      </w:r>
      <w:r w:rsidR="007B3EDF">
        <w:t>childcare</w:t>
      </w:r>
      <w:r w:rsidR="006741A1">
        <w:t>.</w:t>
      </w:r>
      <w:r w:rsidR="007B3EDF">
        <w:t xml:space="preserve"> </w:t>
      </w:r>
      <w:r w:rsidR="008863A3">
        <w:t xml:space="preserve">They </w:t>
      </w:r>
      <w:r w:rsidR="007B3EDF">
        <w:t xml:space="preserve">share </w:t>
      </w:r>
      <w:r w:rsidR="00896287">
        <w:t xml:space="preserve">strategies </w:t>
      </w:r>
      <w:r w:rsidR="007B3EDF">
        <w:t xml:space="preserve">with students regarding good </w:t>
      </w:r>
      <w:r w:rsidR="006741A1">
        <w:t>study habits</w:t>
      </w:r>
      <w:r w:rsidR="00896287">
        <w:t xml:space="preserve"> and setting priorities</w:t>
      </w:r>
      <w:r w:rsidR="008863A3">
        <w:t>,</w:t>
      </w:r>
      <w:r w:rsidR="00CC36E6">
        <w:t xml:space="preserve"> and at some sites they teach </w:t>
      </w:r>
      <w:r w:rsidR="00BE1E28">
        <w:t>a</w:t>
      </w:r>
      <w:r w:rsidR="00CC36E6">
        <w:t xml:space="preserve"> </w:t>
      </w:r>
      <w:r w:rsidR="00896287">
        <w:t xml:space="preserve">required </w:t>
      </w:r>
      <w:r w:rsidR="00CC36E6">
        <w:t>college skills course.</w:t>
      </w:r>
      <w:r w:rsidR="008863A3">
        <w:t xml:space="preserve"> </w:t>
      </w:r>
      <w:r w:rsidR="00CC36E6">
        <w:t>Some resource specialists provide</w:t>
      </w:r>
      <w:r w:rsidR="007B3EDF">
        <w:t xml:space="preserve"> tutoring in English or math</w:t>
      </w:r>
      <w:r w:rsidR="009E020D">
        <w:t>ematics</w:t>
      </w:r>
      <w:r w:rsidR="007B3EDF">
        <w:t xml:space="preserve">. </w:t>
      </w:r>
      <w:r w:rsidR="00F17B42">
        <w:t xml:space="preserve">They </w:t>
      </w:r>
      <w:r w:rsidR="00043012">
        <w:t>communicat</w:t>
      </w:r>
      <w:r w:rsidR="008863A3">
        <w:t>e</w:t>
      </w:r>
      <w:r w:rsidR="00043012">
        <w:t xml:space="preserve"> </w:t>
      </w:r>
      <w:r w:rsidR="00F17B42">
        <w:t xml:space="preserve">often </w:t>
      </w:r>
      <w:r w:rsidR="008863A3">
        <w:t xml:space="preserve">with college faculty </w:t>
      </w:r>
      <w:r w:rsidR="00043012">
        <w:t xml:space="preserve">about </w:t>
      </w:r>
      <w:r w:rsidR="007B3EDF">
        <w:t>student</w:t>
      </w:r>
      <w:r w:rsidR="008863A3">
        <w:t>s’</w:t>
      </w:r>
      <w:r w:rsidR="007B3EDF">
        <w:t xml:space="preserve"> course attendance and performance</w:t>
      </w:r>
      <w:r w:rsidR="00F17B42">
        <w:t>, and f</w:t>
      </w:r>
      <w:r w:rsidR="007B3EDF">
        <w:t xml:space="preserve">aculty are encouraged to </w:t>
      </w:r>
      <w:r w:rsidR="00F17B42">
        <w:t xml:space="preserve">contact the </w:t>
      </w:r>
      <w:r w:rsidR="007B3EDF">
        <w:t>resource specialist</w:t>
      </w:r>
      <w:r w:rsidR="008863A3">
        <w:t>s</w:t>
      </w:r>
      <w:r w:rsidR="007B3EDF">
        <w:t xml:space="preserve"> </w:t>
      </w:r>
      <w:r w:rsidR="00F17B42">
        <w:t>quickly when a student is struggling with attendance or performance.</w:t>
      </w:r>
      <w:r w:rsidR="007B3EDF">
        <w:t xml:space="preserve"> </w:t>
      </w:r>
      <w:r w:rsidR="00F17B42">
        <w:t xml:space="preserve">This allows resource specialists to determine </w:t>
      </w:r>
      <w:r w:rsidR="00BE1E28">
        <w:t>whether</w:t>
      </w:r>
      <w:r w:rsidR="00F17B42">
        <w:t xml:space="preserve"> a student </w:t>
      </w:r>
      <w:r w:rsidR="007B3EDF">
        <w:t>need</w:t>
      </w:r>
      <w:r w:rsidR="00F17B42">
        <w:t>s</w:t>
      </w:r>
      <w:r w:rsidR="007B3EDF">
        <w:t xml:space="preserve"> increased support</w:t>
      </w:r>
      <w:r w:rsidR="00F17B42">
        <w:t>.</w:t>
      </w:r>
    </w:p>
    <w:p w:rsidR="007B3EDF" w:rsidRDefault="00664158" w:rsidP="00E32616">
      <w:pPr>
        <w:spacing w:line="240" w:lineRule="auto"/>
      </w:pPr>
      <w:r w:rsidRPr="00664158">
        <w:rPr>
          <w:rFonts w:eastAsia="Times New Roman"/>
          <w:noProof/>
          <w:sz w:val="32"/>
          <w:szCs w:val="32"/>
        </w:rPr>
        <w:pict>
          <v:shapetype id="_x0000_t202" coordsize="21600,21600" o:spt="202" path="m,l,21600r21600,l21600,xe">
            <v:stroke joinstyle="miter"/>
            <v:path gradientshapeok="t" o:connecttype="rect"/>
          </v:shapetype>
          <v:shape id="Text Box 3" o:spid="_x0000_s1026" type="#_x0000_t202" style="position:absolute;margin-left:-9.4pt;margin-top:-156.7pt;width:216.6pt;height:463.9pt;z-index:251664384;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" fillcolor="#d9d9d9" strokeweight="1pt" insetpen="t">
            <v:shadow color="#868686"/>
            <v:textbox inset="2.88pt,2.88pt,2.88pt,2.88pt">
              <w:txbxContent>
                <w:p w:rsidR="00CE30CB" w:rsidRPr="00AE1CDC" w:rsidRDefault="00CE30CB" w:rsidP="008E0EF2">
                  <w:pPr>
                    <w:widowControl w:val="0"/>
                    <w:tabs>
                      <w:tab w:val="left" w:pos="-31680"/>
                    </w:tabs>
                    <w:spacing w:line="240" w:lineRule="auto"/>
                    <w:jc w:val="center"/>
                    <w:rPr>
                      <w:b/>
                      <w:bCs/>
                      <w:color w:val="8A0000"/>
                      <w:sz w:val="28"/>
                      <w:szCs w:val="32"/>
                    </w:rPr>
                  </w:pPr>
                  <w:r w:rsidRPr="00AE1CDC">
                    <w:rPr>
                      <w:b/>
                      <w:bCs/>
                      <w:color w:val="8A0000"/>
                      <w:sz w:val="28"/>
                      <w:szCs w:val="32"/>
                    </w:rPr>
                    <w:t>Gateway to College</w:t>
                  </w:r>
                </w:p>
                <w:p w:rsidR="00CE30CB" w:rsidRPr="00AE1CDC" w:rsidRDefault="00CE30CB" w:rsidP="008E0EF2">
                  <w:pPr>
                    <w:widowControl w:val="0"/>
                    <w:tabs>
                      <w:tab w:val="left" w:pos="-31680"/>
                    </w:tabs>
                    <w:spacing w:line="240" w:lineRule="auto"/>
                    <w:jc w:val="center"/>
                    <w:rPr>
                      <w:b/>
                      <w:bCs/>
                      <w:color w:val="8A0000"/>
                      <w:sz w:val="28"/>
                      <w:szCs w:val="32"/>
                    </w:rPr>
                  </w:pPr>
                  <w:r w:rsidRPr="00AE1CDC">
                    <w:rPr>
                      <w:b/>
                      <w:bCs/>
                      <w:color w:val="8A0000"/>
                      <w:sz w:val="28"/>
                      <w:szCs w:val="32"/>
                    </w:rPr>
                    <w:t xml:space="preserve">Essential Elements </w:t>
                  </w:r>
                </w:p>
                <w:p w:rsidR="008E0EF2" w:rsidRPr="008E0EF2" w:rsidRDefault="00CE30CB" w:rsidP="008E0EF2">
                  <w:pPr>
                    <w:tabs>
                      <w:tab w:val="left" w:pos="-31680"/>
                    </w:tabs>
                    <w:spacing w:line="240" w:lineRule="auto"/>
                    <w:ind w:left="144" w:right="144"/>
                    <w:rPr>
                      <w:color w:val="000000"/>
                      <w:szCs w:val="18"/>
                    </w:rPr>
                  </w:pPr>
                  <w:r>
                    <w:rPr>
                      <w:sz w:val="18"/>
                      <w:szCs w:val="18"/>
                    </w:rPr>
                    <w:t> </w:t>
                  </w:r>
                </w:p>
                <w:p w:rsidR="00CE30CB" w:rsidRDefault="00CE30CB" w:rsidP="008E0EF2">
                  <w:pPr>
                    <w:tabs>
                      <w:tab w:val="left" w:pos="-31680"/>
                    </w:tabs>
                    <w:spacing w:line="240" w:lineRule="auto"/>
                    <w:ind w:left="144" w:right="144"/>
                  </w:pPr>
                  <w:r>
                    <w:rPr>
                      <w:b/>
                      <w:bCs/>
                    </w:rPr>
                    <w:t xml:space="preserve">Innovative Teaching and Learning </w:t>
                  </w:r>
                  <w:r>
                    <w:t>– Encourages the implementation of innovative pedagogical techniques based on both research and proven practices in effective teaching and learning.</w:t>
                  </w:r>
                </w:p>
                <w:p w:rsidR="00CE30CB" w:rsidRDefault="00CE30CB" w:rsidP="008E0EF2">
                  <w:pPr>
                    <w:tabs>
                      <w:tab w:val="left" w:pos="-31680"/>
                    </w:tabs>
                    <w:spacing w:line="240" w:lineRule="auto"/>
                    <w:ind w:left="144" w:right="144"/>
                  </w:pPr>
                  <w:r>
                    <w:t> </w:t>
                  </w:r>
                </w:p>
                <w:p w:rsidR="00CE30CB" w:rsidRDefault="00CE30CB" w:rsidP="008E0EF2">
                  <w:pPr>
                    <w:tabs>
                      <w:tab w:val="left" w:pos="-31680"/>
                    </w:tabs>
                    <w:spacing w:line="240" w:lineRule="auto"/>
                    <w:ind w:left="144" w:right="144"/>
                  </w:pPr>
                  <w:r>
                    <w:rPr>
                      <w:b/>
                      <w:bCs/>
                    </w:rPr>
                    <w:t xml:space="preserve">Intentional Collaboration </w:t>
                  </w:r>
                  <w:r>
                    <w:t>– Integrates collaboration, continuous improvement, and professional development, with the goal of improving student success and program sustainability.</w:t>
                  </w:r>
                </w:p>
                <w:p w:rsidR="00CE30CB" w:rsidRDefault="00CE30CB" w:rsidP="008E0EF2">
                  <w:pPr>
                    <w:tabs>
                      <w:tab w:val="left" w:pos="-31680"/>
                    </w:tabs>
                    <w:spacing w:line="240" w:lineRule="auto"/>
                    <w:ind w:left="144" w:right="144"/>
                  </w:pPr>
                  <w:r>
                    <w:t> </w:t>
                  </w:r>
                </w:p>
                <w:p w:rsidR="00CE30CB" w:rsidRDefault="00CE30CB" w:rsidP="008E0EF2">
                  <w:pPr>
                    <w:tabs>
                      <w:tab w:val="left" w:pos="-31680"/>
                    </w:tabs>
                    <w:spacing w:line="240" w:lineRule="auto"/>
                    <w:ind w:left="144" w:right="144"/>
                  </w:pPr>
                  <w:r>
                    <w:rPr>
                      <w:b/>
                      <w:bCs/>
                    </w:rPr>
                    <w:t xml:space="preserve">Sustainable Partnerships </w:t>
                  </w:r>
                  <w:r>
                    <w:t>– Leverages the capacity of school districts, colleges, and other community organizations to create sustainable programs that help meet the local need for dropout recovery.</w:t>
                  </w:r>
                </w:p>
                <w:p w:rsidR="00CE30CB" w:rsidRDefault="00CE30CB" w:rsidP="008E0EF2">
                  <w:pPr>
                    <w:tabs>
                      <w:tab w:val="left" w:pos="-31680"/>
                    </w:tabs>
                    <w:spacing w:line="240" w:lineRule="auto"/>
                    <w:ind w:left="144" w:right="144"/>
                  </w:pPr>
                  <w:r>
                    <w:t> </w:t>
                  </w:r>
                </w:p>
                <w:p w:rsidR="00CE30CB" w:rsidRDefault="00CE30CB" w:rsidP="008E0EF2">
                  <w:pPr>
                    <w:tabs>
                      <w:tab w:val="left" w:pos="-31680"/>
                    </w:tabs>
                    <w:spacing w:line="240" w:lineRule="auto"/>
                    <w:ind w:left="144" w:right="144"/>
                  </w:pPr>
                  <w:r>
                    <w:rPr>
                      <w:b/>
                      <w:bCs/>
                    </w:rPr>
                    <w:t xml:space="preserve">Significant Dual Credit </w:t>
                  </w:r>
                  <w:r>
                    <w:t>– Provides a college-based dual credit program that serves eligible students who have dropped out of (or are unlikely to graduate from) high school and who simultaneously earn a high school diploma and substantial college credit.</w:t>
                  </w:r>
                </w:p>
                <w:p w:rsidR="00CE30CB" w:rsidRDefault="00CE30CB" w:rsidP="008E0EF2">
                  <w:pPr>
                    <w:tabs>
                      <w:tab w:val="left" w:pos="-31680"/>
                    </w:tabs>
                    <w:spacing w:line="240" w:lineRule="auto"/>
                    <w:ind w:left="144" w:right="144"/>
                  </w:pPr>
                  <w:r>
                    <w:t> </w:t>
                  </w:r>
                </w:p>
                <w:p w:rsidR="00CE30CB" w:rsidRDefault="00CE30CB" w:rsidP="008E0EF2">
                  <w:pPr>
                    <w:tabs>
                      <w:tab w:val="left" w:pos="-31680"/>
                    </w:tabs>
                    <w:spacing w:line="240" w:lineRule="auto"/>
                    <w:ind w:left="144" w:right="144"/>
                  </w:pPr>
                  <w:r>
                    <w:rPr>
                      <w:b/>
                      <w:bCs/>
                    </w:rPr>
                    <w:t xml:space="preserve">Holistic Student Support </w:t>
                  </w:r>
                  <w:r>
                    <w:t xml:space="preserve">– Provides wrap-around student support to meet the academic, social, and emotional needs of students in an environment that fosters the development of knowledge and skills necessary to succeed in school and in life. </w:t>
                  </w:r>
                </w:p>
              </w:txbxContent>
            </v:textbox>
            <w10:wrap type="topAndBottom"/>
          </v:shape>
        </w:pict>
      </w:r>
    </w:p>
    <w:p w:rsidR="007B3EDF" w:rsidRDefault="00757A7E" w:rsidP="00E32616">
      <w:pPr>
        <w:spacing w:line="240" w:lineRule="auto"/>
      </w:pPr>
      <w:r>
        <w:t xml:space="preserve">Data analysts or program assistants </w:t>
      </w:r>
      <w:r w:rsidR="00043012">
        <w:t>keep track of student course enrollment, performance</w:t>
      </w:r>
      <w:r w:rsidR="009E020D">
        <w:t>,</w:t>
      </w:r>
      <w:r w:rsidR="00043012">
        <w:t xml:space="preserve"> and credit </w:t>
      </w:r>
      <w:r w:rsidR="00B22D70">
        <w:t>at</w:t>
      </w:r>
      <w:r w:rsidR="00043012">
        <w:t>tainment</w:t>
      </w:r>
      <w:r w:rsidR="00B22D70">
        <w:t xml:space="preserve">, in addition to any </w:t>
      </w:r>
      <w:r w:rsidR="0023459A">
        <w:t xml:space="preserve">data that must be reported to </w:t>
      </w:r>
      <w:proofErr w:type="spellStart"/>
      <w:r w:rsidR="00B22D70">
        <w:t>GtCNN</w:t>
      </w:r>
      <w:proofErr w:type="spellEnd"/>
      <w:r w:rsidR="00B22D70">
        <w:t xml:space="preserve"> </w:t>
      </w:r>
      <w:r w:rsidR="0023459A">
        <w:t xml:space="preserve">or </w:t>
      </w:r>
      <w:r w:rsidR="00B22D70">
        <w:t>the college</w:t>
      </w:r>
      <w:r w:rsidR="00043012">
        <w:t xml:space="preserve">. </w:t>
      </w:r>
      <w:r w:rsidR="00B22D70">
        <w:t xml:space="preserve">They also tell </w:t>
      </w:r>
      <w:r w:rsidR="00043012">
        <w:t xml:space="preserve">partner </w:t>
      </w:r>
      <w:r w:rsidR="0023459A">
        <w:t xml:space="preserve">school </w:t>
      </w:r>
      <w:r w:rsidR="00043012">
        <w:t xml:space="preserve">districts </w:t>
      </w:r>
      <w:r w:rsidR="00B22D70">
        <w:t xml:space="preserve">which </w:t>
      </w:r>
      <w:r w:rsidR="00043012">
        <w:t xml:space="preserve">students have completed </w:t>
      </w:r>
      <w:r w:rsidR="00B22D70">
        <w:t xml:space="preserve">high school </w:t>
      </w:r>
      <w:r w:rsidR="00043012">
        <w:t>course requirements</w:t>
      </w:r>
      <w:r w:rsidR="0023459A">
        <w:t xml:space="preserve"> through their courses at the college</w:t>
      </w:r>
      <w:r w:rsidR="006741A1">
        <w:t>.</w:t>
      </w:r>
      <w:r w:rsidR="00043012">
        <w:t xml:space="preserve"> </w:t>
      </w:r>
      <w:r w:rsidR="00F92A2D">
        <w:t xml:space="preserve">When requested by </w:t>
      </w:r>
      <w:proofErr w:type="spellStart"/>
      <w:r w:rsidR="00F92A2D">
        <w:t>GtC</w:t>
      </w:r>
      <w:proofErr w:type="spellEnd"/>
      <w:r w:rsidR="00F92A2D">
        <w:t xml:space="preserve"> program directors, d</w:t>
      </w:r>
      <w:r w:rsidR="00043012">
        <w:t xml:space="preserve">ata analysts also </w:t>
      </w:r>
      <w:r w:rsidR="00F92A2D">
        <w:t xml:space="preserve">develop periodic </w:t>
      </w:r>
      <w:r w:rsidR="00043012">
        <w:t>reports regarding program recruitment, enrollment, and retention.</w:t>
      </w:r>
    </w:p>
    <w:p w:rsidR="00E32616" w:rsidRDefault="00E32616" w:rsidP="00E32616">
      <w:pPr>
        <w:spacing w:line="240" w:lineRule="auto"/>
      </w:pPr>
    </w:p>
    <w:p w:rsidR="00E67388" w:rsidRPr="00AE1CDC" w:rsidRDefault="00F85B0C" w:rsidP="00E32616">
      <w:pPr>
        <w:pStyle w:val="Heading2"/>
        <w:spacing w:before="0"/>
        <w:rPr>
          <w:szCs w:val="32"/>
        </w:rPr>
      </w:pPr>
      <w:r w:rsidRPr="00AE1CDC">
        <w:rPr>
          <w:szCs w:val="32"/>
        </w:rPr>
        <w:t xml:space="preserve">Recommendations for </w:t>
      </w:r>
      <w:r w:rsidR="00FE0842" w:rsidRPr="00AE1CDC">
        <w:rPr>
          <w:szCs w:val="32"/>
        </w:rPr>
        <w:t xml:space="preserve">Gateway to College </w:t>
      </w:r>
      <w:r w:rsidRPr="00AE1CDC">
        <w:rPr>
          <w:szCs w:val="32"/>
        </w:rPr>
        <w:t>Program Implementation</w:t>
      </w:r>
    </w:p>
    <w:p w:rsidR="00DC51F4" w:rsidRDefault="00DC51F4" w:rsidP="00E32616">
      <w:pPr>
        <w:spacing w:line="240" w:lineRule="auto"/>
      </w:pPr>
    </w:p>
    <w:p w:rsidR="006E01AC" w:rsidRPr="0008168B" w:rsidRDefault="0075351A" w:rsidP="00E32616">
      <w:pPr>
        <w:pStyle w:val="NoSpacing"/>
        <w:rPr>
          <w:rFonts w:ascii="Times New Roman" w:hAnsi="Times New Roman"/>
          <w:szCs w:val="24"/>
        </w:rPr>
      </w:pPr>
      <w:r w:rsidRPr="00B77FE7">
        <w:rPr>
          <w:rFonts w:ascii="Times New Roman" w:hAnsi="Times New Roman"/>
          <w:szCs w:val="24"/>
        </w:rPr>
        <w:t xml:space="preserve">The </w:t>
      </w:r>
      <w:r w:rsidR="00F85B0C">
        <w:rPr>
          <w:rFonts w:ascii="Times New Roman" w:hAnsi="Times New Roman"/>
          <w:szCs w:val="24"/>
        </w:rPr>
        <w:t xml:space="preserve">recommendations </w:t>
      </w:r>
      <w:r w:rsidRPr="00B77FE7">
        <w:rPr>
          <w:rFonts w:ascii="Times New Roman" w:hAnsi="Times New Roman"/>
          <w:szCs w:val="24"/>
        </w:rPr>
        <w:t xml:space="preserve">in this section were </w:t>
      </w:r>
      <w:r>
        <w:rPr>
          <w:rFonts w:ascii="Times New Roman" w:hAnsi="Times New Roman"/>
          <w:szCs w:val="24"/>
        </w:rPr>
        <w:t xml:space="preserve">drawn from </w:t>
      </w:r>
      <w:r w:rsidR="0008168B">
        <w:rPr>
          <w:rFonts w:ascii="Times New Roman" w:hAnsi="Times New Roman"/>
          <w:szCs w:val="24"/>
        </w:rPr>
        <w:t xml:space="preserve">the MassGrad evaluation conducted by the UMass Donahue Institute. During school years 2012–13 through 2014–15, UMDI conducted </w:t>
      </w:r>
      <w:r>
        <w:rPr>
          <w:rFonts w:ascii="Times New Roman" w:hAnsi="Times New Roman"/>
          <w:szCs w:val="24"/>
        </w:rPr>
        <w:t>onsite and phone interviews</w:t>
      </w:r>
      <w:r w:rsidR="0008168B">
        <w:rPr>
          <w:rFonts w:ascii="Times New Roman" w:hAnsi="Times New Roman"/>
          <w:szCs w:val="24"/>
        </w:rPr>
        <w:t xml:space="preserve"> with directors, resource specialists, faculty, and school district liaisons from each </w:t>
      </w:r>
      <w:proofErr w:type="spellStart"/>
      <w:r w:rsidR="0008168B">
        <w:rPr>
          <w:rFonts w:ascii="Times New Roman" w:hAnsi="Times New Roman"/>
          <w:szCs w:val="24"/>
        </w:rPr>
        <w:t>GtC</w:t>
      </w:r>
      <w:proofErr w:type="spellEnd"/>
      <w:r w:rsidR="0008168B">
        <w:rPr>
          <w:rFonts w:ascii="Times New Roman" w:hAnsi="Times New Roman"/>
          <w:szCs w:val="24"/>
        </w:rPr>
        <w:t xml:space="preserve"> site; observed classroom activities; observed technical assistance events attended by all three sites; and interviewed </w:t>
      </w:r>
      <w:proofErr w:type="spellStart"/>
      <w:r w:rsidR="0008168B">
        <w:rPr>
          <w:rFonts w:ascii="Times New Roman" w:hAnsi="Times New Roman"/>
          <w:szCs w:val="24"/>
        </w:rPr>
        <w:t>GtCNN</w:t>
      </w:r>
      <w:proofErr w:type="spellEnd"/>
      <w:r w:rsidR="0008168B">
        <w:rPr>
          <w:rFonts w:ascii="Times New Roman" w:hAnsi="Times New Roman"/>
          <w:szCs w:val="24"/>
        </w:rPr>
        <w:t xml:space="preserve"> representatives.</w:t>
      </w:r>
      <w:r w:rsidR="00CC3B7F">
        <w:rPr>
          <w:rFonts w:ascii="Times New Roman" w:hAnsi="Times New Roman"/>
          <w:szCs w:val="24"/>
        </w:rPr>
        <w:t xml:space="preserve"> </w:t>
      </w:r>
      <w:r w:rsidR="00F85B0C">
        <w:rPr>
          <w:rFonts w:ascii="Times New Roman" w:hAnsi="Times New Roman"/>
          <w:szCs w:val="24"/>
        </w:rPr>
        <w:t xml:space="preserve">Promising practices and lessons learned from these sources yielded recommendations in </w:t>
      </w:r>
      <w:r w:rsidR="007A594E">
        <w:rPr>
          <w:rFonts w:ascii="Times New Roman" w:hAnsi="Times New Roman"/>
          <w:szCs w:val="24"/>
        </w:rPr>
        <w:t xml:space="preserve">four </w:t>
      </w:r>
      <w:r w:rsidR="00146056">
        <w:rPr>
          <w:rFonts w:ascii="Times New Roman" w:hAnsi="Times New Roman" w:cs="Times New Roman"/>
        </w:rPr>
        <w:t>categories</w:t>
      </w:r>
      <w:r w:rsidR="006E01AC">
        <w:rPr>
          <w:rFonts w:ascii="Times New Roman" w:hAnsi="Times New Roman" w:cs="Times New Roman"/>
        </w:rPr>
        <w:t xml:space="preserve">: </w:t>
      </w:r>
      <w:r w:rsidR="00E054EE">
        <w:rPr>
          <w:rFonts w:ascii="Times New Roman" w:hAnsi="Times New Roman" w:cs="Times New Roman"/>
        </w:rPr>
        <w:t>(</w:t>
      </w:r>
      <w:r w:rsidR="006E01AC">
        <w:rPr>
          <w:rFonts w:ascii="Times New Roman" w:hAnsi="Times New Roman" w:cs="Times New Roman"/>
        </w:rPr>
        <w:t>1</w:t>
      </w:r>
      <w:r w:rsidR="00E57D81">
        <w:rPr>
          <w:rFonts w:ascii="Times New Roman" w:hAnsi="Times New Roman" w:cs="Times New Roman"/>
        </w:rPr>
        <w:t>) partnership and communication</w:t>
      </w:r>
      <w:r w:rsidR="00E054EE">
        <w:rPr>
          <w:rFonts w:ascii="Times New Roman" w:hAnsi="Times New Roman" w:cs="Times New Roman"/>
        </w:rPr>
        <w:t>,</w:t>
      </w:r>
      <w:r w:rsidR="006E01AC">
        <w:rPr>
          <w:rFonts w:ascii="Times New Roman" w:hAnsi="Times New Roman" w:cs="Times New Roman"/>
        </w:rPr>
        <w:t xml:space="preserve"> </w:t>
      </w:r>
      <w:r w:rsidR="00E054EE">
        <w:rPr>
          <w:rFonts w:ascii="Times New Roman" w:hAnsi="Times New Roman" w:cs="Times New Roman"/>
        </w:rPr>
        <w:t>(</w:t>
      </w:r>
      <w:r w:rsidR="00B065A5">
        <w:rPr>
          <w:rFonts w:ascii="Times New Roman" w:hAnsi="Times New Roman" w:cs="Times New Roman"/>
        </w:rPr>
        <w:t>2</w:t>
      </w:r>
      <w:r w:rsidR="00E57D81">
        <w:rPr>
          <w:rFonts w:ascii="Times New Roman" w:hAnsi="Times New Roman" w:cs="Times New Roman"/>
        </w:rPr>
        <w:t>) faculty recruitment and retention</w:t>
      </w:r>
      <w:r w:rsidR="00E054EE">
        <w:rPr>
          <w:rFonts w:ascii="Times New Roman" w:hAnsi="Times New Roman" w:cs="Times New Roman"/>
        </w:rPr>
        <w:t>,</w:t>
      </w:r>
      <w:r w:rsidR="00E57D81">
        <w:rPr>
          <w:rFonts w:ascii="Times New Roman" w:hAnsi="Times New Roman" w:cs="Times New Roman"/>
        </w:rPr>
        <w:t xml:space="preserve"> </w:t>
      </w:r>
      <w:r w:rsidR="00E054EE">
        <w:rPr>
          <w:rFonts w:ascii="Times New Roman" w:hAnsi="Times New Roman" w:cs="Times New Roman"/>
        </w:rPr>
        <w:t>(</w:t>
      </w:r>
      <w:r w:rsidR="00B065A5">
        <w:rPr>
          <w:rFonts w:ascii="Times New Roman" w:hAnsi="Times New Roman" w:cs="Times New Roman"/>
        </w:rPr>
        <w:t>3</w:t>
      </w:r>
      <w:r w:rsidR="006E01AC">
        <w:rPr>
          <w:rFonts w:ascii="Times New Roman" w:hAnsi="Times New Roman" w:cs="Times New Roman"/>
        </w:rPr>
        <w:t>) stude</w:t>
      </w:r>
      <w:r w:rsidR="00E57D81">
        <w:rPr>
          <w:rFonts w:ascii="Times New Roman" w:hAnsi="Times New Roman" w:cs="Times New Roman"/>
        </w:rPr>
        <w:t>nt recruitment and enrollment</w:t>
      </w:r>
      <w:r w:rsidR="00E054EE">
        <w:rPr>
          <w:rFonts w:ascii="Times New Roman" w:hAnsi="Times New Roman" w:cs="Times New Roman"/>
        </w:rPr>
        <w:t>,</w:t>
      </w:r>
      <w:r w:rsidR="00E57D81">
        <w:rPr>
          <w:rFonts w:ascii="Times New Roman" w:hAnsi="Times New Roman" w:cs="Times New Roman"/>
        </w:rPr>
        <w:t xml:space="preserve"> </w:t>
      </w:r>
      <w:r w:rsidR="00E865ED">
        <w:rPr>
          <w:rFonts w:ascii="Times New Roman" w:hAnsi="Times New Roman" w:cs="Times New Roman"/>
        </w:rPr>
        <w:t xml:space="preserve">and </w:t>
      </w:r>
      <w:r w:rsidR="00E054EE">
        <w:rPr>
          <w:rFonts w:ascii="Times New Roman" w:hAnsi="Times New Roman" w:cs="Times New Roman"/>
        </w:rPr>
        <w:t>(</w:t>
      </w:r>
      <w:r w:rsidR="00B065A5">
        <w:rPr>
          <w:rFonts w:ascii="Times New Roman" w:hAnsi="Times New Roman" w:cs="Times New Roman"/>
        </w:rPr>
        <w:t>4</w:t>
      </w:r>
      <w:r w:rsidR="006E01AC">
        <w:rPr>
          <w:rFonts w:ascii="Times New Roman" w:hAnsi="Times New Roman" w:cs="Times New Roman"/>
        </w:rPr>
        <w:t>)</w:t>
      </w:r>
      <w:r w:rsidR="007A594E">
        <w:rPr>
          <w:rFonts w:ascii="Times New Roman" w:hAnsi="Times New Roman" w:cs="Times New Roman"/>
        </w:rPr>
        <w:t xml:space="preserve"> </w:t>
      </w:r>
      <w:r w:rsidR="006E01AC">
        <w:rPr>
          <w:rFonts w:ascii="Times New Roman" w:hAnsi="Times New Roman" w:cs="Times New Roman"/>
        </w:rPr>
        <w:t>stud</w:t>
      </w:r>
      <w:r w:rsidR="00E57D81">
        <w:rPr>
          <w:rFonts w:ascii="Times New Roman" w:hAnsi="Times New Roman" w:cs="Times New Roman"/>
        </w:rPr>
        <w:t>ent support</w:t>
      </w:r>
      <w:r w:rsidR="001856C9">
        <w:rPr>
          <w:rFonts w:ascii="Times New Roman" w:hAnsi="Times New Roman" w:cs="Times New Roman"/>
        </w:rPr>
        <w:t>.</w:t>
      </w:r>
    </w:p>
    <w:p w:rsidR="006E01AC" w:rsidRDefault="006E01AC" w:rsidP="00E32616">
      <w:pPr>
        <w:spacing w:line="240" w:lineRule="auto"/>
      </w:pPr>
    </w:p>
    <w:p w:rsidR="00AC6634" w:rsidRPr="00AE1CDC" w:rsidRDefault="003F0AA9" w:rsidP="00E32616">
      <w:pPr>
        <w:pStyle w:val="Heading3"/>
        <w:spacing w:line="240" w:lineRule="auto"/>
        <w:rPr>
          <w:color w:val="8A0000"/>
          <w:sz w:val="28"/>
          <w:szCs w:val="32"/>
        </w:rPr>
      </w:pPr>
      <w:r w:rsidRPr="00AE1CDC">
        <w:rPr>
          <w:color w:val="8A0000"/>
          <w:sz w:val="28"/>
          <w:szCs w:val="32"/>
        </w:rPr>
        <w:t>Partnership and Communication</w:t>
      </w:r>
    </w:p>
    <w:p w:rsidR="00B065A5" w:rsidRDefault="00B065A5" w:rsidP="00E32616">
      <w:pPr>
        <w:spacing w:line="240" w:lineRule="auto"/>
      </w:pPr>
    </w:p>
    <w:p w:rsidR="00AC6634" w:rsidRDefault="00F85B0C" w:rsidP="00E32616">
      <w:pPr>
        <w:pStyle w:val="NoSpacing"/>
        <w:rPr>
          <w:rFonts w:ascii="Times New Roman" w:hAnsi="Times New Roman" w:cs="Times New Roman"/>
        </w:rPr>
      </w:pPr>
      <w:r>
        <w:rPr>
          <w:rFonts w:ascii="Times New Roman" w:hAnsi="Times New Roman" w:cs="Times New Roman"/>
        </w:rPr>
        <w:t xml:space="preserve">A strong partnership between the </w:t>
      </w:r>
      <w:r w:rsidR="00AC6634">
        <w:rPr>
          <w:rFonts w:ascii="Times New Roman" w:hAnsi="Times New Roman" w:cs="Times New Roman"/>
        </w:rPr>
        <w:t xml:space="preserve">college and </w:t>
      </w:r>
      <w:r w:rsidR="00031542">
        <w:rPr>
          <w:rFonts w:ascii="Times New Roman" w:hAnsi="Times New Roman" w:cs="Times New Roman"/>
        </w:rPr>
        <w:t xml:space="preserve">the </w:t>
      </w:r>
      <w:r>
        <w:rPr>
          <w:rFonts w:ascii="Times New Roman" w:hAnsi="Times New Roman" w:cs="Times New Roman"/>
        </w:rPr>
        <w:t xml:space="preserve">partner </w:t>
      </w:r>
      <w:r w:rsidR="00AC6634">
        <w:rPr>
          <w:rFonts w:ascii="Times New Roman" w:hAnsi="Times New Roman" w:cs="Times New Roman"/>
        </w:rPr>
        <w:t xml:space="preserve">school district </w:t>
      </w:r>
      <w:r w:rsidR="00621C62">
        <w:rPr>
          <w:rFonts w:ascii="Times New Roman" w:hAnsi="Times New Roman" w:cs="Times New Roman"/>
        </w:rPr>
        <w:t xml:space="preserve">increases the commitment of both parties </w:t>
      </w:r>
      <w:r w:rsidR="00B065A5">
        <w:rPr>
          <w:rFonts w:ascii="Times New Roman" w:hAnsi="Times New Roman" w:cs="Times New Roman"/>
        </w:rPr>
        <w:t>to the success</w:t>
      </w:r>
      <w:r w:rsidR="00AC6634">
        <w:rPr>
          <w:rFonts w:ascii="Times New Roman" w:hAnsi="Times New Roman" w:cs="Times New Roman"/>
        </w:rPr>
        <w:t xml:space="preserve"> </w:t>
      </w:r>
      <w:r w:rsidR="00146056">
        <w:rPr>
          <w:rFonts w:ascii="Times New Roman" w:hAnsi="Times New Roman" w:cs="Times New Roman"/>
        </w:rPr>
        <w:t xml:space="preserve">of </w:t>
      </w:r>
      <w:r>
        <w:rPr>
          <w:rFonts w:ascii="Times New Roman" w:hAnsi="Times New Roman" w:cs="Times New Roman"/>
        </w:rPr>
        <w:t>the program.</w:t>
      </w:r>
      <w:r w:rsidR="00AC6634">
        <w:rPr>
          <w:rFonts w:ascii="Times New Roman" w:hAnsi="Times New Roman" w:cs="Times New Roman"/>
        </w:rPr>
        <w:t xml:space="preserve"> The </w:t>
      </w:r>
      <w:r w:rsidR="00AC6634" w:rsidRPr="00621C62">
        <w:rPr>
          <w:rFonts w:ascii="Times New Roman" w:hAnsi="Times New Roman" w:cs="Times New Roman"/>
        </w:rPr>
        <w:lastRenderedPageBreak/>
        <w:t>following</w:t>
      </w:r>
      <w:r w:rsidR="00E57D81" w:rsidRPr="00621C62">
        <w:rPr>
          <w:rFonts w:ascii="Times New Roman" w:hAnsi="Times New Roman" w:cs="Times New Roman"/>
        </w:rPr>
        <w:t xml:space="preserve"> </w:t>
      </w:r>
      <w:r w:rsidR="00146056" w:rsidRPr="00621C62">
        <w:rPr>
          <w:rFonts w:ascii="Times New Roman" w:hAnsi="Times New Roman" w:cs="Times New Roman"/>
        </w:rPr>
        <w:t xml:space="preserve">recommendations </w:t>
      </w:r>
      <w:r w:rsidR="00AC6634" w:rsidRPr="00621C62">
        <w:rPr>
          <w:rFonts w:ascii="Times New Roman" w:hAnsi="Times New Roman" w:cs="Times New Roman"/>
        </w:rPr>
        <w:t>inform</w:t>
      </w:r>
      <w:r w:rsidR="00AC6634">
        <w:rPr>
          <w:rFonts w:ascii="Times New Roman" w:hAnsi="Times New Roman" w:cs="Times New Roman"/>
        </w:rPr>
        <w:t xml:space="preserve"> effective </w:t>
      </w:r>
      <w:r w:rsidR="00146056">
        <w:rPr>
          <w:rFonts w:ascii="Times New Roman" w:hAnsi="Times New Roman" w:cs="Times New Roman"/>
        </w:rPr>
        <w:t>partnership and communication</w:t>
      </w:r>
      <w:r w:rsidR="00AC6634">
        <w:rPr>
          <w:rFonts w:ascii="Times New Roman" w:hAnsi="Times New Roman" w:cs="Times New Roman"/>
        </w:rPr>
        <w:t xml:space="preserve"> practices</w:t>
      </w:r>
      <w:r w:rsidR="00146056">
        <w:rPr>
          <w:rFonts w:ascii="Times New Roman" w:hAnsi="Times New Roman" w:cs="Times New Roman"/>
        </w:rPr>
        <w:t>.</w:t>
      </w:r>
    </w:p>
    <w:p w:rsidR="00B86C8B" w:rsidRDefault="00B86C8B" w:rsidP="00E32616">
      <w:pPr>
        <w:spacing w:line="240" w:lineRule="auto"/>
      </w:pPr>
    </w:p>
    <w:p w:rsidR="00AC6634" w:rsidRPr="008174D8" w:rsidRDefault="00B86C8B" w:rsidP="00E32616">
      <w:pPr>
        <w:spacing w:line="240" w:lineRule="auto"/>
      </w:pPr>
      <w:r w:rsidRPr="003F0AA9">
        <w:rPr>
          <w:b/>
          <w:bCs/>
          <w:color w:val="8A0000"/>
        </w:rPr>
        <w:t>Form leadership teams that include both college and school district representatives.</w:t>
      </w:r>
      <w:r w:rsidRPr="00E57D81">
        <w:rPr>
          <w:b/>
          <w:bCs/>
        </w:rPr>
        <w:t xml:space="preserve"> </w:t>
      </w:r>
      <w:r w:rsidRPr="00E57D81">
        <w:t xml:space="preserve">All three colleges formed leadership teams that included school district representatives during the program planning phase. </w:t>
      </w:r>
      <w:r w:rsidR="00621C62">
        <w:t xml:space="preserve">These </w:t>
      </w:r>
      <w:r w:rsidRPr="00E57D81">
        <w:t xml:space="preserve">teams were able to create student </w:t>
      </w:r>
      <w:r w:rsidRPr="008174D8">
        <w:t>recruitment, enrollment, and retention policies</w:t>
      </w:r>
      <w:r w:rsidR="007612A0">
        <w:t>;</w:t>
      </w:r>
      <w:r w:rsidR="00757A7E">
        <w:t xml:space="preserve"> develop </w:t>
      </w:r>
      <w:r w:rsidR="00757A7E" w:rsidRPr="00E57D81">
        <w:t>a shared vision for the program</w:t>
      </w:r>
      <w:r w:rsidR="007612A0">
        <w:t>;</w:t>
      </w:r>
      <w:r w:rsidR="00757A7E">
        <w:t xml:space="preserve"> </w:t>
      </w:r>
      <w:r w:rsidRPr="008174D8">
        <w:t xml:space="preserve">and begin to develop a memorandum of understanding </w:t>
      </w:r>
      <w:r w:rsidR="00AC6634" w:rsidRPr="008174D8">
        <w:t xml:space="preserve">(MOU) </w:t>
      </w:r>
      <w:r w:rsidRPr="008174D8">
        <w:t>between the college and the school district.</w:t>
      </w:r>
    </w:p>
    <w:p w:rsidR="00AC6634" w:rsidRPr="008174D8" w:rsidRDefault="00AC6634" w:rsidP="00E32616">
      <w:pPr>
        <w:spacing w:line="240" w:lineRule="auto"/>
      </w:pPr>
    </w:p>
    <w:p w:rsidR="00CD4FF6" w:rsidRDefault="00405FC9" w:rsidP="00E32616">
      <w:pPr>
        <w:spacing w:line="240" w:lineRule="auto"/>
      </w:pPr>
      <w:r w:rsidRPr="003F0AA9">
        <w:rPr>
          <w:b/>
          <w:color w:val="8A0000"/>
        </w:rPr>
        <w:t>Develop a formal MOU</w:t>
      </w:r>
      <w:r w:rsidR="005F2E4C" w:rsidRPr="003F0AA9">
        <w:rPr>
          <w:b/>
          <w:color w:val="8A0000"/>
        </w:rPr>
        <w:t xml:space="preserve"> with partner districts</w:t>
      </w:r>
      <w:r w:rsidR="0003425F" w:rsidRPr="003F0AA9">
        <w:rPr>
          <w:b/>
          <w:color w:val="8A0000"/>
        </w:rPr>
        <w:t xml:space="preserve"> before starting program</w:t>
      </w:r>
      <w:r w:rsidRPr="003F0AA9">
        <w:rPr>
          <w:b/>
          <w:color w:val="8A0000"/>
        </w:rPr>
        <w:t>.</w:t>
      </w:r>
      <w:r w:rsidRPr="003F0AA9">
        <w:rPr>
          <w:i/>
          <w:color w:val="8A0000"/>
        </w:rPr>
        <w:t xml:space="preserve"> </w:t>
      </w:r>
      <w:r w:rsidR="00E57D81" w:rsidRPr="008174D8">
        <w:t xml:space="preserve">The MOU </w:t>
      </w:r>
      <w:r w:rsidR="00364183">
        <w:t xml:space="preserve">was </w:t>
      </w:r>
      <w:r w:rsidR="00E57D81" w:rsidRPr="008174D8">
        <w:t>an</w:t>
      </w:r>
      <w:r w:rsidR="00AC6634" w:rsidRPr="008174D8">
        <w:t xml:space="preserve"> essential </w:t>
      </w:r>
      <w:r w:rsidR="008174D8">
        <w:t xml:space="preserve">guide to aspects of </w:t>
      </w:r>
      <w:r w:rsidR="00AC6634" w:rsidRPr="008174D8">
        <w:t>program operation</w:t>
      </w:r>
      <w:r w:rsidR="00E57D81" w:rsidRPr="008174D8">
        <w:t xml:space="preserve"> </w:t>
      </w:r>
      <w:r w:rsidRPr="008174D8">
        <w:t>at each site</w:t>
      </w:r>
      <w:r w:rsidR="00364183">
        <w:t>.</w:t>
      </w:r>
      <w:r w:rsidR="00836B67" w:rsidRPr="008174D8">
        <w:t xml:space="preserve"> </w:t>
      </w:r>
      <w:r w:rsidR="00CD4FF6" w:rsidRPr="008174D8">
        <w:t xml:space="preserve">When problems arose regarding the respective </w:t>
      </w:r>
      <w:r w:rsidR="00CD4FF6">
        <w:t xml:space="preserve">responsibilities </w:t>
      </w:r>
      <w:r w:rsidR="00CD4FF6" w:rsidRPr="008174D8">
        <w:t xml:space="preserve">of the colleges and </w:t>
      </w:r>
      <w:r w:rsidR="00CD4FF6">
        <w:t xml:space="preserve">school </w:t>
      </w:r>
      <w:r w:rsidR="00CD4FF6" w:rsidRPr="008174D8">
        <w:t>district partners, the MOU was able to guide action steps</w:t>
      </w:r>
      <w:r w:rsidR="00CD4FF6">
        <w:t xml:space="preserve">. At two sites, not having a finalized MOU before the program began led to serious implementation challenges. Some elements of </w:t>
      </w:r>
      <w:r w:rsidR="00774D4F">
        <w:t xml:space="preserve">an </w:t>
      </w:r>
      <w:r w:rsidR="00CD4FF6">
        <w:t>MOU included:</w:t>
      </w:r>
    </w:p>
    <w:p w:rsidR="008E0EF2" w:rsidRDefault="008E0EF2" w:rsidP="00E32616">
      <w:pPr>
        <w:spacing w:line="240" w:lineRule="auto"/>
      </w:pPr>
    </w:p>
    <w:p w:rsidR="00CD4FF6" w:rsidRDefault="00CD4FF6" w:rsidP="00E32616">
      <w:pPr>
        <w:pStyle w:val="ListParagraph"/>
        <w:numPr>
          <w:ilvl w:val="0"/>
          <w:numId w:val="22"/>
        </w:numPr>
        <w:spacing w:after="120" w:line="240" w:lineRule="auto"/>
        <w:contextualSpacing w:val="0"/>
      </w:pPr>
      <w:r>
        <w:t>Courses that would be eligible for both high school and college credit.</w:t>
      </w:r>
    </w:p>
    <w:p w:rsidR="00CD4FF6" w:rsidRDefault="00CD4FF6" w:rsidP="00E32616">
      <w:pPr>
        <w:pStyle w:val="ListParagraph"/>
        <w:numPr>
          <w:ilvl w:val="0"/>
          <w:numId w:val="22"/>
        </w:numPr>
        <w:spacing w:after="120" w:line="240" w:lineRule="auto"/>
        <w:contextualSpacing w:val="0"/>
      </w:pPr>
      <w:r>
        <w:t>Services to be offered by the college in addition to providing courses, such as counseling, academic advising, tutoring, and accommodations for students with disabilities.</w:t>
      </w:r>
    </w:p>
    <w:p w:rsidR="00CD4FF6" w:rsidRDefault="00CD4FF6" w:rsidP="00E32616">
      <w:pPr>
        <w:pStyle w:val="ListParagraph"/>
        <w:numPr>
          <w:ilvl w:val="0"/>
          <w:numId w:val="22"/>
        </w:numPr>
        <w:spacing w:after="120" w:line="240" w:lineRule="auto"/>
        <w:contextualSpacing w:val="0"/>
      </w:pPr>
      <w:r>
        <w:t xml:space="preserve">Resources to be </w:t>
      </w:r>
      <w:r w:rsidR="00302A5E">
        <w:t xml:space="preserve">provided </w:t>
      </w:r>
      <w:r>
        <w:t xml:space="preserve">by the college, such as </w:t>
      </w:r>
      <w:r w:rsidR="00302A5E">
        <w:t>textbooks and supplemental materials.</w:t>
      </w:r>
    </w:p>
    <w:p w:rsidR="00CD4FF6" w:rsidRDefault="00757A7E" w:rsidP="00E32616">
      <w:pPr>
        <w:pStyle w:val="ListParagraph"/>
        <w:numPr>
          <w:ilvl w:val="0"/>
          <w:numId w:val="22"/>
        </w:numPr>
        <w:spacing w:after="120" w:line="240" w:lineRule="auto"/>
        <w:contextualSpacing w:val="0"/>
      </w:pPr>
      <w:r>
        <w:t>Tuition s</w:t>
      </w:r>
      <w:r w:rsidR="00CD4FF6">
        <w:t>chedule and payment dates.</w:t>
      </w:r>
    </w:p>
    <w:p w:rsidR="00CD4FF6" w:rsidRDefault="00CD4FF6" w:rsidP="00E32616">
      <w:pPr>
        <w:pStyle w:val="ListParagraph"/>
        <w:numPr>
          <w:ilvl w:val="0"/>
          <w:numId w:val="22"/>
        </w:numPr>
        <w:spacing w:after="120" w:line="240" w:lineRule="auto"/>
        <w:contextualSpacing w:val="0"/>
      </w:pPr>
      <w:r>
        <w:t xml:space="preserve">Number of students that the school district would make </w:t>
      </w:r>
      <w:r w:rsidR="00774D4F">
        <w:t xml:space="preserve">a </w:t>
      </w:r>
      <w:r>
        <w:t>good faith effort to provide</w:t>
      </w:r>
      <w:r w:rsidR="00757A7E">
        <w:t xml:space="preserve"> to the program</w:t>
      </w:r>
      <w:r>
        <w:t>.</w:t>
      </w:r>
    </w:p>
    <w:p w:rsidR="00CD4FF6" w:rsidRDefault="00302A5E" w:rsidP="00E32616">
      <w:pPr>
        <w:pStyle w:val="ListParagraph"/>
        <w:numPr>
          <w:ilvl w:val="0"/>
          <w:numId w:val="22"/>
        </w:numPr>
        <w:spacing w:after="120" w:line="240" w:lineRule="auto"/>
        <w:contextualSpacing w:val="0"/>
      </w:pPr>
      <w:r>
        <w:t>Establishment of a program advisory board and a program liaison from the school district.</w:t>
      </w:r>
    </w:p>
    <w:p w:rsidR="00302A5E" w:rsidRDefault="00302A5E" w:rsidP="00E32616">
      <w:pPr>
        <w:pStyle w:val="ListParagraph"/>
        <w:numPr>
          <w:ilvl w:val="0"/>
          <w:numId w:val="22"/>
        </w:numPr>
        <w:spacing w:after="120" w:line="240" w:lineRule="auto"/>
        <w:contextualSpacing w:val="0"/>
      </w:pPr>
      <w:r>
        <w:t>Student eligibility criteria, such as age, residence, prior high school credit accumulation, and minimum reading level.</w:t>
      </w:r>
    </w:p>
    <w:p w:rsidR="00302A5E" w:rsidRDefault="007612A0" w:rsidP="00E32616">
      <w:pPr>
        <w:pStyle w:val="ListParagraph"/>
        <w:numPr>
          <w:ilvl w:val="0"/>
          <w:numId w:val="22"/>
        </w:numPr>
        <w:spacing w:after="120" w:line="240" w:lineRule="auto"/>
        <w:contextualSpacing w:val="0"/>
      </w:pPr>
      <w:r>
        <w:t>Mechanism for a c</w:t>
      </w:r>
      <w:r w:rsidR="00302A5E">
        <w:t xml:space="preserve">ollege </w:t>
      </w:r>
      <w:r>
        <w:t xml:space="preserve">to </w:t>
      </w:r>
      <w:r w:rsidR="00302A5E">
        <w:t xml:space="preserve">report </w:t>
      </w:r>
      <w:r>
        <w:t xml:space="preserve">information </w:t>
      </w:r>
      <w:r w:rsidR="00302A5E">
        <w:t>to the district</w:t>
      </w:r>
      <w:r w:rsidR="003F0AA9">
        <w:t>,</w:t>
      </w:r>
      <w:r w:rsidR="00302A5E">
        <w:t xml:space="preserve"> </w:t>
      </w:r>
      <w:r w:rsidR="00F658CF">
        <w:t xml:space="preserve">such as </w:t>
      </w:r>
      <w:r w:rsidR="00302A5E">
        <w:t>student attendance and performance.</w:t>
      </w:r>
    </w:p>
    <w:p w:rsidR="00CD4FF6" w:rsidRPr="008174D8" w:rsidRDefault="00CD4FF6" w:rsidP="00E32616">
      <w:pPr>
        <w:spacing w:line="240" w:lineRule="auto"/>
      </w:pPr>
    </w:p>
    <w:p w:rsidR="00B86C8B" w:rsidRDefault="00E57D81" w:rsidP="00E32616">
      <w:pPr>
        <w:spacing w:line="240" w:lineRule="auto"/>
      </w:pPr>
      <w:r w:rsidRPr="003F0AA9">
        <w:rPr>
          <w:b/>
          <w:bCs/>
          <w:color w:val="8A0000"/>
        </w:rPr>
        <w:lastRenderedPageBreak/>
        <w:t>Maintain r</w:t>
      </w:r>
      <w:r w:rsidR="00B86C8B" w:rsidRPr="003F0AA9">
        <w:rPr>
          <w:b/>
          <w:bCs/>
          <w:color w:val="8A0000"/>
        </w:rPr>
        <w:t>egular communication between program and school/district staff.</w:t>
      </w:r>
      <w:r w:rsidR="00B86C8B" w:rsidRPr="003F0AA9">
        <w:rPr>
          <w:bCs/>
          <w:i/>
          <w:color w:val="8A0000"/>
        </w:rPr>
        <w:t xml:space="preserve"> </w:t>
      </w:r>
      <w:r w:rsidRPr="008174D8">
        <w:t>One</w:t>
      </w:r>
      <w:r w:rsidR="00B86C8B" w:rsidRPr="008174D8">
        <w:t xml:space="preserve"> program director schedu</w:t>
      </w:r>
      <w:r w:rsidRPr="008174D8">
        <w:t xml:space="preserve">led monthly </w:t>
      </w:r>
      <w:r w:rsidRPr="00E57D81">
        <w:t>phone meetings with</w:t>
      </w:r>
      <w:r w:rsidR="00B86C8B" w:rsidRPr="00E57D81">
        <w:t xml:space="preserve"> representatives from the partner school district and high schools in order to discuss program policies, student concerns, and district or school issues that </w:t>
      </w:r>
      <w:r w:rsidR="003444B9">
        <w:t xml:space="preserve">could </w:t>
      </w:r>
      <w:r w:rsidR="00B86C8B" w:rsidRPr="00E57D81">
        <w:t xml:space="preserve">affect the </w:t>
      </w:r>
      <w:proofErr w:type="spellStart"/>
      <w:r w:rsidR="00B86C8B" w:rsidRPr="00E57D81">
        <w:t>GtC</w:t>
      </w:r>
      <w:proofErr w:type="spellEnd"/>
      <w:r w:rsidR="00B86C8B" w:rsidRPr="00E57D81">
        <w:t xml:space="preserve"> program’s recruiting efforts, enrollment, or curriculum. </w:t>
      </w:r>
      <w:r w:rsidRPr="00E57D81">
        <w:t>Resource</w:t>
      </w:r>
      <w:r w:rsidR="00B86C8B" w:rsidRPr="00E57D81">
        <w:t xml:space="preserve"> specialists also contacted the high school guidance counselors frequently throughout the school year to discuss recruitment, the potential for success of specific applicants, and the status of current students. Communication among the program, district, and schools has allowed these stakeholders to address issues proactively and collaboratively.</w:t>
      </w:r>
    </w:p>
    <w:p w:rsidR="00E32616" w:rsidRDefault="00E32616" w:rsidP="00E32616">
      <w:pPr>
        <w:spacing w:line="240" w:lineRule="auto"/>
      </w:pPr>
    </w:p>
    <w:p w:rsidR="00E57D81" w:rsidRPr="00AE1CDC" w:rsidRDefault="003F0AA9" w:rsidP="00E32616">
      <w:pPr>
        <w:pStyle w:val="Heading3"/>
        <w:spacing w:line="240" w:lineRule="auto"/>
        <w:rPr>
          <w:color w:val="8A0000"/>
          <w:sz w:val="28"/>
          <w:szCs w:val="32"/>
        </w:rPr>
      </w:pPr>
      <w:r w:rsidRPr="00AE1CDC">
        <w:rPr>
          <w:color w:val="8A0000"/>
          <w:sz w:val="28"/>
          <w:szCs w:val="32"/>
        </w:rPr>
        <w:t>Faculty Recruitment and Retention</w:t>
      </w:r>
    </w:p>
    <w:p w:rsidR="00E57D81" w:rsidRDefault="00E57D81" w:rsidP="00E32616">
      <w:pPr>
        <w:spacing w:line="240" w:lineRule="auto"/>
      </w:pPr>
    </w:p>
    <w:p w:rsidR="00146056" w:rsidRDefault="00146056" w:rsidP="00E32616">
      <w:pPr>
        <w:pStyle w:val="NoSpacing"/>
        <w:rPr>
          <w:rFonts w:ascii="Times New Roman" w:hAnsi="Times New Roman" w:cs="Times New Roman"/>
        </w:rPr>
      </w:pPr>
      <w:r>
        <w:rPr>
          <w:rFonts w:ascii="Times New Roman" w:hAnsi="Times New Roman" w:cs="Times New Roman"/>
        </w:rPr>
        <w:t xml:space="preserve">Faculty recruitment, </w:t>
      </w:r>
      <w:r w:rsidR="001418D6">
        <w:rPr>
          <w:rFonts w:ascii="Times New Roman" w:hAnsi="Times New Roman" w:cs="Times New Roman"/>
        </w:rPr>
        <w:t xml:space="preserve">training, </w:t>
      </w:r>
      <w:r>
        <w:rPr>
          <w:rFonts w:ascii="Times New Roman" w:hAnsi="Times New Roman" w:cs="Times New Roman"/>
        </w:rPr>
        <w:t>and retention practices varie</w:t>
      </w:r>
      <w:r w:rsidR="006741A1">
        <w:rPr>
          <w:rFonts w:ascii="Times New Roman" w:hAnsi="Times New Roman" w:cs="Times New Roman"/>
        </w:rPr>
        <w:t xml:space="preserve">d across sites. </w:t>
      </w:r>
      <w:r>
        <w:rPr>
          <w:rFonts w:ascii="Times New Roman" w:hAnsi="Times New Roman" w:cs="Times New Roman"/>
        </w:rPr>
        <w:t xml:space="preserve">In addition, the extent to which </w:t>
      </w:r>
      <w:r w:rsidR="00280F57">
        <w:rPr>
          <w:rFonts w:ascii="Times New Roman" w:hAnsi="Times New Roman" w:cs="Times New Roman"/>
        </w:rPr>
        <w:t xml:space="preserve">college </w:t>
      </w:r>
      <w:r>
        <w:rPr>
          <w:rFonts w:ascii="Times New Roman" w:hAnsi="Times New Roman" w:cs="Times New Roman"/>
        </w:rPr>
        <w:t xml:space="preserve">faculty interacted with </w:t>
      </w:r>
      <w:r w:rsidR="00280F57">
        <w:rPr>
          <w:rFonts w:ascii="Times New Roman" w:hAnsi="Times New Roman" w:cs="Times New Roman"/>
        </w:rPr>
        <w:t xml:space="preserve">program </w:t>
      </w:r>
      <w:r>
        <w:rPr>
          <w:rFonts w:ascii="Times New Roman" w:hAnsi="Times New Roman" w:cs="Times New Roman"/>
        </w:rPr>
        <w:t xml:space="preserve">staff varied </w:t>
      </w:r>
      <w:r w:rsidR="001418D6">
        <w:rPr>
          <w:rFonts w:ascii="Times New Roman" w:hAnsi="Times New Roman" w:cs="Times New Roman"/>
        </w:rPr>
        <w:t>a</w:t>
      </w:r>
      <w:r w:rsidR="00C140D0">
        <w:rPr>
          <w:rFonts w:ascii="Times New Roman" w:hAnsi="Times New Roman" w:cs="Times New Roman"/>
        </w:rPr>
        <w:t>mong</w:t>
      </w:r>
      <w:r w:rsidR="001418D6">
        <w:rPr>
          <w:rFonts w:ascii="Times New Roman" w:hAnsi="Times New Roman" w:cs="Times New Roman"/>
        </w:rPr>
        <w:t xml:space="preserve"> </w:t>
      </w:r>
      <w:r>
        <w:rPr>
          <w:rFonts w:ascii="Times New Roman" w:hAnsi="Times New Roman" w:cs="Times New Roman"/>
        </w:rPr>
        <w:t>faculty member</w:t>
      </w:r>
      <w:r w:rsidR="001418D6">
        <w:rPr>
          <w:rFonts w:ascii="Times New Roman" w:hAnsi="Times New Roman" w:cs="Times New Roman"/>
        </w:rPr>
        <w:t>s</w:t>
      </w:r>
      <w:r>
        <w:rPr>
          <w:rFonts w:ascii="Times New Roman" w:hAnsi="Times New Roman" w:cs="Times New Roman"/>
        </w:rPr>
        <w:t xml:space="preserve"> </w:t>
      </w:r>
      <w:r w:rsidR="001418D6">
        <w:rPr>
          <w:rFonts w:ascii="Times New Roman" w:hAnsi="Times New Roman" w:cs="Times New Roman"/>
        </w:rPr>
        <w:t xml:space="preserve">within each </w:t>
      </w:r>
      <w:r>
        <w:rPr>
          <w:rFonts w:ascii="Times New Roman" w:hAnsi="Times New Roman" w:cs="Times New Roman"/>
        </w:rPr>
        <w:t>site.</w:t>
      </w:r>
      <w:r w:rsidR="007068AA">
        <w:rPr>
          <w:rFonts w:ascii="Times New Roman" w:hAnsi="Times New Roman" w:cs="Times New Roman"/>
        </w:rPr>
        <w:t xml:space="preserve"> The following recommendations </w:t>
      </w:r>
      <w:r w:rsidR="001418D6">
        <w:rPr>
          <w:rFonts w:ascii="Times New Roman" w:hAnsi="Times New Roman" w:cs="Times New Roman"/>
        </w:rPr>
        <w:t xml:space="preserve">describe </w:t>
      </w:r>
      <w:r w:rsidR="007068AA">
        <w:rPr>
          <w:rFonts w:ascii="Times New Roman" w:hAnsi="Times New Roman" w:cs="Times New Roman"/>
        </w:rPr>
        <w:t xml:space="preserve">successful practices related to faculty recruitment, commitment, and </w:t>
      </w:r>
      <w:r w:rsidR="00F53976">
        <w:rPr>
          <w:rFonts w:ascii="Times New Roman" w:hAnsi="Times New Roman" w:cs="Times New Roman"/>
        </w:rPr>
        <w:t xml:space="preserve">student </w:t>
      </w:r>
      <w:r w:rsidR="007068AA">
        <w:rPr>
          <w:rFonts w:ascii="Times New Roman" w:hAnsi="Times New Roman" w:cs="Times New Roman"/>
        </w:rPr>
        <w:t>support.</w:t>
      </w:r>
    </w:p>
    <w:p w:rsidR="00E57D81" w:rsidRDefault="00E57D81" w:rsidP="00E32616">
      <w:pPr>
        <w:spacing w:line="240" w:lineRule="auto"/>
      </w:pPr>
    </w:p>
    <w:p w:rsidR="00E57D81" w:rsidRPr="00146056" w:rsidRDefault="00960064" w:rsidP="00E32616">
      <w:pPr>
        <w:spacing w:line="240" w:lineRule="auto"/>
      </w:pPr>
      <w:r w:rsidRPr="003F0AA9">
        <w:rPr>
          <w:b/>
          <w:color w:val="8A0000"/>
        </w:rPr>
        <w:t>Implement opt-in processes in faculty recruitment.</w:t>
      </w:r>
      <w:r w:rsidR="00E57D81" w:rsidRPr="003F0AA9">
        <w:rPr>
          <w:b/>
          <w:color w:val="8A0000"/>
        </w:rPr>
        <w:t xml:space="preserve"> </w:t>
      </w:r>
      <w:r w:rsidR="00D04A7D">
        <w:t xml:space="preserve">For the program to succeed, professors must be willing to have </w:t>
      </w:r>
      <w:proofErr w:type="spellStart"/>
      <w:r w:rsidR="00E57D81" w:rsidRPr="00146056">
        <w:t>GtC</w:t>
      </w:r>
      <w:proofErr w:type="spellEnd"/>
      <w:r w:rsidR="00E57D81" w:rsidRPr="00146056">
        <w:t xml:space="preserve"> students in their classes</w:t>
      </w:r>
      <w:r w:rsidR="00D04A7D">
        <w:t xml:space="preserve"> and </w:t>
      </w:r>
      <w:r w:rsidR="000C732C">
        <w:t xml:space="preserve">be </w:t>
      </w:r>
      <w:r w:rsidR="00D04A7D">
        <w:t>comfortable</w:t>
      </w:r>
      <w:r w:rsidR="008E0332">
        <w:t xml:space="preserve"> </w:t>
      </w:r>
      <w:r w:rsidR="00D04A7D">
        <w:t>working with them</w:t>
      </w:r>
      <w:r w:rsidR="00146056" w:rsidRPr="00146056">
        <w:t xml:space="preserve">. </w:t>
      </w:r>
      <w:r w:rsidR="00D04A7D">
        <w:t>They must also be</w:t>
      </w:r>
      <w:r w:rsidR="00146056" w:rsidRPr="00146056">
        <w:t xml:space="preserve"> willing </w:t>
      </w:r>
      <w:r w:rsidR="00E57D81" w:rsidRPr="00146056">
        <w:t xml:space="preserve">to </w:t>
      </w:r>
      <w:r w:rsidR="00146056" w:rsidRPr="00146056">
        <w:t>communicate</w:t>
      </w:r>
      <w:r w:rsidR="00E57D81" w:rsidRPr="00146056">
        <w:t xml:space="preserve"> </w:t>
      </w:r>
      <w:r w:rsidR="00D04A7D">
        <w:t xml:space="preserve">frequently </w:t>
      </w:r>
      <w:r w:rsidR="00146056">
        <w:t xml:space="preserve">with </w:t>
      </w:r>
      <w:r w:rsidR="00E57D81" w:rsidRPr="00146056">
        <w:t>resource specialists</w:t>
      </w:r>
      <w:r w:rsidR="00146056">
        <w:t xml:space="preserve"> regarding </w:t>
      </w:r>
      <w:r w:rsidR="00146056" w:rsidRPr="00146056">
        <w:t>students’</w:t>
      </w:r>
      <w:r w:rsidR="00146056">
        <w:t xml:space="preserve"> </w:t>
      </w:r>
      <w:r w:rsidR="00D04A7D">
        <w:t xml:space="preserve">progress and </w:t>
      </w:r>
      <w:r w:rsidR="00146056">
        <w:t>needs</w:t>
      </w:r>
      <w:r w:rsidR="00E57D81" w:rsidRPr="00146056">
        <w:t xml:space="preserve">. </w:t>
      </w:r>
      <w:r w:rsidR="00F658CF">
        <w:t xml:space="preserve">Low </w:t>
      </w:r>
      <w:r w:rsidR="00E57D81" w:rsidRPr="00146056">
        <w:t xml:space="preserve">comfort and </w:t>
      </w:r>
      <w:r w:rsidR="000C732C">
        <w:t>an un</w:t>
      </w:r>
      <w:r w:rsidR="00E57D81" w:rsidRPr="00146056">
        <w:t xml:space="preserve">willingness to communicate </w:t>
      </w:r>
      <w:r w:rsidR="00F658CF">
        <w:t xml:space="preserve">among some faculty </w:t>
      </w:r>
      <w:r w:rsidR="00146056">
        <w:t xml:space="preserve">was a barrier to </w:t>
      </w:r>
      <w:r w:rsidR="00E57D81" w:rsidRPr="00146056">
        <w:t xml:space="preserve">successful </w:t>
      </w:r>
      <w:r w:rsidR="00D04A7D">
        <w:t xml:space="preserve">program </w:t>
      </w:r>
      <w:r w:rsidR="00E57D81" w:rsidRPr="00146056">
        <w:t xml:space="preserve">implementation </w:t>
      </w:r>
      <w:r w:rsidR="00146056">
        <w:t>and proactive student support</w:t>
      </w:r>
      <w:r w:rsidR="00E57D81" w:rsidRPr="00146056">
        <w:t xml:space="preserve">. As a result, one site implemented a process for </w:t>
      </w:r>
      <w:r w:rsidR="00D04A7D">
        <w:t xml:space="preserve">explaining the program to professors and </w:t>
      </w:r>
      <w:r w:rsidR="00E57D81" w:rsidRPr="00146056">
        <w:t xml:space="preserve">obtaining </w:t>
      </w:r>
      <w:r w:rsidR="00D04A7D">
        <w:t xml:space="preserve">their </w:t>
      </w:r>
      <w:r w:rsidR="00E57D81" w:rsidRPr="00146056">
        <w:t xml:space="preserve">permission before enrolling </w:t>
      </w:r>
      <w:proofErr w:type="spellStart"/>
      <w:r w:rsidR="00E57D81" w:rsidRPr="00146056">
        <w:t>GtC</w:t>
      </w:r>
      <w:proofErr w:type="spellEnd"/>
      <w:r w:rsidR="00E57D81" w:rsidRPr="00146056">
        <w:t xml:space="preserve"> students in their courses. The site reported </w:t>
      </w:r>
      <w:r w:rsidR="00D04A7D">
        <w:t xml:space="preserve">that this process </w:t>
      </w:r>
      <w:r w:rsidR="00E57D81" w:rsidRPr="00146056">
        <w:t xml:space="preserve">led to </w:t>
      </w:r>
      <w:r w:rsidR="00D04A7D">
        <w:t xml:space="preserve">the involvement of professors </w:t>
      </w:r>
      <w:r w:rsidR="00F658CF">
        <w:t xml:space="preserve">who </w:t>
      </w:r>
      <w:r w:rsidR="00D04A7D">
        <w:t xml:space="preserve">were </w:t>
      </w:r>
      <w:r w:rsidR="00E57D81" w:rsidRPr="00146056">
        <w:t xml:space="preserve">more willing to provide the additional assistance and support that </w:t>
      </w:r>
      <w:proofErr w:type="spellStart"/>
      <w:r w:rsidR="00E57D81" w:rsidRPr="00146056">
        <w:t>GtC</w:t>
      </w:r>
      <w:proofErr w:type="spellEnd"/>
      <w:r w:rsidR="00E57D81" w:rsidRPr="00146056">
        <w:t xml:space="preserve"> </w:t>
      </w:r>
      <w:proofErr w:type="gramStart"/>
      <w:r w:rsidR="00E57D81" w:rsidRPr="00146056">
        <w:t>students</w:t>
      </w:r>
      <w:proofErr w:type="gramEnd"/>
      <w:r w:rsidR="00E57D81" w:rsidRPr="00146056">
        <w:t xml:space="preserve"> need. </w:t>
      </w:r>
    </w:p>
    <w:p w:rsidR="00E57D81" w:rsidRDefault="00E57D81" w:rsidP="00E32616">
      <w:pPr>
        <w:spacing w:line="240" w:lineRule="auto"/>
      </w:pPr>
    </w:p>
    <w:p w:rsidR="00146056" w:rsidRPr="00753876" w:rsidRDefault="00753876" w:rsidP="00E32616">
      <w:pPr>
        <w:spacing w:line="240" w:lineRule="auto"/>
      </w:pPr>
      <w:r w:rsidRPr="003F0AA9">
        <w:rPr>
          <w:b/>
          <w:bCs/>
          <w:color w:val="8A0000"/>
        </w:rPr>
        <w:t>Establish</w:t>
      </w:r>
      <w:r w:rsidR="00146056" w:rsidRPr="003F0AA9">
        <w:rPr>
          <w:b/>
          <w:bCs/>
          <w:color w:val="8A0000"/>
        </w:rPr>
        <w:t xml:space="preserve"> a professional learning community. </w:t>
      </w:r>
      <w:r w:rsidRPr="00753876">
        <w:t>Creating</w:t>
      </w:r>
      <w:r w:rsidR="00146056" w:rsidRPr="00753876">
        <w:t xml:space="preserve"> opportunities for </w:t>
      </w:r>
      <w:proofErr w:type="spellStart"/>
      <w:r w:rsidR="00146056" w:rsidRPr="00753876">
        <w:t>GtC</w:t>
      </w:r>
      <w:proofErr w:type="spellEnd"/>
      <w:r w:rsidR="00146056" w:rsidRPr="00753876">
        <w:t xml:space="preserve"> faculty to meet regularly and </w:t>
      </w:r>
      <w:r w:rsidR="00960064">
        <w:t xml:space="preserve">participate in </w:t>
      </w:r>
      <w:r w:rsidR="00146056" w:rsidRPr="00753876">
        <w:t xml:space="preserve">professional development related to their </w:t>
      </w:r>
      <w:proofErr w:type="spellStart"/>
      <w:r w:rsidR="00146056" w:rsidRPr="00753876">
        <w:t>GtC</w:t>
      </w:r>
      <w:proofErr w:type="spellEnd"/>
      <w:r w:rsidR="00146056" w:rsidRPr="00753876">
        <w:t xml:space="preserve"> work</w:t>
      </w:r>
      <w:r w:rsidRPr="00753876">
        <w:t xml:space="preserve"> established a sense of collegiality among faculty</w:t>
      </w:r>
      <w:r w:rsidR="00960064">
        <w:t xml:space="preserve"> and </w:t>
      </w:r>
      <w:proofErr w:type="spellStart"/>
      <w:r w:rsidR="00960064">
        <w:t>GtC</w:t>
      </w:r>
      <w:proofErr w:type="spellEnd"/>
      <w:r w:rsidR="00960064">
        <w:t xml:space="preserve"> program staff</w:t>
      </w:r>
      <w:r w:rsidR="00146056" w:rsidRPr="00753876">
        <w:t>.</w:t>
      </w:r>
      <w:r w:rsidRPr="00753876">
        <w:t xml:space="preserve"> As a result, </w:t>
      </w:r>
      <w:r w:rsidR="00960064">
        <w:t xml:space="preserve">the two groups </w:t>
      </w:r>
      <w:r w:rsidRPr="00753876">
        <w:t xml:space="preserve">could </w:t>
      </w:r>
      <w:r w:rsidRPr="00753876">
        <w:lastRenderedPageBreak/>
        <w:t xml:space="preserve">collaborate </w:t>
      </w:r>
      <w:r w:rsidR="00960064">
        <w:t xml:space="preserve">more effectively to </w:t>
      </w:r>
      <w:r w:rsidRPr="00753876">
        <w:t>meet student needs. At one site, staff and faculty</w:t>
      </w:r>
      <w:r w:rsidR="00146056" w:rsidRPr="00753876">
        <w:t xml:space="preserve"> participated in a week-long training, met biweekly to discuss program issues and student support strategies, and met between semesters to make program refinements. </w:t>
      </w:r>
      <w:r w:rsidR="006D6CBE">
        <w:t xml:space="preserve">One outcome was that faculty coordinated course deadlines </w:t>
      </w:r>
      <w:r w:rsidR="00146056" w:rsidRPr="00753876">
        <w:t xml:space="preserve">so major assignments and assessments </w:t>
      </w:r>
      <w:r w:rsidR="006D6CBE">
        <w:t xml:space="preserve">were </w:t>
      </w:r>
      <w:r w:rsidR="00146056" w:rsidRPr="00753876">
        <w:t>spread more evenly across the semester</w:t>
      </w:r>
      <w:r w:rsidRPr="00753876">
        <w:t>, a</w:t>
      </w:r>
      <w:r w:rsidR="006D6CBE">
        <w:t xml:space="preserve">n accommodation that </w:t>
      </w:r>
      <w:proofErr w:type="spellStart"/>
      <w:r w:rsidRPr="00753876">
        <w:t>GtC</w:t>
      </w:r>
      <w:proofErr w:type="spellEnd"/>
      <w:r w:rsidRPr="00753876">
        <w:t xml:space="preserve"> students</w:t>
      </w:r>
      <w:r w:rsidR="006D6CBE">
        <w:t xml:space="preserve"> had requested</w:t>
      </w:r>
      <w:r w:rsidRPr="00753876">
        <w:t>.</w:t>
      </w:r>
      <w:r w:rsidR="00146056" w:rsidRPr="00753876">
        <w:t xml:space="preserve"> </w:t>
      </w:r>
      <w:r w:rsidR="006D6CBE">
        <w:t>F</w:t>
      </w:r>
      <w:r w:rsidR="00146056" w:rsidRPr="00753876">
        <w:t xml:space="preserve">aculty </w:t>
      </w:r>
      <w:r w:rsidRPr="00753876">
        <w:t xml:space="preserve">also </w:t>
      </w:r>
      <w:r w:rsidR="00146056" w:rsidRPr="00753876">
        <w:t xml:space="preserve">reported that they liked hearing </w:t>
      </w:r>
      <w:r w:rsidR="006D6CBE">
        <w:t xml:space="preserve">from their colleagues </w:t>
      </w:r>
      <w:r w:rsidR="00146056" w:rsidRPr="00753876">
        <w:t>about students’ behavior and progress in oth</w:t>
      </w:r>
      <w:r w:rsidRPr="00753876">
        <w:t>er classes</w:t>
      </w:r>
      <w:r w:rsidR="006D6CBE">
        <w:t>,</w:t>
      </w:r>
      <w:r w:rsidR="00146056" w:rsidRPr="00753876">
        <w:t xml:space="preserve"> because it gave them insight into how they could work more successfully with </w:t>
      </w:r>
      <w:r w:rsidR="006D6CBE">
        <w:t xml:space="preserve">the same </w:t>
      </w:r>
      <w:r w:rsidRPr="00753876">
        <w:t>students in their own classes.</w:t>
      </w:r>
    </w:p>
    <w:p w:rsidR="00CE30CB" w:rsidRDefault="00CE30CB" w:rsidP="00E32616">
      <w:pPr>
        <w:spacing w:line="240" w:lineRule="auto"/>
      </w:pPr>
    </w:p>
    <w:p w:rsidR="00E57D81" w:rsidRPr="00AE1CDC" w:rsidRDefault="003F0AA9" w:rsidP="00E32616">
      <w:pPr>
        <w:pStyle w:val="Heading3"/>
        <w:spacing w:line="240" w:lineRule="auto"/>
        <w:rPr>
          <w:color w:val="8A0000"/>
          <w:sz w:val="28"/>
          <w:szCs w:val="32"/>
        </w:rPr>
      </w:pPr>
      <w:r w:rsidRPr="00AE1CDC">
        <w:rPr>
          <w:color w:val="8A0000"/>
          <w:sz w:val="28"/>
          <w:szCs w:val="32"/>
        </w:rPr>
        <w:t>Student Recruitment and Enrollment</w:t>
      </w:r>
    </w:p>
    <w:p w:rsidR="00CE30CB" w:rsidRDefault="00CE30CB" w:rsidP="00E32616">
      <w:pPr>
        <w:spacing w:line="240" w:lineRule="auto"/>
      </w:pPr>
    </w:p>
    <w:p w:rsidR="007068AA" w:rsidRPr="001F5E0B" w:rsidRDefault="00A30FF3" w:rsidP="00E32616">
      <w:pPr>
        <w:spacing w:line="240" w:lineRule="auto"/>
      </w:pPr>
      <w:r>
        <w:t>Some student recruitment and enrollment challenges affected all three sites, while other challenges affected just one or two sites.</w:t>
      </w:r>
      <w:r w:rsidR="006741A1" w:rsidRPr="001F5E0B">
        <w:t xml:space="preserve"> </w:t>
      </w:r>
      <w:r w:rsidR="007068AA" w:rsidRPr="001F5E0B">
        <w:t xml:space="preserve">The following recommendations </w:t>
      </w:r>
      <w:r>
        <w:t xml:space="preserve">reflect </w:t>
      </w:r>
      <w:r w:rsidR="007068AA" w:rsidRPr="001F5E0B">
        <w:t xml:space="preserve">lessons </w:t>
      </w:r>
      <w:r>
        <w:t xml:space="preserve">that sites </w:t>
      </w:r>
      <w:r w:rsidR="007068AA" w:rsidRPr="001F5E0B">
        <w:t xml:space="preserve">learned </w:t>
      </w:r>
      <w:r>
        <w:t xml:space="preserve">by </w:t>
      </w:r>
      <w:r w:rsidR="007068AA" w:rsidRPr="001F5E0B">
        <w:t xml:space="preserve">addressing </w:t>
      </w:r>
      <w:r w:rsidR="00D10C1D" w:rsidRPr="001F5E0B">
        <w:t xml:space="preserve">these </w:t>
      </w:r>
      <w:r w:rsidR="007068AA" w:rsidRPr="001F5E0B">
        <w:t xml:space="preserve">challenges. </w:t>
      </w:r>
    </w:p>
    <w:p w:rsidR="00B86C8B" w:rsidRPr="001F5E0B" w:rsidRDefault="00B86C8B" w:rsidP="00E32616">
      <w:pPr>
        <w:pStyle w:val="NoSpacing"/>
        <w:rPr>
          <w:rFonts w:ascii="Times New Roman" w:hAnsi="Times New Roman" w:cs="Times New Roman"/>
        </w:rPr>
      </w:pPr>
    </w:p>
    <w:p w:rsidR="000E6733" w:rsidRPr="001F5E0B" w:rsidRDefault="00AC6634" w:rsidP="00E32616">
      <w:pPr>
        <w:spacing w:line="240" w:lineRule="auto"/>
      </w:pPr>
      <w:r w:rsidRPr="003F0AA9">
        <w:rPr>
          <w:b/>
          <w:color w:val="8A0000"/>
        </w:rPr>
        <w:t xml:space="preserve">Partner with multiple districts to increase </w:t>
      </w:r>
      <w:r w:rsidR="00904216" w:rsidRPr="003F0AA9">
        <w:rPr>
          <w:b/>
          <w:color w:val="8A0000"/>
        </w:rPr>
        <w:t xml:space="preserve">the </w:t>
      </w:r>
      <w:r w:rsidR="007068AA" w:rsidRPr="003F0AA9">
        <w:rPr>
          <w:b/>
          <w:color w:val="8A0000"/>
        </w:rPr>
        <w:t>applicant</w:t>
      </w:r>
      <w:r w:rsidRPr="003F0AA9">
        <w:rPr>
          <w:b/>
          <w:color w:val="8A0000"/>
        </w:rPr>
        <w:t xml:space="preserve"> pool.</w:t>
      </w:r>
      <w:r w:rsidRPr="003F0AA9">
        <w:rPr>
          <w:i/>
          <w:color w:val="8A0000"/>
        </w:rPr>
        <w:t xml:space="preserve"> </w:t>
      </w:r>
      <w:r w:rsidR="007068AA" w:rsidRPr="001F5E0B">
        <w:t xml:space="preserve">As each site </w:t>
      </w:r>
      <w:r w:rsidR="000E6733" w:rsidRPr="001F5E0B">
        <w:t xml:space="preserve">enrolled </w:t>
      </w:r>
      <w:r w:rsidR="00A30FF3">
        <w:t xml:space="preserve">additional </w:t>
      </w:r>
      <w:r w:rsidR="000E6733" w:rsidRPr="001F5E0B">
        <w:t>students across successive cohorts</w:t>
      </w:r>
      <w:r w:rsidR="007068AA" w:rsidRPr="001F5E0B">
        <w:t xml:space="preserve">, </w:t>
      </w:r>
      <w:r w:rsidR="00A30FF3">
        <w:t xml:space="preserve">fewer target students </w:t>
      </w:r>
      <w:r w:rsidR="00F14F2A">
        <w:t xml:space="preserve">were available </w:t>
      </w:r>
      <w:r w:rsidR="00A30FF3">
        <w:t xml:space="preserve">to recruit, and sites </w:t>
      </w:r>
      <w:r w:rsidR="000E6733" w:rsidRPr="001F5E0B">
        <w:t>were unable to recruit enough of their target students</w:t>
      </w:r>
      <w:r w:rsidR="006741A1" w:rsidRPr="001F5E0B">
        <w:t xml:space="preserve">. </w:t>
      </w:r>
      <w:r w:rsidR="007068AA" w:rsidRPr="001F5E0B">
        <w:t xml:space="preserve">As a result, each site </w:t>
      </w:r>
      <w:r w:rsidR="00904216" w:rsidRPr="001F5E0B">
        <w:t xml:space="preserve">either </w:t>
      </w:r>
      <w:r w:rsidR="001D6A3F" w:rsidRPr="001F5E0B">
        <w:t>(</w:t>
      </w:r>
      <w:r w:rsidR="00904216" w:rsidRPr="001F5E0B">
        <w:t xml:space="preserve">a) accepted students who were not prepared to meet </w:t>
      </w:r>
      <w:r w:rsidR="000E6733" w:rsidRPr="001F5E0B">
        <w:t xml:space="preserve">program </w:t>
      </w:r>
      <w:r w:rsidR="00904216" w:rsidRPr="001F5E0B">
        <w:t>expectations and subsequently dropped out</w:t>
      </w:r>
      <w:r w:rsidR="006E71BC">
        <w:t>,</w:t>
      </w:r>
      <w:r w:rsidR="00904216" w:rsidRPr="001F5E0B">
        <w:t xml:space="preserve"> or </w:t>
      </w:r>
      <w:r w:rsidR="001D6A3F" w:rsidRPr="001F5E0B">
        <w:t>(</w:t>
      </w:r>
      <w:r w:rsidR="00904216" w:rsidRPr="001F5E0B">
        <w:t xml:space="preserve">b) </w:t>
      </w:r>
      <w:r w:rsidR="000E6733" w:rsidRPr="001F5E0B">
        <w:t xml:space="preserve">fell short of </w:t>
      </w:r>
      <w:r w:rsidR="00904216" w:rsidRPr="001F5E0B">
        <w:t>their enrollment capacity</w:t>
      </w:r>
      <w:r w:rsidR="000E6733" w:rsidRPr="001F5E0B">
        <w:t>, which in turn reduced their per-pupil income from school districts</w:t>
      </w:r>
      <w:r w:rsidR="00904216" w:rsidRPr="001F5E0B">
        <w:t xml:space="preserve">. </w:t>
      </w:r>
      <w:r w:rsidR="000E6733" w:rsidRPr="001F5E0B">
        <w:t>T</w:t>
      </w:r>
      <w:r w:rsidR="00904216" w:rsidRPr="001F5E0B">
        <w:t xml:space="preserve">wo sites </w:t>
      </w:r>
      <w:r w:rsidR="00A30FF3">
        <w:t xml:space="preserve">decided to expand the pool of </w:t>
      </w:r>
      <w:r w:rsidR="000E6733" w:rsidRPr="001F5E0B">
        <w:t xml:space="preserve">potential students by </w:t>
      </w:r>
      <w:r w:rsidR="00A30FF3">
        <w:t xml:space="preserve">partnering with </w:t>
      </w:r>
      <w:r w:rsidR="000E6733" w:rsidRPr="001F5E0B">
        <w:t xml:space="preserve">additional </w:t>
      </w:r>
      <w:r w:rsidR="00A30FF3">
        <w:t xml:space="preserve">school </w:t>
      </w:r>
      <w:r w:rsidR="000E6733" w:rsidRPr="001F5E0B">
        <w:t>district</w:t>
      </w:r>
      <w:r w:rsidR="00A30FF3">
        <w:t>s</w:t>
      </w:r>
      <w:r w:rsidR="000E6733" w:rsidRPr="001F5E0B">
        <w:t xml:space="preserve">. During their final year of </w:t>
      </w:r>
      <w:r w:rsidR="00904216" w:rsidRPr="001F5E0B">
        <w:t xml:space="preserve">MassGrad </w:t>
      </w:r>
      <w:r w:rsidR="000E6733" w:rsidRPr="001F5E0B">
        <w:t>funding</w:t>
      </w:r>
      <w:r w:rsidR="00904216" w:rsidRPr="001F5E0B">
        <w:t xml:space="preserve">, </w:t>
      </w:r>
      <w:r w:rsidR="00F87C1C">
        <w:t xml:space="preserve">both of these </w:t>
      </w:r>
      <w:r w:rsidR="000E6733" w:rsidRPr="001F5E0B">
        <w:t xml:space="preserve">sites </w:t>
      </w:r>
      <w:r w:rsidR="00A30FF3">
        <w:t xml:space="preserve">actively </w:t>
      </w:r>
      <w:r w:rsidR="00904216" w:rsidRPr="001F5E0B">
        <w:t>recruited additional district partners</w:t>
      </w:r>
      <w:r w:rsidR="00F87C1C">
        <w:t>.</w:t>
      </w:r>
    </w:p>
    <w:p w:rsidR="000E6733" w:rsidRPr="001F5E0B" w:rsidRDefault="000E6733" w:rsidP="00E32616">
      <w:pPr>
        <w:spacing w:line="240" w:lineRule="auto"/>
      </w:pPr>
    </w:p>
    <w:p w:rsidR="00AC6634" w:rsidRPr="009F12A5" w:rsidRDefault="008E0332" w:rsidP="00E32616">
      <w:pPr>
        <w:spacing w:line="240" w:lineRule="auto"/>
      </w:pPr>
      <w:r w:rsidRPr="003F0AA9">
        <w:rPr>
          <w:b/>
          <w:color w:val="8A0000"/>
        </w:rPr>
        <w:t>To develop new partnerships, e</w:t>
      </w:r>
      <w:r w:rsidR="007068AA" w:rsidRPr="003F0AA9">
        <w:rPr>
          <w:b/>
          <w:color w:val="8A0000"/>
        </w:rPr>
        <w:t xml:space="preserve">ngage with </w:t>
      </w:r>
      <w:r w:rsidR="00904216" w:rsidRPr="003F0AA9">
        <w:rPr>
          <w:b/>
          <w:color w:val="8A0000"/>
        </w:rPr>
        <w:t xml:space="preserve">the right </w:t>
      </w:r>
      <w:r w:rsidR="007068AA" w:rsidRPr="003F0AA9">
        <w:rPr>
          <w:b/>
          <w:color w:val="8A0000"/>
        </w:rPr>
        <w:t>district representatives</w:t>
      </w:r>
      <w:r w:rsidR="007068AA" w:rsidRPr="004F39F3">
        <w:rPr>
          <w:b/>
        </w:rPr>
        <w:t>.</w:t>
      </w:r>
      <w:r w:rsidR="007068AA" w:rsidRPr="008E0332">
        <w:t xml:space="preserve"> </w:t>
      </w:r>
      <w:r w:rsidR="00AC6634" w:rsidRPr="008E0332">
        <w:t>O</w:t>
      </w:r>
      <w:r w:rsidR="00AC6634" w:rsidRPr="001F5E0B">
        <w:t xml:space="preserve">ne site </w:t>
      </w:r>
      <w:r>
        <w:t xml:space="preserve">that was attempting to recruit new partner districts </w:t>
      </w:r>
      <w:r w:rsidR="00AC6634" w:rsidRPr="001F5E0B">
        <w:t xml:space="preserve">reported that superintendents were too busy to respond </w:t>
      </w:r>
      <w:r>
        <w:t xml:space="preserve">quickly and </w:t>
      </w:r>
      <w:proofErr w:type="gramStart"/>
      <w:r>
        <w:t>that</w:t>
      </w:r>
      <w:r w:rsidR="00AC6634" w:rsidRPr="001F5E0B">
        <w:t xml:space="preserve"> contacting high school guidance departments</w:t>
      </w:r>
      <w:proofErr w:type="gramEnd"/>
      <w:r w:rsidR="00AC6634" w:rsidRPr="001F5E0B">
        <w:t xml:space="preserve"> was more successful. This site met with guidance departments </w:t>
      </w:r>
      <w:r>
        <w:t xml:space="preserve">in several districts </w:t>
      </w:r>
      <w:r w:rsidR="00AC6634" w:rsidRPr="001F5E0B">
        <w:t xml:space="preserve">to discuss the </w:t>
      </w:r>
      <w:r w:rsidR="00AC6634" w:rsidRPr="00D10C1D">
        <w:t xml:space="preserve">program and provide </w:t>
      </w:r>
      <w:r>
        <w:t xml:space="preserve">recruitment </w:t>
      </w:r>
      <w:r w:rsidR="00AC6634" w:rsidRPr="00D10C1D">
        <w:t>materials</w:t>
      </w:r>
      <w:r w:rsidR="006E71BC">
        <w:t>,</w:t>
      </w:r>
      <w:r>
        <w:t xml:space="preserve"> </w:t>
      </w:r>
      <w:r w:rsidR="00A769CC">
        <w:t>such as</w:t>
      </w:r>
      <w:r w:rsidR="005863D8">
        <w:t xml:space="preserve"> </w:t>
      </w:r>
      <w:r>
        <w:t>program brochures</w:t>
      </w:r>
      <w:r w:rsidR="00AC6634" w:rsidRPr="00D10C1D">
        <w:t xml:space="preserve">. Interested guidance </w:t>
      </w:r>
      <w:r>
        <w:t xml:space="preserve">personnel then recommended </w:t>
      </w:r>
      <w:r w:rsidR="00AC6634" w:rsidRPr="009F12A5">
        <w:t xml:space="preserve">the </w:t>
      </w:r>
      <w:r w:rsidR="00AC6634" w:rsidRPr="009F12A5">
        <w:lastRenderedPageBreak/>
        <w:t>program to thei</w:t>
      </w:r>
      <w:r>
        <w:t>r school administrators, who in turn</w:t>
      </w:r>
      <w:r w:rsidR="00AC6634" w:rsidRPr="009F12A5">
        <w:t xml:space="preserve"> suggested the partnership to district administrators. </w:t>
      </w:r>
      <w:r>
        <w:t>The site believed that this strategy expedited the partnership process.</w:t>
      </w:r>
    </w:p>
    <w:p w:rsidR="00B20171" w:rsidRPr="009F12A5" w:rsidRDefault="00B20171" w:rsidP="00E32616">
      <w:pPr>
        <w:spacing w:line="240" w:lineRule="auto"/>
      </w:pPr>
    </w:p>
    <w:p w:rsidR="00B76F96" w:rsidRPr="009F12A5" w:rsidRDefault="00006AB1" w:rsidP="00E32616">
      <w:pPr>
        <w:spacing w:line="240" w:lineRule="auto"/>
      </w:pPr>
      <w:r w:rsidRPr="003F0AA9">
        <w:rPr>
          <w:b/>
          <w:bCs/>
          <w:color w:val="8A0000"/>
        </w:rPr>
        <w:t>C</w:t>
      </w:r>
      <w:r w:rsidR="00D10C1D" w:rsidRPr="003F0AA9">
        <w:rPr>
          <w:b/>
          <w:bCs/>
          <w:color w:val="8A0000"/>
        </w:rPr>
        <w:t xml:space="preserve">ommunicate program expectations </w:t>
      </w:r>
      <w:r w:rsidRPr="003F0AA9">
        <w:rPr>
          <w:b/>
          <w:bCs/>
          <w:color w:val="8A0000"/>
        </w:rPr>
        <w:t xml:space="preserve">clearly </w:t>
      </w:r>
      <w:r w:rsidR="00D10C1D" w:rsidRPr="003F0AA9">
        <w:rPr>
          <w:b/>
          <w:bCs/>
          <w:color w:val="8A0000"/>
        </w:rPr>
        <w:t>to applicants</w:t>
      </w:r>
      <w:r w:rsidR="00B86C8B" w:rsidRPr="003F0AA9">
        <w:rPr>
          <w:b/>
          <w:bCs/>
          <w:color w:val="8A0000"/>
        </w:rPr>
        <w:t xml:space="preserve">. </w:t>
      </w:r>
      <w:r w:rsidR="00D10C1D" w:rsidRPr="009F12A5">
        <w:t>Each site</w:t>
      </w:r>
      <w:r w:rsidR="00B86C8B" w:rsidRPr="009F12A5">
        <w:t xml:space="preserve"> emphasized the im</w:t>
      </w:r>
      <w:r w:rsidR="00D10C1D" w:rsidRPr="009F12A5">
        <w:t xml:space="preserve">portance of recruiting students </w:t>
      </w:r>
      <w:r w:rsidR="00B86C8B" w:rsidRPr="009F12A5">
        <w:t>who could succeed</w:t>
      </w:r>
      <w:r>
        <w:t>, and that</w:t>
      </w:r>
      <w:r w:rsidR="00D10C1D" w:rsidRPr="009F12A5">
        <w:t xml:space="preserve"> success required more than just meeting </w:t>
      </w:r>
      <w:r w:rsidR="00332C6E" w:rsidRPr="009F12A5">
        <w:t xml:space="preserve">reading and mathematics </w:t>
      </w:r>
      <w:r w:rsidR="00D10C1D" w:rsidRPr="009F12A5">
        <w:t>entr</w:t>
      </w:r>
      <w:r w:rsidR="00D3792B">
        <w:t>ance</w:t>
      </w:r>
      <w:r w:rsidR="00D10C1D" w:rsidRPr="009F12A5">
        <w:t xml:space="preserve"> requirements. </w:t>
      </w:r>
      <w:r>
        <w:t xml:space="preserve">They said that </w:t>
      </w:r>
      <w:r w:rsidR="00D10C1D" w:rsidRPr="009F12A5">
        <w:t xml:space="preserve">students must </w:t>
      </w:r>
      <w:r w:rsidR="00332C6E" w:rsidRPr="009F12A5">
        <w:t xml:space="preserve">also </w:t>
      </w:r>
      <w:r w:rsidR="00115DE2">
        <w:t>att</w:t>
      </w:r>
      <w:r w:rsidR="00D10C1D" w:rsidRPr="009F12A5">
        <w:t xml:space="preserve">end class regularly, complete assignments, seek assistance from </w:t>
      </w:r>
      <w:proofErr w:type="spellStart"/>
      <w:r w:rsidR="00D10C1D" w:rsidRPr="009F12A5">
        <w:t>GtC</w:t>
      </w:r>
      <w:proofErr w:type="spellEnd"/>
      <w:r w:rsidR="00D10C1D" w:rsidRPr="009F12A5">
        <w:t xml:space="preserve"> staff or their course instructors</w:t>
      </w:r>
      <w:r w:rsidR="00115DE2">
        <w:t xml:space="preserve">, </w:t>
      </w:r>
      <w:proofErr w:type="gramStart"/>
      <w:r w:rsidR="00115DE2">
        <w:t>be</w:t>
      </w:r>
      <w:proofErr w:type="gramEnd"/>
      <w:r w:rsidR="00D10C1D" w:rsidRPr="009F12A5">
        <w:t xml:space="preserve"> willing to receive support </w:t>
      </w:r>
      <w:r w:rsidR="00115DE2">
        <w:t xml:space="preserve">and </w:t>
      </w:r>
      <w:r w:rsidR="00D10C1D" w:rsidRPr="009F12A5">
        <w:t>critical feedback</w:t>
      </w:r>
      <w:r w:rsidR="00115DE2">
        <w:t xml:space="preserve">, </w:t>
      </w:r>
      <w:r w:rsidR="00B76F96" w:rsidRPr="009F12A5">
        <w:t xml:space="preserve">make adjustments </w:t>
      </w:r>
      <w:r w:rsidR="00115DE2">
        <w:t xml:space="preserve">to their learning strategies </w:t>
      </w:r>
      <w:r w:rsidR="00425B97">
        <w:t xml:space="preserve">when necessary, and </w:t>
      </w:r>
      <w:r w:rsidR="00425B97" w:rsidRPr="009F12A5">
        <w:t>be committed to earning college credit while completing their high school requirements</w:t>
      </w:r>
      <w:r w:rsidR="00425B97">
        <w:t>.</w:t>
      </w:r>
      <w:r w:rsidR="000C732C">
        <w:t xml:space="preserve"> </w:t>
      </w:r>
      <w:r w:rsidR="00FC1272">
        <w:t xml:space="preserve">The program shared these </w:t>
      </w:r>
      <w:r w:rsidR="000C732C">
        <w:t xml:space="preserve">expectations </w:t>
      </w:r>
      <w:r w:rsidR="00FC1272">
        <w:t xml:space="preserve">with school personnel to help them suggest students who would be likely to succeed in the program. They also communicated these expectations to </w:t>
      </w:r>
      <w:r w:rsidR="000C732C">
        <w:t>students during the recrui</w:t>
      </w:r>
      <w:r w:rsidR="00FC1272">
        <w:t>tment and orientation processes.</w:t>
      </w:r>
    </w:p>
    <w:p w:rsidR="00B76F96" w:rsidRPr="009F12A5" w:rsidRDefault="00B76F96" w:rsidP="00E32616">
      <w:pPr>
        <w:spacing w:line="240" w:lineRule="auto"/>
      </w:pPr>
    </w:p>
    <w:p w:rsidR="003F0AA9" w:rsidRDefault="00F70B00" w:rsidP="00E32616">
      <w:pPr>
        <w:spacing w:line="240" w:lineRule="auto"/>
      </w:pPr>
      <w:r w:rsidRPr="003F0AA9">
        <w:rPr>
          <w:b/>
          <w:bCs/>
          <w:color w:val="8A0000"/>
        </w:rPr>
        <w:t xml:space="preserve">Ask applicants to demonstrate </w:t>
      </w:r>
      <w:r w:rsidR="00B76F96" w:rsidRPr="003F0AA9">
        <w:rPr>
          <w:b/>
          <w:bCs/>
          <w:color w:val="8A0000"/>
        </w:rPr>
        <w:t>commitment and accountability.</w:t>
      </w:r>
      <w:r w:rsidR="00B86C8B" w:rsidRPr="003F0AA9">
        <w:rPr>
          <w:color w:val="8A0000"/>
        </w:rPr>
        <w:t xml:space="preserve"> </w:t>
      </w:r>
      <w:r w:rsidR="00B76F96" w:rsidRPr="009F12A5">
        <w:t>As each site en</w:t>
      </w:r>
      <w:r w:rsidR="00B76F96" w:rsidRPr="00DA1DDC">
        <w:t xml:space="preserve">rolled subsequent cohorts of students, </w:t>
      </w:r>
      <w:r w:rsidR="004F39F3">
        <w:t xml:space="preserve">they refined their </w:t>
      </w:r>
      <w:r w:rsidR="00B76F96" w:rsidRPr="00DA1DDC">
        <w:t>enrollment process</w:t>
      </w:r>
      <w:r w:rsidR="00A769CC">
        <w:t>es</w:t>
      </w:r>
      <w:r w:rsidR="00B86C8B" w:rsidRPr="00DA1DDC">
        <w:t xml:space="preserve">. </w:t>
      </w:r>
      <w:r w:rsidR="00B76F96" w:rsidRPr="00DA1DDC">
        <w:t>At one site</w:t>
      </w:r>
      <w:r w:rsidR="00B86C8B" w:rsidRPr="00DA1DDC">
        <w:t>, students had to demonstrate through an interview and a written application that they wanted to be in the program a</w:t>
      </w:r>
      <w:r w:rsidR="00B76F96" w:rsidRPr="00DA1DDC">
        <w:t xml:space="preserve">nd would make school their top priority. During the interview process, a parent or guardian </w:t>
      </w:r>
      <w:r w:rsidR="00332C6E" w:rsidRPr="00DA1DDC">
        <w:t xml:space="preserve">was </w:t>
      </w:r>
      <w:r w:rsidR="00B76F96" w:rsidRPr="00DA1DDC">
        <w:t xml:space="preserve">also required to meet with </w:t>
      </w:r>
      <w:proofErr w:type="spellStart"/>
      <w:r w:rsidR="00B76F96" w:rsidRPr="00DA1DDC">
        <w:t>GtC</w:t>
      </w:r>
      <w:proofErr w:type="spellEnd"/>
      <w:r w:rsidR="00B76F96" w:rsidRPr="00DA1DDC">
        <w:t xml:space="preserve"> staff and pledge their commi</w:t>
      </w:r>
      <w:r w:rsidR="00116237" w:rsidRPr="00DA1DDC">
        <w:t>tment to supporting the student’</w:t>
      </w:r>
      <w:r w:rsidR="00B76F96" w:rsidRPr="00DA1DDC">
        <w:t xml:space="preserve">s success in the program. </w:t>
      </w:r>
      <w:r w:rsidR="00B86C8B" w:rsidRPr="00DA1DDC">
        <w:t>Once enrolled, students participated in a two-day mandatory orientation</w:t>
      </w:r>
      <w:r w:rsidR="005B0A35">
        <w:t xml:space="preserve"> and </w:t>
      </w:r>
      <w:r w:rsidR="00B86C8B" w:rsidRPr="00DA1DDC">
        <w:t xml:space="preserve">signed </w:t>
      </w:r>
      <w:r w:rsidR="00487409">
        <w:t xml:space="preserve">a student </w:t>
      </w:r>
      <w:r w:rsidR="008C2F1F">
        <w:t>agreement</w:t>
      </w:r>
      <w:r w:rsidR="00E36B21">
        <w:t xml:space="preserve">. </w:t>
      </w:r>
      <w:r w:rsidR="00B86C8B" w:rsidRPr="00DA1DDC">
        <w:t xml:space="preserve">Students who deviated from the </w:t>
      </w:r>
      <w:r w:rsidR="00B76F96" w:rsidRPr="00DA1DDC">
        <w:t>a</w:t>
      </w:r>
      <w:r w:rsidR="00B86C8B" w:rsidRPr="00DA1DDC">
        <w:t>greement were required to create a “</w:t>
      </w:r>
      <w:r w:rsidR="004F39F3">
        <w:t>s</w:t>
      </w:r>
      <w:r w:rsidR="00B86C8B" w:rsidRPr="00DA1DDC">
        <w:t xml:space="preserve">uccess </w:t>
      </w:r>
      <w:r w:rsidR="004F39F3">
        <w:t>c</w:t>
      </w:r>
      <w:r w:rsidR="00B86C8B" w:rsidRPr="00DA1DDC">
        <w:t xml:space="preserve">ontract” with </w:t>
      </w:r>
      <w:r w:rsidR="004F39F3">
        <w:t xml:space="preserve">a </w:t>
      </w:r>
      <w:r w:rsidR="00B86C8B" w:rsidRPr="00DA1DDC">
        <w:t>resource specialist</w:t>
      </w:r>
      <w:r w:rsidR="004F39F3">
        <w:t xml:space="preserve"> who </w:t>
      </w:r>
      <w:r w:rsidR="00B86C8B" w:rsidRPr="00DA1DDC">
        <w:t xml:space="preserve">monitored </w:t>
      </w:r>
      <w:r w:rsidR="00FB273A">
        <w:t xml:space="preserve">this contract closely in order to provide more timely interventions should the student fall behind. </w:t>
      </w:r>
    </w:p>
    <w:p w:rsidR="00CE30CB" w:rsidRDefault="00CE30CB" w:rsidP="00E32616">
      <w:pPr>
        <w:spacing w:line="240" w:lineRule="auto"/>
      </w:pPr>
    </w:p>
    <w:p w:rsidR="00E57D81" w:rsidRPr="00AE1CDC" w:rsidRDefault="003F0AA9" w:rsidP="00E32616">
      <w:pPr>
        <w:pStyle w:val="Heading3"/>
        <w:spacing w:line="240" w:lineRule="auto"/>
        <w:rPr>
          <w:color w:val="8A0000"/>
          <w:sz w:val="28"/>
          <w:szCs w:val="32"/>
        </w:rPr>
      </w:pPr>
      <w:r w:rsidRPr="00AE1CDC">
        <w:rPr>
          <w:color w:val="8A0000"/>
          <w:sz w:val="28"/>
          <w:szCs w:val="32"/>
        </w:rPr>
        <w:t>Student Support</w:t>
      </w:r>
    </w:p>
    <w:p w:rsidR="005F2E4C" w:rsidRDefault="005F2E4C" w:rsidP="00E32616">
      <w:pPr>
        <w:pStyle w:val="NoSpacing"/>
        <w:rPr>
          <w:rFonts w:ascii="Times New Roman" w:hAnsi="Times New Roman" w:cs="Times New Roman"/>
        </w:rPr>
      </w:pPr>
    </w:p>
    <w:p w:rsidR="00B86C8B" w:rsidRPr="00DA1DDC" w:rsidRDefault="0097474A" w:rsidP="00E32616">
      <w:pPr>
        <w:spacing w:line="240" w:lineRule="auto"/>
      </w:pPr>
      <w:r>
        <w:t>Program personnel focus</w:t>
      </w:r>
      <w:r w:rsidR="00E8581B">
        <w:t>ed</w:t>
      </w:r>
      <w:r>
        <w:t xml:space="preserve"> their student supports on </w:t>
      </w:r>
      <w:r w:rsidR="00B76F96">
        <w:t>academi</w:t>
      </w:r>
      <w:r w:rsidR="005F2E4C">
        <w:t xml:space="preserve">cs, </w:t>
      </w:r>
      <w:r>
        <w:t xml:space="preserve">but they also </w:t>
      </w:r>
      <w:r w:rsidR="00F271F4">
        <w:t xml:space="preserve">believe that </w:t>
      </w:r>
      <w:r w:rsidR="005F2E4C">
        <w:t>socio-emotional support</w:t>
      </w:r>
      <w:r w:rsidR="00F271F4">
        <w:t xml:space="preserve"> is crucial</w:t>
      </w:r>
      <w:r w:rsidR="006741A1">
        <w:t xml:space="preserve">. </w:t>
      </w:r>
      <w:r w:rsidR="00B05A7C">
        <w:t xml:space="preserve">The strategies below </w:t>
      </w:r>
      <w:r w:rsidR="00E8581B">
        <w:t xml:space="preserve">encompass </w:t>
      </w:r>
      <w:r w:rsidR="00B05A7C">
        <w:t>both types of supports.</w:t>
      </w:r>
    </w:p>
    <w:p w:rsidR="005F2E4C" w:rsidRPr="00DA1DDC" w:rsidRDefault="005F2E4C" w:rsidP="00E32616">
      <w:pPr>
        <w:pStyle w:val="NoSpacing"/>
        <w:rPr>
          <w:rFonts w:ascii="Times New Roman" w:hAnsi="Times New Roman" w:cs="Times New Roman"/>
        </w:rPr>
      </w:pPr>
    </w:p>
    <w:p w:rsidR="00B86C8B" w:rsidRPr="00F77DFF" w:rsidRDefault="005F2E4C" w:rsidP="00E32616">
      <w:pPr>
        <w:spacing w:line="240" w:lineRule="auto"/>
      </w:pPr>
      <w:r w:rsidRPr="003F0AA9">
        <w:rPr>
          <w:b/>
          <w:color w:val="8A0000"/>
        </w:rPr>
        <w:lastRenderedPageBreak/>
        <w:t>Institute</w:t>
      </w:r>
      <w:r w:rsidR="00B86C8B" w:rsidRPr="003F0AA9">
        <w:rPr>
          <w:b/>
          <w:color w:val="8A0000"/>
        </w:rPr>
        <w:t xml:space="preserve"> </w:t>
      </w:r>
      <w:r w:rsidRPr="003F0AA9">
        <w:rPr>
          <w:b/>
          <w:color w:val="8A0000"/>
        </w:rPr>
        <w:t xml:space="preserve">mandatory </w:t>
      </w:r>
      <w:r w:rsidR="00B86C8B" w:rsidRPr="003F0AA9">
        <w:rPr>
          <w:b/>
          <w:color w:val="8A0000"/>
        </w:rPr>
        <w:t>study time and tutoring.</w:t>
      </w:r>
      <w:r w:rsidR="00B86C8B" w:rsidRPr="003F0AA9">
        <w:rPr>
          <w:color w:val="8A0000"/>
        </w:rPr>
        <w:t xml:space="preserve"> </w:t>
      </w:r>
      <w:r w:rsidR="00DE2AAF">
        <w:t>S</w:t>
      </w:r>
      <w:r w:rsidRPr="00DA1DDC">
        <w:t xml:space="preserve">ites </w:t>
      </w:r>
      <w:r w:rsidR="00B86C8B" w:rsidRPr="00DA1DDC">
        <w:t xml:space="preserve">reported that students’ greatest </w:t>
      </w:r>
      <w:r w:rsidR="00F271F4">
        <w:t xml:space="preserve">obstacles </w:t>
      </w:r>
      <w:r w:rsidRPr="00DA1DDC">
        <w:t>to</w:t>
      </w:r>
      <w:r w:rsidR="00B86C8B" w:rsidRPr="00DA1DDC">
        <w:t xml:space="preserve"> </w:t>
      </w:r>
      <w:r w:rsidR="00F271F4">
        <w:t xml:space="preserve">completing coursework </w:t>
      </w:r>
      <w:r w:rsidR="00B86C8B" w:rsidRPr="00F77DFF">
        <w:t xml:space="preserve">were inadequate skills in time management and </w:t>
      </w:r>
      <w:r w:rsidR="00F271F4">
        <w:t xml:space="preserve">setting priorities, </w:t>
      </w:r>
      <w:r w:rsidR="00B86C8B" w:rsidRPr="00F77DFF">
        <w:t xml:space="preserve">lack of quiet study space at home, and a need for more intensive one-on-one instruction. </w:t>
      </w:r>
      <w:r w:rsidR="005860FF">
        <w:t xml:space="preserve">One site </w:t>
      </w:r>
      <w:r w:rsidR="00B86C8B" w:rsidRPr="00F77DFF">
        <w:t xml:space="preserve">implemented a mandatory </w:t>
      </w:r>
      <w:r w:rsidR="00F271F4">
        <w:t xml:space="preserve">weekly </w:t>
      </w:r>
      <w:r w:rsidR="00B86C8B" w:rsidRPr="00F77DFF">
        <w:t>study hall</w:t>
      </w:r>
      <w:r w:rsidR="00F271F4">
        <w:t xml:space="preserve"> </w:t>
      </w:r>
      <w:r w:rsidR="009F4117">
        <w:t>to create time</w:t>
      </w:r>
      <w:r w:rsidR="00B86C8B" w:rsidRPr="00F77DFF">
        <w:t xml:space="preserve"> </w:t>
      </w:r>
      <w:r w:rsidR="009F4117">
        <w:t xml:space="preserve">for </w:t>
      </w:r>
      <w:r w:rsidR="00B86C8B" w:rsidRPr="00F77DFF">
        <w:t xml:space="preserve">students </w:t>
      </w:r>
      <w:r w:rsidR="009F4117">
        <w:t>to</w:t>
      </w:r>
      <w:r w:rsidR="00F271F4">
        <w:t xml:space="preserve"> </w:t>
      </w:r>
      <w:r w:rsidR="00B86C8B" w:rsidRPr="00F77DFF">
        <w:t xml:space="preserve">work independently or receive support from resource specialists and tutors. </w:t>
      </w:r>
      <w:r w:rsidR="00F271F4">
        <w:t>Students at a</w:t>
      </w:r>
      <w:r w:rsidR="005860FF">
        <w:t xml:space="preserve"> second site</w:t>
      </w:r>
      <w:r w:rsidR="00B86C8B" w:rsidRPr="00F77DFF">
        <w:t xml:space="preserve"> </w:t>
      </w:r>
      <w:r w:rsidR="00F271F4">
        <w:t xml:space="preserve">were </w:t>
      </w:r>
      <w:r w:rsidR="00B86C8B" w:rsidRPr="00F77DFF">
        <w:t xml:space="preserve">encouraged to complete their homework in the </w:t>
      </w:r>
      <w:proofErr w:type="spellStart"/>
      <w:r w:rsidR="00B86C8B" w:rsidRPr="00F77DFF">
        <w:t>GtC</w:t>
      </w:r>
      <w:proofErr w:type="spellEnd"/>
      <w:r w:rsidR="00B86C8B" w:rsidRPr="00F77DFF">
        <w:t xml:space="preserve"> program office if they need</w:t>
      </w:r>
      <w:r w:rsidR="00F271F4">
        <w:t>ed</w:t>
      </w:r>
      <w:r w:rsidR="00B86C8B" w:rsidRPr="00F77DFF">
        <w:t xml:space="preserve"> a quiet space. </w:t>
      </w:r>
      <w:r w:rsidR="00F271F4">
        <w:t>This site also</w:t>
      </w:r>
      <w:r w:rsidR="005860FF">
        <w:t xml:space="preserve"> </w:t>
      </w:r>
      <w:r w:rsidR="00F271F4">
        <w:t>required</w:t>
      </w:r>
      <w:r w:rsidR="00B86C8B" w:rsidRPr="00F77DFF">
        <w:t xml:space="preserve"> students who </w:t>
      </w:r>
      <w:r w:rsidR="00F271F4">
        <w:t>were</w:t>
      </w:r>
      <w:r w:rsidR="00B86C8B" w:rsidRPr="00F77DFF">
        <w:t xml:space="preserve"> in danger of failing a course to </w:t>
      </w:r>
      <w:r w:rsidR="00F271F4">
        <w:t>utilize the college’s tutoring resources.</w:t>
      </w:r>
      <w:r w:rsidR="00B86C8B" w:rsidRPr="00F77DFF">
        <w:t xml:space="preserve"> </w:t>
      </w:r>
      <w:r w:rsidR="005860FF">
        <w:t xml:space="preserve">At the third site, </w:t>
      </w:r>
      <w:r w:rsidR="00F77DFF" w:rsidRPr="00F77DFF">
        <w:t xml:space="preserve">resource specialists often provided tutoring to struggling students or referred them to the college’s tutoring center for assistance. </w:t>
      </w:r>
    </w:p>
    <w:p w:rsidR="00B86C8B" w:rsidRDefault="00B86C8B" w:rsidP="00E32616">
      <w:pPr>
        <w:pStyle w:val="NoSpacing"/>
        <w:rPr>
          <w:rFonts w:ascii="Times New Roman" w:hAnsi="Times New Roman" w:cs="Times New Roman"/>
        </w:rPr>
      </w:pPr>
    </w:p>
    <w:p w:rsidR="005F2E4C" w:rsidRPr="00F77DFF" w:rsidRDefault="00C04D0F" w:rsidP="00E32616">
      <w:pPr>
        <w:spacing w:line="240" w:lineRule="auto"/>
      </w:pPr>
      <w:r w:rsidRPr="003F0AA9">
        <w:rPr>
          <w:b/>
          <w:bCs/>
          <w:color w:val="8A0000"/>
        </w:rPr>
        <w:t>Implement policies and procedures to improve attendance.</w:t>
      </w:r>
      <w:r w:rsidR="005F2E4C" w:rsidRPr="003F0AA9">
        <w:rPr>
          <w:color w:val="8A0000"/>
        </w:rPr>
        <w:t xml:space="preserve"> </w:t>
      </w:r>
      <w:r w:rsidR="00F77DFF" w:rsidRPr="00F77DFF">
        <w:t>F</w:t>
      </w:r>
      <w:r w:rsidR="005F2E4C" w:rsidRPr="00F77DFF">
        <w:t xml:space="preserve">requent absences </w:t>
      </w:r>
      <w:r w:rsidR="00513654">
        <w:t>we</w:t>
      </w:r>
      <w:r w:rsidR="005F2E4C" w:rsidRPr="00F77DFF">
        <w:t xml:space="preserve">re a major barrier to student success. </w:t>
      </w:r>
      <w:r w:rsidR="00F77DFF" w:rsidRPr="00F77DFF">
        <w:t>Each site</w:t>
      </w:r>
      <w:r w:rsidR="005F2E4C" w:rsidRPr="00F77DFF">
        <w:t xml:space="preserve"> implemented communication policies and systems to monitor students</w:t>
      </w:r>
      <w:r w:rsidR="00F77DFF" w:rsidRPr="00F77DFF">
        <w:t>’ attendance</w:t>
      </w:r>
      <w:r w:rsidR="005F2E4C" w:rsidRPr="00F77DFF">
        <w:t xml:space="preserve"> proactively. All students </w:t>
      </w:r>
      <w:r w:rsidR="00513654">
        <w:t xml:space="preserve">were </w:t>
      </w:r>
      <w:r w:rsidR="005F2E4C" w:rsidRPr="00F77DFF">
        <w:t>required to check in with the resource specialists before class daily</w:t>
      </w:r>
      <w:r w:rsidR="00F77DFF" w:rsidRPr="00F77DFF">
        <w:t xml:space="preserve"> at </w:t>
      </w:r>
      <w:r w:rsidR="005860FF">
        <w:t>one site</w:t>
      </w:r>
      <w:r w:rsidR="00F77DFF" w:rsidRPr="00F77DFF">
        <w:t xml:space="preserve"> and weekly at </w:t>
      </w:r>
      <w:r w:rsidR="005860FF">
        <w:t>the other two sites</w:t>
      </w:r>
      <w:r w:rsidR="005F2E4C" w:rsidRPr="00F77DFF">
        <w:t xml:space="preserve">. Student attendance information </w:t>
      </w:r>
      <w:r w:rsidR="00513654">
        <w:t xml:space="preserve">was </w:t>
      </w:r>
      <w:r w:rsidR="005F2E4C" w:rsidRPr="00F77DFF">
        <w:t xml:space="preserve">sent </w:t>
      </w:r>
      <w:r w:rsidR="00F77DFF" w:rsidRPr="00F77DFF">
        <w:t>to</w:t>
      </w:r>
      <w:r w:rsidR="005F2E4C" w:rsidRPr="00F77DFF">
        <w:t xml:space="preserve"> the teaching faculty, who </w:t>
      </w:r>
      <w:r w:rsidR="00513654">
        <w:t>were</w:t>
      </w:r>
      <w:r w:rsidR="005F2E4C" w:rsidRPr="00F77DFF">
        <w:t xml:space="preserve"> </w:t>
      </w:r>
      <w:r w:rsidR="00F77DFF" w:rsidRPr="00F77DFF">
        <w:t>asked</w:t>
      </w:r>
      <w:r w:rsidR="005F2E4C" w:rsidRPr="00F77DFF">
        <w:t xml:space="preserve"> to notify the resource specialists of any absences </w:t>
      </w:r>
      <w:r w:rsidR="00513654">
        <w:t xml:space="preserve">that were </w:t>
      </w:r>
      <w:r w:rsidR="005F2E4C" w:rsidRPr="00F77DFF">
        <w:t xml:space="preserve">not documented in the attendance report. In addition, students </w:t>
      </w:r>
      <w:r w:rsidR="00513654">
        <w:t xml:space="preserve">were </w:t>
      </w:r>
      <w:r w:rsidR="005F2E4C" w:rsidRPr="00F77DFF">
        <w:t xml:space="preserve">expected to notify </w:t>
      </w:r>
      <w:r w:rsidR="00513654">
        <w:t xml:space="preserve">their professors and </w:t>
      </w:r>
      <w:r w:rsidR="005F2E4C" w:rsidRPr="00F77DFF">
        <w:t xml:space="preserve">the resource specialists prior to a known absence. </w:t>
      </w:r>
      <w:r w:rsidR="00454B5E">
        <w:t xml:space="preserve">When students </w:t>
      </w:r>
      <w:r w:rsidR="00513654">
        <w:t xml:space="preserve">did not provide </w:t>
      </w:r>
      <w:r w:rsidR="005F2E4C" w:rsidRPr="00F77DFF">
        <w:t>notification</w:t>
      </w:r>
      <w:r w:rsidR="00513654">
        <w:t xml:space="preserve">, </w:t>
      </w:r>
      <w:r w:rsidR="005F2E4C" w:rsidRPr="00F77DFF">
        <w:t>program staff contact</w:t>
      </w:r>
      <w:r w:rsidR="00513654">
        <w:t>ed</w:t>
      </w:r>
      <w:r w:rsidR="005F2E4C" w:rsidRPr="00F77DFF">
        <w:t xml:space="preserve"> </w:t>
      </w:r>
      <w:r w:rsidR="00454B5E">
        <w:t xml:space="preserve">them </w:t>
      </w:r>
      <w:r w:rsidR="005F2E4C" w:rsidRPr="00F77DFF">
        <w:t xml:space="preserve">to check in and remind them of the attendance policy. </w:t>
      </w:r>
      <w:r w:rsidR="00F77DFF" w:rsidRPr="00F77DFF">
        <w:t>One site</w:t>
      </w:r>
      <w:r w:rsidR="005F2E4C" w:rsidRPr="00F77DFF">
        <w:t xml:space="preserve"> reported that</w:t>
      </w:r>
      <w:r w:rsidR="00F77DFF" w:rsidRPr="00F77DFF">
        <w:t xml:space="preserve"> after these protocols were implemented</w:t>
      </w:r>
      <w:r w:rsidR="005F2E4C" w:rsidRPr="00F77DFF">
        <w:t>, no student exceeded the maximum of six allowed absences without first having communicated with a resource specialist on multiple occasions.</w:t>
      </w:r>
    </w:p>
    <w:p w:rsidR="00B86C8B" w:rsidRDefault="00B86C8B" w:rsidP="00E32616">
      <w:pPr>
        <w:pStyle w:val="NoSpacing"/>
        <w:rPr>
          <w:rFonts w:ascii="Times New Roman" w:hAnsi="Times New Roman" w:cs="Times New Roman"/>
        </w:rPr>
      </w:pPr>
    </w:p>
    <w:p w:rsidR="00D431A6" w:rsidRDefault="00C04D0F" w:rsidP="00E32616">
      <w:pPr>
        <w:spacing w:line="240" w:lineRule="auto"/>
      </w:pPr>
      <w:r w:rsidRPr="003F0AA9">
        <w:rPr>
          <w:b/>
          <w:bCs/>
          <w:color w:val="8A0000"/>
        </w:rPr>
        <w:t xml:space="preserve">Maximize limited resources for student support. </w:t>
      </w:r>
      <w:r w:rsidR="00073965">
        <w:t>As programs grew, their staff-to-student ratios declined, and they needed to develop additional strategies for providing student support. Two sites developed the leadership skills of students who had already completed a semester of the program by utilizing them as peer mentors fo</w:t>
      </w:r>
      <w:r w:rsidR="00982722">
        <w:t>r first-</w:t>
      </w:r>
      <w:r w:rsidR="00073965">
        <w:t xml:space="preserve">semester students. </w:t>
      </w:r>
      <w:r w:rsidR="00982722">
        <w:t xml:space="preserve">One site decided </w:t>
      </w:r>
      <w:r w:rsidR="00D431A6" w:rsidRPr="00DA1DDC">
        <w:t xml:space="preserve">to provide the most intensive support to first-semester students, </w:t>
      </w:r>
      <w:r w:rsidR="00982722">
        <w:t xml:space="preserve">which in turn required </w:t>
      </w:r>
      <w:r w:rsidR="00D431A6" w:rsidRPr="00DA1DDC">
        <w:t xml:space="preserve">second- and third-semester students </w:t>
      </w:r>
      <w:r w:rsidR="00982722">
        <w:t xml:space="preserve">to become more </w:t>
      </w:r>
      <w:r w:rsidR="00982722">
        <w:lastRenderedPageBreak/>
        <w:t>independent.</w:t>
      </w:r>
      <w:r w:rsidR="005C6F8C">
        <w:t xml:space="preserve"> This was a difficult decision because it reduced the resource specialists’ availability to students with whom they had developed strong and productive relationships during previous semesters.</w:t>
      </w:r>
    </w:p>
    <w:p w:rsidR="00D431A6" w:rsidRDefault="00D431A6" w:rsidP="00E32616">
      <w:pPr>
        <w:pStyle w:val="NoSpacing"/>
        <w:rPr>
          <w:rFonts w:ascii="Times New Roman" w:hAnsi="Times New Roman" w:cs="Times New Roman"/>
        </w:rPr>
      </w:pPr>
    </w:p>
    <w:p w:rsidR="00B86C8B" w:rsidRPr="00F77DFF" w:rsidRDefault="00F77DFF" w:rsidP="00E32616">
      <w:pPr>
        <w:spacing w:line="240" w:lineRule="auto"/>
      </w:pPr>
      <w:r w:rsidRPr="003F0AA9">
        <w:rPr>
          <w:b/>
          <w:bCs/>
          <w:color w:val="8A0000"/>
        </w:rPr>
        <w:t>Implement</w:t>
      </w:r>
      <w:r w:rsidR="00B86C8B" w:rsidRPr="003F0AA9">
        <w:rPr>
          <w:b/>
          <w:bCs/>
          <w:color w:val="8A0000"/>
        </w:rPr>
        <w:t xml:space="preserve"> an academic monitoring and alert system.</w:t>
      </w:r>
      <w:r w:rsidRPr="003F0AA9">
        <w:rPr>
          <w:color w:val="8A0000"/>
        </w:rPr>
        <w:t xml:space="preserve"> </w:t>
      </w:r>
      <w:r w:rsidR="00B86C8B" w:rsidRPr="00F77DFF">
        <w:t xml:space="preserve">Resource specialists from </w:t>
      </w:r>
      <w:r w:rsidRPr="00F77DFF">
        <w:t>two</w:t>
      </w:r>
      <w:r w:rsidR="00B86C8B" w:rsidRPr="00F77DFF">
        <w:t xml:space="preserve"> colleges reported that </w:t>
      </w:r>
      <w:r w:rsidR="00BB12A9">
        <w:t xml:space="preserve">in the program’s first year they </w:t>
      </w:r>
      <w:r w:rsidR="00B86C8B" w:rsidRPr="00F77DFF">
        <w:t xml:space="preserve">were notified </w:t>
      </w:r>
      <w:r w:rsidR="00BB12A9">
        <w:t>of students’ poor academic performance too late in the semester</w:t>
      </w:r>
      <w:r w:rsidR="00B86C8B" w:rsidRPr="00F77DFF">
        <w:t xml:space="preserve"> to provide much support. In response to this challenge, </w:t>
      </w:r>
      <w:r w:rsidRPr="00F77DFF">
        <w:t xml:space="preserve">one site </w:t>
      </w:r>
      <w:r w:rsidR="00470C8A">
        <w:t>developed a</w:t>
      </w:r>
      <w:r w:rsidR="002235E8">
        <w:t>n</w:t>
      </w:r>
      <w:r w:rsidR="00470C8A">
        <w:t xml:space="preserve"> </w:t>
      </w:r>
      <w:r w:rsidR="002235E8">
        <w:t xml:space="preserve">alert </w:t>
      </w:r>
      <w:r w:rsidR="00470C8A">
        <w:t xml:space="preserve">system that </w:t>
      </w:r>
      <w:r w:rsidR="002235E8">
        <w:t xml:space="preserve">resulted in more timely intervention. The system assigned students </w:t>
      </w:r>
      <w:r w:rsidR="00BB12A9">
        <w:t xml:space="preserve">to one of three levels </w:t>
      </w:r>
      <w:r w:rsidRPr="00F77DFF">
        <w:t xml:space="preserve">based on their </w:t>
      </w:r>
      <w:r w:rsidR="00BB12A9">
        <w:t xml:space="preserve">attendance and </w:t>
      </w:r>
      <w:r w:rsidRPr="00F77DFF">
        <w:t>coursework completion. “G</w:t>
      </w:r>
      <w:r w:rsidR="00B86C8B" w:rsidRPr="00F77DFF">
        <w:t xml:space="preserve">reen” students </w:t>
      </w:r>
      <w:r w:rsidR="00470C8A">
        <w:t xml:space="preserve">were </w:t>
      </w:r>
      <w:r w:rsidR="00B86C8B" w:rsidRPr="00F77DFF">
        <w:t xml:space="preserve">meeting attendance and coursework expectations; “yellow” students </w:t>
      </w:r>
      <w:r w:rsidR="00470C8A">
        <w:t xml:space="preserve">had </w:t>
      </w:r>
      <w:r w:rsidR="00B86C8B" w:rsidRPr="00F77DFF">
        <w:t xml:space="preserve">missed one or two classes, </w:t>
      </w:r>
      <w:r w:rsidR="00470C8A">
        <w:t>had</w:t>
      </w:r>
      <w:r w:rsidR="00B86C8B" w:rsidRPr="00F77DFF">
        <w:t xml:space="preserve"> not completed one or two homework assignments, and/or </w:t>
      </w:r>
      <w:r w:rsidR="00470C8A">
        <w:t xml:space="preserve">had </w:t>
      </w:r>
      <w:r w:rsidR="00B86C8B" w:rsidRPr="00F77DFF">
        <w:t xml:space="preserve">missed a deadline; and “red” students </w:t>
      </w:r>
      <w:r w:rsidR="00470C8A">
        <w:t xml:space="preserve">had </w:t>
      </w:r>
      <w:r w:rsidR="00B86C8B" w:rsidRPr="00F77DFF">
        <w:t>exceeded one of the c</w:t>
      </w:r>
      <w:r w:rsidRPr="00F77DFF">
        <w:t>utoffs for yellow status. R</w:t>
      </w:r>
      <w:r w:rsidR="00B86C8B" w:rsidRPr="00F77DFF">
        <w:t>esource specialists check</w:t>
      </w:r>
      <w:r w:rsidR="00470C8A">
        <w:t>ed</w:t>
      </w:r>
      <w:r w:rsidR="00B86C8B" w:rsidRPr="00F77DFF">
        <w:t xml:space="preserve"> in with “yellow” students and assess</w:t>
      </w:r>
      <w:r w:rsidR="00470C8A">
        <w:t>ed</w:t>
      </w:r>
      <w:r w:rsidR="00B86C8B" w:rsidRPr="00F77DFF">
        <w:t xml:space="preserve"> their support needs. “Red” students receive</w:t>
      </w:r>
      <w:r w:rsidR="00470C8A">
        <w:t>d</w:t>
      </w:r>
      <w:r w:rsidR="00B86C8B" w:rsidRPr="00F77DFF">
        <w:t xml:space="preserve"> intensive support and intervention, which include</w:t>
      </w:r>
      <w:r w:rsidR="00470C8A">
        <w:t>d</w:t>
      </w:r>
      <w:r w:rsidR="00B86C8B" w:rsidRPr="00F77DFF">
        <w:t xml:space="preserve"> additional tutoring and/or meetings with a student’s parents or </w:t>
      </w:r>
      <w:r w:rsidRPr="00F77DFF">
        <w:t>guardians</w:t>
      </w:r>
      <w:r w:rsidR="00470C8A">
        <w:t xml:space="preserve"> as needed</w:t>
      </w:r>
      <w:r w:rsidR="00B86C8B" w:rsidRPr="00F77DFF">
        <w:t xml:space="preserve">. As a result of this system, resource specialists </w:t>
      </w:r>
      <w:r w:rsidR="00470C8A">
        <w:t xml:space="preserve">were </w:t>
      </w:r>
      <w:r w:rsidR="00B86C8B" w:rsidRPr="00F77DFF">
        <w:t xml:space="preserve">able to intervene before a student’s lack of attendance and/or coursework completion resulted in automatic program dismissal. </w:t>
      </w:r>
    </w:p>
    <w:p w:rsidR="00B86C8B" w:rsidRDefault="00B86C8B" w:rsidP="00E32616">
      <w:pPr>
        <w:spacing w:line="240" w:lineRule="auto"/>
      </w:pPr>
    </w:p>
    <w:p w:rsidR="0090269A" w:rsidRDefault="00B86C8B" w:rsidP="00E32616">
      <w:pPr>
        <w:spacing w:line="240" w:lineRule="auto"/>
      </w:pPr>
      <w:r w:rsidRPr="003F0AA9">
        <w:rPr>
          <w:b/>
          <w:color w:val="8A0000"/>
        </w:rPr>
        <w:t xml:space="preserve">Develop </w:t>
      </w:r>
      <w:r w:rsidR="00CB0AF3" w:rsidRPr="003F0AA9">
        <w:rPr>
          <w:b/>
          <w:color w:val="8A0000"/>
        </w:rPr>
        <w:t xml:space="preserve">procedures </w:t>
      </w:r>
      <w:r w:rsidRPr="003F0AA9">
        <w:rPr>
          <w:b/>
          <w:color w:val="8A0000"/>
        </w:rPr>
        <w:t xml:space="preserve">to </w:t>
      </w:r>
      <w:r w:rsidR="0090269A" w:rsidRPr="003F0AA9">
        <w:rPr>
          <w:b/>
          <w:color w:val="8A0000"/>
        </w:rPr>
        <w:t xml:space="preserve">minimize the impact of </w:t>
      </w:r>
      <w:r w:rsidR="003E3053" w:rsidRPr="003F0AA9">
        <w:rPr>
          <w:b/>
          <w:color w:val="8A0000"/>
        </w:rPr>
        <w:t>student dismissals</w:t>
      </w:r>
      <w:r w:rsidRPr="003F0AA9">
        <w:rPr>
          <w:b/>
          <w:color w:val="8A0000"/>
        </w:rPr>
        <w:t>.</w:t>
      </w:r>
      <w:r w:rsidRPr="003F0AA9">
        <w:rPr>
          <w:i/>
          <w:color w:val="8A0000"/>
        </w:rPr>
        <w:t xml:space="preserve"> </w:t>
      </w:r>
      <w:r w:rsidRPr="00F77DFF">
        <w:t xml:space="preserve">During the </w:t>
      </w:r>
      <w:r w:rsidR="00CB0AF3">
        <w:t>first program year</w:t>
      </w:r>
      <w:r w:rsidRPr="00F77DFF">
        <w:t xml:space="preserve">, </w:t>
      </w:r>
      <w:r w:rsidR="009F4117">
        <w:t>if</w:t>
      </w:r>
      <w:r w:rsidR="0090269A">
        <w:t xml:space="preserve"> students were dismissed from the program</w:t>
      </w:r>
      <w:r w:rsidR="00891244">
        <w:t>s (e.g., due to inadequate academic performance)</w:t>
      </w:r>
      <w:r w:rsidR="0090269A">
        <w:t>, the</w:t>
      </w:r>
      <w:r w:rsidRPr="00F77DFF">
        <w:t xml:space="preserve"> timing often caused gaps in learning. </w:t>
      </w:r>
      <w:r w:rsidR="00B73762">
        <w:t>At schools with quarter</w:t>
      </w:r>
      <w:r w:rsidR="002626F9">
        <w:t>ly marking periods,</w:t>
      </w:r>
      <w:r w:rsidR="00B73762">
        <w:t xml:space="preserve"> f</w:t>
      </w:r>
      <w:r w:rsidRPr="00F77DFF">
        <w:t xml:space="preserve">or example, students who were dismissed after the fall college semester </w:t>
      </w:r>
      <w:r w:rsidR="00CB0AF3">
        <w:t xml:space="preserve">ended </w:t>
      </w:r>
      <w:r w:rsidRPr="00F77DFF">
        <w:t xml:space="preserve">could not re-enroll in their high school until several weeks later when the third quarter began. </w:t>
      </w:r>
      <w:r w:rsidR="00CB0AF3">
        <w:t xml:space="preserve">Two </w:t>
      </w:r>
      <w:r w:rsidR="002626F9">
        <w:t xml:space="preserve">school </w:t>
      </w:r>
      <w:r w:rsidRPr="003E3053">
        <w:t xml:space="preserve">districts </w:t>
      </w:r>
      <w:r w:rsidR="00CB0AF3">
        <w:t xml:space="preserve">asked the </w:t>
      </w:r>
      <w:r w:rsidRPr="003E3053">
        <w:t xml:space="preserve">programs to </w:t>
      </w:r>
      <w:r w:rsidR="00CB0AF3">
        <w:t xml:space="preserve">take these </w:t>
      </w:r>
      <w:r w:rsidRPr="003E3053">
        <w:t xml:space="preserve">timing </w:t>
      </w:r>
      <w:r w:rsidR="00CB0AF3">
        <w:t>issues into consideration</w:t>
      </w:r>
      <w:r w:rsidR="00A96488">
        <w:t>, and the</w:t>
      </w:r>
      <w:r w:rsidR="003E3053" w:rsidRPr="003E3053">
        <w:t xml:space="preserve"> </w:t>
      </w:r>
      <w:r w:rsidR="00BB7F25">
        <w:t xml:space="preserve">programs </w:t>
      </w:r>
      <w:r w:rsidR="00812A58">
        <w:t xml:space="preserve">began to </w:t>
      </w:r>
      <w:r w:rsidR="00A96488">
        <w:t xml:space="preserve">coordinate </w:t>
      </w:r>
      <w:r w:rsidR="00BB7F25">
        <w:t>dismiss</w:t>
      </w:r>
      <w:r w:rsidR="00A96488">
        <w:t xml:space="preserve">als with the </w:t>
      </w:r>
      <w:r w:rsidR="003E3053" w:rsidRPr="003E3053">
        <w:t>beginning of high school</w:t>
      </w:r>
      <w:r w:rsidR="00A96488">
        <w:t xml:space="preserve"> grading periods.</w:t>
      </w:r>
    </w:p>
    <w:p w:rsidR="0090269A" w:rsidRDefault="0090269A" w:rsidP="00E32616">
      <w:pPr>
        <w:spacing w:line="240" w:lineRule="auto"/>
      </w:pPr>
    </w:p>
    <w:p w:rsidR="001856C9" w:rsidRDefault="009F37AD" w:rsidP="00E32616">
      <w:pPr>
        <w:spacing w:line="240" w:lineRule="auto"/>
      </w:pPr>
      <w:r w:rsidRPr="003F0AA9">
        <w:rPr>
          <w:b/>
          <w:color w:val="8A0000"/>
        </w:rPr>
        <w:t xml:space="preserve">Build </w:t>
      </w:r>
      <w:r w:rsidR="005F2E4C" w:rsidRPr="003F0AA9">
        <w:rPr>
          <w:b/>
          <w:color w:val="8A0000"/>
        </w:rPr>
        <w:t xml:space="preserve">community among </w:t>
      </w:r>
      <w:proofErr w:type="spellStart"/>
      <w:r w:rsidR="005F2E4C" w:rsidRPr="003F0AA9">
        <w:rPr>
          <w:b/>
          <w:color w:val="8A0000"/>
        </w:rPr>
        <w:t>GtC</w:t>
      </w:r>
      <w:proofErr w:type="spellEnd"/>
      <w:r w:rsidR="005F2E4C" w:rsidRPr="003F0AA9">
        <w:rPr>
          <w:b/>
          <w:color w:val="8A0000"/>
        </w:rPr>
        <w:t xml:space="preserve"> students</w:t>
      </w:r>
      <w:r w:rsidR="00A63FC6" w:rsidRPr="003F0AA9">
        <w:rPr>
          <w:b/>
          <w:color w:val="8A0000"/>
        </w:rPr>
        <w:t xml:space="preserve"> and staff</w:t>
      </w:r>
      <w:r w:rsidR="005F2E4C" w:rsidRPr="003F0AA9">
        <w:rPr>
          <w:b/>
          <w:color w:val="8A0000"/>
        </w:rPr>
        <w:t>.</w:t>
      </w:r>
      <w:r w:rsidR="00F77DFF" w:rsidRPr="003F0AA9">
        <w:rPr>
          <w:color w:val="8A0000"/>
        </w:rPr>
        <w:t xml:space="preserve"> </w:t>
      </w:r>
      <w:r>
        <w:t>All three programs reported that building strong relationships and a sense of community contributed to students’ academic success</w:t>
      </w:r>
      <w:r w:rsidR="00A63FC6" w:rsidRPr="00A63FC6">
        <w:t>.</w:t>
      </w:r>
      <w:r w:rsidR="00F77DFF" w:rsidRPr="00A63FC6">
        <w:t xml:space="preserve"> </w:t>
      </w:r>
      <w:r>
        <w:t xml:space="preserve">They </w:t>
      </w:r>
      <w:r>
        <w:lastRenderedPageBreak/>
        <w:t xml:space="preserve">used several strategies to accomplish this. </w:t>
      </w:r>
      <w:r w:rsidR="00AF3DB2" w:rsidRPr="00A63FC6">
        <w:t>During orientation, new students ha</w:t>
      </w:r>
      <w:r w:rsidR="00026943">
        <w:t>d</w:t>
      </w:r>
      <w:r w:rsidR="00AF3DB2" w:rsidRPr="00A63FC6">
        <w:t xml:space="preserve"> the opportunity to form friendships with their classmates </w:t>
      </w:r>
      <w:r w:rsidR="00AF3DB2">
        <w:t xml:space="preserve">and to </w:t>
      </w:r>
      <w:r w:rsidR="00AF3DB2" w:rsidRPr="00A63FC6">
        <w:t>speak with students from previous cohorts about their experiences in the program.</w:t>
      </w:r>
      <w:r w:rsidR="00AF3DB2">
        <w:t xml:space="preserve"> </w:t>
      </w:r>
      <w:r>
        <w:t>At all sites, f</w:t>
      </w:r>
      <w:r w:rsidRPr="00A63FC6">
        <w:t>irst</w:t>
      </w:r>
      <w:r>
        <w:t>-</w:t>
      </w:r>
      <w:r w:rsidRPr="00A63FC6">
        <w:t xml:space="preserve">semester students </w:t>
      </w:r>
      <w:r>
        <w:t xml:space="preserve">were </w:t>
      </w:r>
      <w:r w:rsidRPr="00A63FC6">
        <w:t xml:space="preserve">encouraged </w:t>
      </w:r>
      <w:r>
        <w:t xml:space="preserve">or required </w:t>
      </w:r>
      <w:r w:rsidRPr="00A63FC6">
        <w:t>to tak</w:t>
      </w:r>
      <w:r w:rsidR="00AF3DB2">
        <w:t>e all of their classes together. The programs also o</w:t>
      </w:r>
      <w:r w:rsidR="00AF3DB2" w:rsidRPr="00A63FC6">
        <w:t>ffer</w:t>
      </w:r>
      <w:r w:rsidR="00AF3DB2">
        <w:t>ed</w:t>
      </w:r>
      <w:r w:rsidR="00AF3DB2" w:rsidRPr="00A63FC6">
        <w:t xml:space="preserve"> summer activities to keep students in the habit of coming to campus daily and connecting with their classmates.</w:t>
      </w:r>
      <w:r w:rsidR="00AF3DB2">
        <w:t xml:space="preserve"> At one site, s</w:t>
      </w:r>
      <w:r w:rsidR="005F2E4C" w:rsidRPr="00A63FC6">
        <w:t>tudents participate</w:t>
      </w:r>
      <w:r w:rsidR="00AF3DB2">
        <w:t>d</w:t>
      </w:r>
      <w:r w:rsidR="005F2E4C" w:rsidRPr="00A63FC6">
        <w:t xml:space="preserve"> in a com</w:t>
      </w:r>
      <w:r w:rsidR="00A63FC6" w:rsidRPr="00A63FC6">
        <w:t xml:space="preserve">munity service project that </w:t>
      </w:r>
      <w:r w:rsidR="00AF3DB2">
        <w:t>was</w:t>
      </w:r>
      <w:r w:rsidR="00A63FC6" w:rsidRPr="00A63FC6">
        <w:t xml:space="preserve"> led by a resource specialist.</w:t>
      </w:r>
      <w:r w:rsidR="00AF3DB2">
        <w:t xml:space="preserve"> Last, the programs </w:t>
      </w:r>
      <w:r w:rsidR="005772BA">
        <w:t>e</w:t>
      </w:r>
      <w:r w:rsidR="005F2E4C" w:rsidRPr="00A63FC6">
        <w:t>ncourage</w:t>
      </w:r>
      <w:r w:rsidR="00AF3DB2">
        <w:t>d</w:t>
      </w:r>
      <w:r w:rsidR="005F2E4C" w:rsidRPr="00A63FC6">
        <w:t xml:space="preserve"> students to get involved in the college’s sports program</w:t>
      </w:r>
      <w:r w:rsidR="00AF3DB2">
        <w:t xml:space="preserve"> by </w:t>
      </w:r>
      <w:r w:rsidR="005F2E4C" w:rsidRPr="00A63FC6">
        <w:t>trying out for a team or attending a game together.</w:t>
      </w:r>
    </w:p>
    <w:p w:rsidR="00E32616" w:rsidRDefault="00E32616" w:rsidP="00E32616">
      <w:pPr>
        <w:spacing w:line="240" w:lineRule="auto"/>
      </w:pPr>
    </w:p>
    <w:p w:rsidR="00E67388" w:rsidRPr="00AE1CDC" w:rsidRDefault="00E67388" w:rsidP="00E32616">
      <w:pPr>
        <w:pStyle w:val="Heading2"/>
        <w:spacing w:before="0"/>
        <w:rPr>
          <w:szCs w:val="32"/>
        </w:rPr>
      </w:pPr>
      <w:r w:rsidRPr="00AE1CDC">
        <w:rPr>
          <w:szCs w:val="32"/>
        </w:rPr>
        <w:t>Student Outcomes</w:t>
      </w:r>
    </w:p>
    <w:p w:rsidR="00E6348B" w:rsidRDefault="00E6348B" w:rsidP="00E32616">
      <w:pPr>
        <w:spacing w:line="240" w:lineRule="auto"/>
      </w:pPr>
    </w:p>
    <w:p w:rsidR="000C39B1" w:rsidRPr="00F41F80" w:rsidRDefault="000C39B1" w:rsidP="00E32616">
      <w:pPr>
        <w:spacing w:line="240" w:lineRule="auto"/>
      </w:pPr>
      <w:r w:rsidRPr="00F41F80">
        <w:t>Across the three sites, 27</w:t>
      </w:r>
      <w:r>
        <w:t>3</w:t>
      </w:r>
      <w:r w:rsidRPr="00F41F80">
        <w:t xml:space="preserve"> students had enrolled by the end of the 2013–14 school </w:t>
      </w:r>
      <w:proofErr w:type="gramStart"/>
      <w:r w:rsidRPr="00F41F80">
        <w:t>year</w:t>
      </w:r>
      <w:proofErr w:type="gramEnd"/>
      <w:r w:rsidRPr="00F41F80">
        <w:t xml:space="preserve">. Of the students for whom identifying information was available (N=261), 61 percent were eligible for free or reduced price lunch, 7 percent were students with disabilities, and 2 percent were English language learners. In addition, 56 percent of the students were female, 54 percent were White, 25 percent were Hispanic/Latino, 16 percent were Black/African American, 3 percent were Asian, and </w:t>
      </w:r>
      <w:r>
        <w:t xml:space="preserve">1 </w:t>
      </w:r>
      <w:r w:rsidRPr="00F41F80">
        <w:t xml:space="preserve">percent </w:t>
      </w:r>
      <w:r>
        <w:t xml:space="preserve">each </w:t>
      </w:r>
      <w:proofErr w:type="gramStart"/>
      <w:r w:rsidRPr="00F41F80">
        <w:t>were</w:t>
      </w:r>
      <w:proofErr w:type="gramEnd"/>
      <w:r w:rsidRPr="00F41F80">
        <w:t xml:space="preserve"> Multi-Racial Non-Hispanic, American Indian or Alaskan Native, or Native Hawaiian or Pacific Islander.</w:t>
      </w:r>
    </w:p>
    <w:p w:rsidR="000C39B1" w:rsidRPr="00F41F80" w:rsidRDefault="000C39B1" w:rsidP="00E32616">
      <w:pPr>
        <w:spacing w:line="240" w:lineRule="auto"/>
      </w:pPr>
    </w:p>
    <w:p w:rsidR="000C39B1" w:rsidRDefault="000C39B1" w:rsidP="00E32616">
      <w:pPr>
        <w:spacing w:line="240" w:lineRule="auto"/>
      </w:pPr>
      <w:r w:rsidRPr="00F41F80">
        <w:t xml:space="preserve">Of the 273 students who enrolled in the BCC, QCC, and STCC programs between spring 2012 and spring 2014, 50 percent had </w:t>
      </w:r>
      <w:r>
        <w:t xml:space="preserve">completed the program </w:t>
      </w:r>
      <w:r w:rsidRPr="00F41F80">
        <w:t xml:space="preserve">or remained enrolled as of June 2014. A national average across </w:t>
      </w:r>
      <w:proofErr w:type="spellStart"/>
      <w:r w:rsidRPr="00F41F80">
        <w:t>GtC</w:t>
      </w:r>
      <w:proofErr w:type="spellEnd"/>
      <w:r w:rsidRPr="00F41F80">
        <w:t xml:space="preserve"> sites is not available, but </w:t>
      </w:r>
      <w:proofErr w:type="spellStart"/>
      <w:r w:rsidRPr="00F41F80">
        <w:t>GtCNN</w:t>
      </w:r>
      <w:proofErr w:type="spellEnd"/>
      <w:r w:rsidRPr="00F41F80">
        <w:t xml:space="preserve"> staff believed that this rate was similar to most programs in the early stages of implementation. </w:t>
      </w:r>
      <w:r>
        <w:t xml:space="preserve">Depending on the site, enrolled students had earned an average of 10 to 12 college credits, and students who graduated from the program had earned an average of 20 to 26 college credits. </w:t>
      </w:r>
      <w:proofErr w:type="spellStart"/>
      <w:r w:rsidRPr="00F41F80">
        <w:t>GtC</w:t>
      </w:r>
      <w:proofErr w:type="spellEnd"/>
      <w:r w:rsidRPr="00F41F80">
        <w:t xml:space="preserve"> students maintained an average program attendance rate of 86 percent. As of June 2015, </w:t>
      </w:r>
      <w:r>
        <w:t xml:space="preserve">of the 261 students who could be matched to ESE datasets, </w:t>
      </w:r>
      <w:r w:rsidRPr="00F41F80">
        <w:t xml:space="preserve">49 percent had graduated from high school and 26 percent had dropped out of high school. Sites </w:t>
      </w:r>
      <w:r>
        <w:t xml:space="preserve">were </w:t>
      </w:r>
      <w:r w:rsidRPr="00F41F80">
        <w:t>not tracking their students’ post-</w:t>
      </w:r>
      <w:proofErr w:type="spellStart"/>
      <w:r w:rsidRPr="00F41F80">
        <w:t>GtC</w:t>
      </w:r>
      <w:proofErr w:type="spellEnd"/>
      <w:r w:rsidRPr="00F41F80">
        <w:t xml:space="preserve"> outcomes.</w:t>
      </w:r>
    </w:p>
    <w:p w:rsidR="00CB6421" w:rsidRDefault="00CB6421" w:rsidP="00E32616">
      <w:pPr>
        <w:spacing w:line="240" w:lineRule="auto"/>
      </w:pPr>
    </w:p>
    <w:p w:rsidR="000C39B1" w:rsidRDefault="000C39B1" w:rsidP="00E32616">
      <w:pPr>
        <w:spacing w:line="240" w:lineRule="auto"/>
      </w:pPr>
      <w:r>
        <w:t xml:space="preserve">Four factors were assessed for </w:t>
      </w:r>
      <w:proofErr w:type="spellStart"/>
      <w:r>
        <w:t>GtC</w:t>
      </w:r>
      <w:proofErr w:type="spellEnd"/>
      <w:r>
        <w:t xml:space="preserve"> students to determine their relationship with dropping out of high school. The four factors, which were all assessed at the time the student entered the </w:t>
      </w:r>
      <w:proofErr w:type="spellStart"/>
      <w:r>
        <w:t>GtC</w:t>
      </w:r>
      <w:proofErr w:type="spellEnd"/>
      <w:r>
        <w:t xml:space="preserve"> program, were grade point average, the number of credits a student still needed to graduate from high school, and ACCUPLACER reading and mathematics exam scores. The dichotomous dependent variable was whether students had dropped out of high school versus graduating from high school or remaining enrolled in the </w:t>
      </w:r>
      <w:proofErr w:type="spellStart"/>
      <w:r>
        <w:t>GtC</w:t>
      </w:r>
      <w:proofErr w:type="spellEnd"/>
      <w:r>
        <w:t xml:space="preserve"> program or high school. </w:t>
      </w:r>
    </w:p>
    <w:p w:rsidR="000C39B1" w:rsidRDefault="000C39B1" w:rsidP="00E32616">
      <w:pPr>
        <w:spacing w:line="240" w:lineRule="auto"/>
      </w:pPr>
    </w:p>
    <w:p w:rsidR="000C39B1" w:rsidRDefault="000C39B1" w:rsidP="00E32616">
      <w:pPr>
        <w:spacing w:line="240" w:lineRule="auto"/>
      </w:pPr>
      <w:r>
        <w:t xml:space="preserve">Both GPA and high school credit accumulation were significantly associated with the likelihood of dropping out. Specifically, students who needed more credits to graduate were more likely to drop out, and students who had higher GPAs were less likely to drop out. </w:t>
      </w:r>
    </w:p>
    <w:p w:rsidR="000C39B1" w:rsidRDefault="000C39B1" w:rsidP="00E32616">
      <w:pPr>
        <w:spacing w:line="240" w:lineRule="auto"/>
      </w:pPr>
    </w:p>
    <w:p w:rsidR="000C39B1" w:rsidRDefault="000C39B1" w:rsidP="00E32616">
      <w:pPr>
        <w:spacing w:line="240" w:lineRule="auto"/>
      </w:pPr>
      <w:r>
        <w:t xml:space="preserve">Scores on the ACCUPLACER reading test were not significantly associated with the likelihood of dropping out. Scores on the ACCUPLACER mathematics exam, while not statistically significant (p&lt;.07), showed the meaningful trend that each additional point on the exam was associated with a one percentage point reduction in the expected dropout rate. This finding suggests that higher mathematics scores may be a key predictor of success in the </w:t>
      </w:r>
      <w:proofErr w:type="spellStart"/>
      <w:r>
        <w:t>GtC</w:t>
      </w:r>
      <w:proofErr w:type="spellEnd"/>
      <w:r>
        <w:t xml:space="preserve"> programs. The relatively small sample size may have limited the power to detect significant differences.</w:t>
      </w:r>
    </w:p>
    <w:p w:rsidR="000C39B1" w:rsidRDefault="000C39B1" w:rsidP="00E32616">
      <w:pPr>
        <w:spacing w:line="240" w:lineRule="auto"/>
      </w:pPr>
    </w:p>
    <w:p w:rsidR="000C39B1" w:rsidRPr="00E32616" w:rsidRDefault="000C39B1" w:rsidP="00E32616">
      <w:pPr>
        <w:spacing w:line="240" w:lineRule="auto"/>
      </w:pPr>
      <w:r>
        <w:t xml:space="preserve">According to </w:t>
      </w:r>
      <w:proofErr w:type="spellStart"/>
      <w:r>
        <w:t>GtC</w:t>
      </w:r>
      <w:proofErr w:type="spellEnd"/>
      <w:r>
        <w:t xml:space="preserve"> staff and students, program o</w:t>
      </w:r>
      <w:r w:rsidRPr="003E3053">
        <w:t>utcomes</w:t>
      </w:r>
      <w:r>
        <w:t xml:space="preserve"> go beyond a high school diploma and college course credit. Outcomes also include increased competence in socio-emotional learning and professional skills, such as organization, prioritization, self-regulation, motivation, and self-confidence. Staff and students believed that the program had improved student performance on these outcomes, although they were not formally measured. Additional findings from outcome analyses will be presented in the MassGrad evaluation final report, to be posted at </w:t>
      </w:r>
      <w:hyperlink r:id="rId14" w:history="1">
        <w:r w:rsidRPr="00E32616">
          <w:rPr>
            <w:rStyle w:val="Hyperlink"/>
            <w:color w:val="auto"/>
            <w:u w:val="none"/>
          </w:rPr>
          <w:t>http://www.doe.mass.edu/ccr/massgrad/evalReports.html</w:t>
        </w:r>
      </w:hyperlink>
      <w:r w:rsidRPr="00E32616">
        <w:t xml:space="preserve"> in summer 2016.</w:t>
      </w:r>
    </w:p>
    <w:p w:rsidR="000C39B1" w:rsidRPr="00E32616" w:rsidRDefault="000C39B1" w:rsidP="00E32616">
      <w:pPr>
        <w:spacing w:line="240" w:lineRule="auto"/>
      </w:pPr>
      <w:r w:rsidRPr="00E32616">
        <w:br w:type="page"/>
      </w:r>
    </w:p>
    <w:p w:rsidR="000C39B1" w:rsidRDefault="000C39B1" w:rsidP="00E32616">
      <w:pPr>
        <w:spacing w:line="240" w:lineRule="auto"/>
        <w:sectPr w:rsidR="000C39B1" w:rsidSect="00CE30CB">
          <w:footerReference w:type="default" r:id="rId15"/>
          <w:type w:val="continuous"/>
          <w:pgSz w:w="12240" w:h="15840"/>
          <w:pgMar w:top="1440" w:right="1440" w:bottom="1440" w:left="1440" w:header="720" w:footer="720" w:gutter="0"/>
          <w:cols w:num="2" w:space="360" w:equalWidth="0">
            <w:col w:w="4500" w:space="360"/>
            <w:col w:w="4500"/>
          </w:cols>
          <w:docGrid w:linePitch="360"/>
        </w:sectPr>
      </w:pPr>
    </w:p>
    <w:p w:rsidR="001160C2" w:rsidRPr="003F0AA9" w:rsidRDefault="00D04DCF" w:rsidP="00E32616">
      <w:pPr>
        <w:pStyle w:val="Heading2"/>
        <w:spacing w:before="0"/>
      </w:pPr>
      <w:r w:rsidRPr="003F0AA9">
        <w:lastRenderedPageBreak/>
        <w:t>Additional Resources</w:t>
      </w:r>
    </w:p>
    <w:p w:rsidR="001160C2" w:rsidRPr="003F0AA9" w:rsidRDefault="001160C2" w:rsidP="00E32616">
      <w:pPr>
        <w:spacing w:line="240" w:lineRule="auto"/>
      </w:pPr>
      <w:r w:rsidRPr="003F0AA9">
        <w:t> </w:t>
      </w:r>
    </w:p>
    <w:p w:rsidR="001160C2" w:rsidRPr="003F0AA9" w:rsidRDefault="001160C2" w:rsidP="00E32616">
      <w:pPr>
        <w:spacing w:line="240" w:lineRule="auto"/>
      </w:pPr>
      <w:r w:rsidRPr="003F0AA9">
        <w:t xml:space="preserve">The following resources </w:t>
      </w:r>
      <w:r w:rsidR="008E3994" w:rsidRPr="003F0AA9">
        <w:t xml:space="preserve">provide additional information </w:t>
      </w:r>
      <w:r w:rsidRPr="003F0AA9">
        <w:t xml:space="preserve">about </w:t>
      </w:r>
      <w:proofErr w:type="spellStart"/>
      <w:r w:rsidR="00353764" w:rsidRPr="003F0AA9">
        <w:t>GtCNN</w:t>
      </w:r>
      <w:proofErr w:type="spellEnd"/>
      <w:r w:rsidR="00463FEF">
        <w:t xml:space="preserve"> </w:t>
      </w:r>
      <w:r w:rsidR="00353764" w:rsidRPr="003F0AA9">
        <w:t xml:space="preserve">and the MassGrad </w:t>
      </w:r>
      <w:proofErr w:type="spellStart"/>
      <w:r w:rsidR="00353764" w:rsidRPr="003F0AA9">
        <w:t>GtC</w:t>
      </w:r>
      <w:proofErr w:type="spellEnd"/>
      <w:r w:rsidR="00353764" w:rsidRPr="003F0AA9">
        <w:t xml:space="preserve"> program</w:t>
      </w:r>
      <w:r w:rsidR="00463FEF">
        <w:t>s</w:t>
      </w:r>
      <w:r w:rsidRPr="003F0AA9">
        <w:t>.</w:t>
      </w:r>
    </w:p>
    <w:p w:rsidR="003F0AA9" w:rsidRPr="003F0AA9" w:rsidRDefault="003F0AA9" w:rsidP="00E32616">
      <w:pPr>
        <w:spacing w:line="240" w:lineRule="auto"/>
      </w:pPr>
    </w:p>
    <w:p w:rsidR="00CE30CB" w:rsidRPr="003F0AA9" w:rsidRDefault="00353764" w:rsidP="00E32616">
      <w:pPr>
        <w:pStyle w:val="ListParagraph"/>
        <w:numPr>
          <w:ilvl w:val="0"/>
          <w:numId w:val="18"/>
        </w:numPr>
        <w:spacing w:after="120" w:line="240" w:lineRule="auto"/>
        <w:contextualSpacing w:val="0"/>
      </w:pPr>
      <w:r w:rsidRPr="003F0AA9">
        <w:t xml:space="preserve">The Gateway to College National Network, </w:t>
      </w:r>
      <w:hyperlink r:id="rId16" w:history="1">
        <w:r w:rsidRPr="003F0AA9">
          <w:rPr>
            <w:rStyle w:val="Hyperlink"/>
            <w:color w:val="auto"/>
            <w:u w:val="none"/>
          </w:rPr>
          <w:t>http://www.gatewaytocollege.org/</w:t>
        </w:r>
      </w:hyperlink>
      <w:r w:rsidRPr="003F0AA9">
        <w:t>.</w:t>
      </w:r>
    </w:p>
    <w:p w:rsidR="00CE30CB" w:rsidRPr="003F0AA9" w:rsidRDefault="001160C2" w:rsidP="00E32616">
      <w:pPr>
        <w:pStyle w:val="ListParagraph"/>
        <w:numPr>
          <w:ilvl w:val="0"/>
          <w:numId w:val="18"/>
        </w:numPr>
        <w:spacing w:after="120" w:line="240" w:lineRule="auto"/>
        <w:contextualSpacing w:val="0"/>
      </w:pPr>
      <w:r w:rsidRPr="003F0AA9">
        <w:t xml:space="preserve">Gateway to College at Bristol Community College, </w:t>
      </w:r>
      <w:hyperlink r:id="rId17" w:history="1">
        <w:r w:rsidRPr="003F0AA9">
          <w:rPr>
            <w:rStyle w:val="Hyperlink"/>
            <w:color w:val="auto"/>
            <w:u w:val="none"/>
          </w:rPr>
          <w:t>http://www.bristolcc.edu/gateway/</w:t>
        </w:r>
      </w:hyperlink>
    </w:p>
    <w:p w:rsidR="00CE30CB" w:rsidRPr="003F0AA9" w:rsidRDefault="001160C2" w:rsidP="00E32616">
      <w:pPr>
        <w:pStyle w:val="ListParagraph"/>
        <w:numPr>
          <w:ilvl w:val="0"/>
          <w:numId w:val="18"/>
        </w:numPr>
        <w:spacing w:after="120" w:line="240" w:lineRule="auto"/>
        <w:contextualSpacing w:val="0"/>
      </w:pPr>
      <w:r w:rsidRPr="003F0AA9">
        <w:t xml:space="preserve">Gateway to College at </w:t>
      </w:r>
      <w:proofErr w:type="spellStart"/>
      <w:r w:rsidRPr="003F0AA9">
        <w:t>Quinsigamond</w:t>
      </w:r>
      <w:proofErr w:type="spellEnd"/>
      <w:r w:rsidRPr="003F0AA9">
        <w:t xml:space="preserve"> Community College, </w:t>
      </w:r>
      <w:hyperlink r:id="rId18" w:history="1">
        <w:r w:rsidR="00E32616" w:rsidRPr="00E32616">
          <w:rPr>
            <w:rStyle w:val="Hyperlink"/>
            <w:color w:val="auto"/>
            <w:u w:val="none"/>
          </w:rPr>
          <w:t>http://www.qcc.edu/academics/high-school-student-programsoptions/gateway-college</w:t>
        </w:r>
      </w:hyperlink>
      <w:r w:rsidR="00831275" w:rsidRPr="00E32616">
        <w:t>.</w:t>
      </w:r>
    </w:p>
    <w:p w:rsidR="00CE30CB" w:rsidRPr="003F0AA9" w:rsidRDefault="001160C2" w:rsidP="00E32616">
      <w:pPr>
        <w:pStyle w:val="ListParagraph"/>
        <w:numPr>
          <w:ilvl w:val="0"/>
          <w:numId w:val="18"/>
        </w:numPr>
        <w:spacing w:after="120" w:line="240" w:lineRule="auto"/>
        <w:contextualSpacing w:val="0"/>
      </w:pPr>
      <w:r w:rsidRPr="003F0AA9">
        <w:t>Gateway to College at Springfie</w:t>
      </w:r>
      <w:r w:rsidR="008E3994" w:rsidRPr="003F0AA9">
        <w:t xml:space="preserve">ld Technical Community College, </w:t>
      </w:r>
      <w:hyperlink r:id="rId19" w:history="1">
        <w:r w:rsidRPr="003F0AA9">
          <w:rPr>
            <w:rStyle w:val="Hyperlink"/>
            <w:color w:val="auto"/>
            <w:u w:val="none"/>
          </w:rPr>
          <w:t>http://www.stcc.edu/gatewaytocollege/</w:t>
        </w:r>
      </w:hyperlink>
      <w:r w:rsidR="00831275" w:rsidRPr="003F0AA9">
        <w:t>.</w:t>
      </w:r>
    </w:p>
    <w:p w:rsidR="000C39B1" w:rsidRDefault="001160C2" w:rsidP="00E32616">
      <w:pPr>
        <w:pStyle w:val="ListParagraph"/>
        <w:numPr>
          <w:ilvl w:val="0"/>
          <w:numId w:val="18"/>
        </w:numPr>
        <w:spacing w:after="120" w:line="240" w:lineRule="auto"/>
        <w:contextualSpacing w:val="0"/>
      </w:pPr>
      <w:r w:rsidRPr="003F0AA9">
        <w:t>MassGrad Evaluation Brief – Gateway to College 2012,</w:t>
      </w:r>
      <w:r w:rsidR="008E3994" w:rsidRPr="003F0AA9">
        <w:t xml:space="preserve"> </w:t>
      </w:r>
      <w:hyperlink r:id="rId20" w:history="1">
        <w:r w:rsidRPr="000C39B1">
          <w:rPr>
            <w:rStyle w:val="Hyperlink"/>
            <w:color w:val="auto"/>
            <w:u w:val="none"/>
          </w:rPr>
          <w:t>http://www.doe.mass.edu/ccr/massgrad/EvalBrief-2012Gateway.pdf</w:t>
        </w:r>
      </w:hyperlink>
      <w:r w:rsidR="00831275" w:rsidRPr="003F0AA9">
        <w:t>.</w:t>
      </w:r>
    </w:p>
    <w:p w:rsidR="001160C2" w:rsidRDefault="001160C2" w:rsidP="00E32616">
      <w:pPr>
        <w:pStyle w:val="ListParagraph"/>
        <w:numPr>
          <w:ilvl w:val="0"/>
          <w:numId w:val="18"/>
        </w:numPr>
        <w:spacing w:after="120" w:line="240" w:lineRule="auto"/>
        <w:contextualSpacing w:val="0"/>
      </w:pPr>
      <w:r w:rsidRPr="003F0AA9">
        <w:lastRenderedPageBreak/>
        <w:t>MassGrad Evaluation Brief – Gateway to College 2013,</w:t>
      </w:r>
      <w:r w:rsidR="008E3994" w:rsidRPr="003F0AA9">
        <w:t xml:space="preserve"> </w:t>
      </w:r>
      <w:hyperlink r:id="rId21" w:history="1">
        <w:r w:rsidRPr="000C39B1">
          <w:rPr>
            <w:rStyle w:val="Hyperlink"/>
            <w:color w:val="auto"/>
            <w:u w:val="none"/>
          </w:rPr>
          <w:t>http://www.doe.mass.edu/ccr/massgrad/EvalBrief-2013Gateway.pdf</w:t>
        </w:r>
      </w:hyperlink>
      <w:r w:rsidR="00831275" w:rsidRPr="003F0AA9">
        <w:t>.</w:t>
      </w:r>
    </w:p>
    <w:p w:rsidR="00E32616" w:rsidRPr="003F0AA9" w:rsidRDefault="00E32616" w:rsidP="00E32616">
      <w:pPr>
        <w:spacing w:line="240" w:lineRule="auto"/>
      </w:pPr>
    </w:p>
    <w:p w:rsidR="001160C2" w:rsidRPr="00E5552D" w:rsidRDefault="001160C2" w:rsidP="00E32616">
      <w:pPr>
        <w:pStyle w:val="Heading2"/>
        <w:spacing w:before="0"/>
        <w:rPr>
          <w:sz w:val="22"/>
          <w:szCs w:val="22"/>
        </w:rPr>
      </w:pPr>
      <w:r w:rsidRPr="00B006E4">
        <w:t xml:space="preserve">Acknowledgments </w:t>
      </w:r>
    </w:p>
    <w:p w:rsidR="001160C2" w:rsidRDefault="001160C2" w:rsidP="00E32616">
      <w:pPr>
        <w:spacing w:line="240" w:lineRule="auto"/>
      </w:pPr>
    </w:p>
    <w:p w:rsidR="00D04DCF" w:rsidRDefault="001160C2" w:rsidP="00E32616">
      <w:pPr>
        <w:spacing w:line="240" w:lineRule="auto"/>
      </w:pPr>
      <w:r>
        <w:t xml:space="preserve">The contents of this report were developed by the University of Massachusetts Donahue Institute in collaboration with the Massachusetts Department of Elementary and Secondary Education. </w:t>
      </w:r>
      <w:r w:rsidR="00D04DCF">
        <w:t xml:space="preserve">We thank personnel at the Gateway to College programs at Bristol Community College, </w:t>
      </w:r>
      <w:proofErr w:type="spellStart"/>
      <w:r w:rsidR="00D04DCF">
        <w:t>Quinsigamond</w:t>
      </w:r>
      <w:proofErr w:type="spellEnd"/>
      <w:r w:rsidR="00D04DCF">
        <w:t xml:space="preserve"> Community College, and Springfield Technical Community College; their program partners in the Fall River, Worcester, and Springfield school districts; and the Gateway to College National Network.</w:t>
      </w:r>
    </w:p>
    <w:p w:rsidR="00D04DCF" w:rsidRDefault="00D04DCF" w:rsidP="00E32616">
      <w:pPr>
        <w:spacing w:line="240" w:lineRule="auto"/>
      </w:pPr>
    </w:p>
    <w:p w:rsidR="00F275C8" w:rsidRDefault="001160C2" w:rsidP="00E32616">
      <w:pPr>
        <w:spacing w:line="240" w:lineRule="auto"/>
      </w:pPr>
      <w:r>
        <w:t>Grant funding was provided by the U.S. Department of Education. The contents do not necessarily represent the policy of the U.S. Department of Education, and readers should not assume endorsement by the Federal Government.</w:t>
      </w:r>
    </w:p>
    <w:p w:rsidR="00CE30CB" w:rsidRDefault="00CE30CB" w:rsidP="00E32616">
      <w:pPr>
        <w:spacing w:line="240" w:lineRule="auto"/>
        <w:rPr>
          <w:noProof/>
        </w:rPr>
        <w:sectPr w:rsidR="00CE30CB" w:rsidSect="000C39B1">
          <w:type w:val="continuous"/>
          <w:pgSz w:w="12240" w:h="15840"/>
          <w:pgMar w:top="1440" w:right="1440" w:bottom="1440" w:left="1440" w:header="720" w:footer="720" w:gutter="0"/>
          <w:cols w:num="2" w:space="360"/>
          <w:docGrid w:linePitch="360"/>
        </w:sectPr>
      </w:pPr>
    </w:p>
    <w:p w:rsidR="009F4117" w:rsidRDefault="000C39B1" w:rsidP="00E32616">
      <w:pPr>
        <w:spacing w:line="240" w:lineRule="auto"/>
        <w:rPr>
          <w:noProof/>
        </w:rPr>
      </w:pPr>
      <w:r>
        <w:rPr>
          <w:noProof/>
          <w:lang w:eastAsia="zh-CN" w:bidi="km-KH"/>
        </w:rPr>
        <w:lastRenderedPageBreak/>
        <w:drawing>
          <wp:anchor distT="36576" distB="36576" distL="36576" distR="36576" simplePos="0" relativeHeight="251660288" behindDoc="0" locked="0" layoutInCell="1" allowOverlap="1">
            <wp:simplePos x="0" y="0"/>
            <wp:positionH relativeFrom="column">
              <wp:posOffset>1787525</wp:posOffset>
            </wp:positionH>
            <wp:positionV relativeFrom="paragraph">
              <wp:posOffset>122555</wp:posOffset>
            </wp:positionV>
            <wp:extent cx="2138680" cy="834390"/>
            <wp:effectExtent l="19050" t="0" r="0" b="0"/>
            <wp:wrapNone/>
            <wp:docPr id="1" name="Picture 1"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9863" b="10448"/>
                    <a:stretch/>
                  </pic:blipFill>
                  <pic:spPr bwMode="auto">
                    <a:xfrm>
                      <a:off x="0" y="0"/>
                      <a:ext cx="2138680" cy="834390"/>
                    </a:xfrm>
                    <a:prstGeom prst="rect">
                      <a:avLst/>
                    </a:prstGeom>
                    <a:noFill/>
                    <a:ln>
                      <a:noFill/>
                    </a:ln>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0C39B1" w:rsidRDefault="000C39B1" w:rsidP="00E32616">
      <w:pPr>
        <w:spacing w:line="240" w:lineRule="auto"/>
        <w:sectPr w:rsidR="000C39B1" w:rsidSect="000C39B1">
          <w:type w:val="continuous"/>
          <w:pgSz w:w="12240" w:h="15840"/>
          <w:pgMar w:top="1440" w:right="1440" w:bottom="1440" w:left="1440" w:header="720" w:footer="720" w:gutter="0"/>
          <w:cols w:num="2" w:space="720"/>
          <w:docGrid w:linePitch="360"/>
        </w:sectPr>
      </w:pPr>
    </w:p>
    <w:p w:rsidR="00D04DCF" w:rsidRDefault="008E0EF2" w:rsidP="00E32616">
      <w:pPr>
        <w:spacing w:line="240" w:lineRule="auto"/>
      </w:pPr>
      <w:r>
        <w:rPr>
          <w:noProof/>
          <w:lang w:eastAsia="zh-CN" w:bidi="km-KH"/>
        </w:rPr>
        <w:lastRenderedPageBreak/>
        <w:drawing>
          <wp:anchor distT="36576" distB="36576" distL="36576" distR="36576" simplePos="0" relativeHeight="251662336" behindDoc="0" locked="0" layoutInCell="1" allowOverlap="1">
            <wp:simplePos x="0" y="0"/>
            <wp:positionH relativeFrom="column">
              <wp:posOffset>1649095</wp:posOffset>
            </wp:positionH>
            <wp:positionV relativeFrom="paragraph">
              <wp:posOffset>998827</wp:posOffset>
            </wp:positionV>
            <wp:extent cx="2487295" cy="469265"/>
            <wp:effectExtent l="19050" t="0" r="8255" b="0"/>
            <wp:wrapNone/>
            <wp:docPr id="3" name="Picture 3" descr="UMass Donahue Institute: Office of the Pres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87295" cy="469265"/>
                    </a:xfrm>
                    <a:prstGeom prst="rect">
                      <a:avLst/>
                    </a:prstGeom>
                    <a:noFill/>
                    <a:ln>
                      <a:noFill/>
                    </a:ln>
                    <a:effectLst/>
                  </pic:spPr>
                </pic:pic>
              </a:graphicData>
            </a:graphic>
          </wp:anchor>
        </w:drawing>
      </w:r>
    </w:p>
    <w:sectPr w:rsidR="00D04DCF" w:rsidSect="00CE30CB">
      <w:type w:val="continuous"/>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84D91E" w15:done="0"/>
  <w15:commentEx w15:paraId="3E8A5407" w15:done="0"/>
  <w15:commentEx w15:paraId="61B654E8" w15:done="0"/>
  <w15:commentEx w15:paraId="193D0943" w15:done="0"/>
  <w15:commentEx w15:paraId="2DCC3AA1" w15:done="0"/>
  <w15:commentEx w15:paraId="0EF1FC1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F97" w:rsidRDefault="00D96F97" w:rsidP="00E865ED">
      <w:r>
        <w:separator/>
      </w:r>
    </w:p>
    <w:p w:rsidR="00D96F97" w:rsidRDefault="00D96F97" w:rsidP="00E865ED"/>
  </w:endnote>
  <w:endnote w:type="continuationSeparator" w:id="0">
    <w:p w:rsidR="00D96F97" w:rsidRDefault="00D96F97" w:rsidP="00E865ED">
      <w:r>
        <w:continuationSeparator/>
      </w:r>
    </w:p>
    <w:p w:rsidR="00D96F97" w:rsidRDefault="00D96F97" w:rsidP="00E865E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BFB" w:rsidRDefault="00F51BFB" w:rsidP="008E0EF2">
    <w:pPr>
      <w:pStyle w:val="Footer"/>
    </w:pPr>
  </w:p>
  <w:p w:rsidR="005D2380" w:rsidRDefault="005D2380" w:rsidP="00E865E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EF2" w:rsidRDefault="008E0EF2" w:rsidP="008E0EF2">
    <w:pPr>
      <w:pStyle w:val="Footer"/>
      <w:ind w:left="630"/>
    </w:pPr>
    <w:r>
      <w:rPr>
        <w:noProof/>
        <w:sz w:val="24"/>
        <w:szCs w:val="24"/>
        <w:lang w:eastAsia="zh-CN" w:bidi="km-KH"/>
      </w:rPr>
      <w:drawing>
        <wp:anchor distT="36576" distB="36576" distL="36576" distR="36576" simplePos="0" relativeHeight="251659264" behindDoc="0" locked="0" layoutInCell="1" allowOverlap="1">
          <wp:simplePos x="0" y="0"/>
          <wp:positionH relativeFrom="column">
            <wp:posOffset>30480</wp:posOffset>
          </wp:positionH>
          <wp:positionV relativeFrom="paragraph">
            <wp:posOffset>-15827</wp:posOffset>
          </wp:positionV>
          <wp:extent cx="286385" cy="311150"/>
          <wp:effectExtent l="19050" t="0" r="0" b="0"/>
          <wp:wrapNone/>
          <wp:docPr id="4" name="Picture 4" descr="UM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385" cy="311150"/>
                  </a:xfrm>
                  <a:prstGeom prst="rect">
                    <a:avLst/>
                  </a:prstGeom>
                  <a:noFill/>
                  <a:ln>
                    <a:noFill/>
                  </a:ln>
                  <a:effectLst/>
                </pic:spPr>
              </pic:pic>
            </a:graphicData>
          </a:graphic>
        </wp:anchor>
      </w:drawing>
    </w:r>
    <w:r>
      <w:t xml:space="preserve">UMass Donahue Institute </w:t>
    </w:r>
    <w:r>
      <w:br/>
      <w:t>Applied Research &amp; Program Evaluation</w:t>
    </w:r>
    <w:r>
      <w:rPr>
        <w:noProof/>
        <w:sz w:val="24"/>
        <w:szCs w:val="24"/>
      </w:rPr>
      <w:t xml:space="preserve"> </w:t>
    </w:r>
  </w:p>
  <w:p w:rsidR="008E0EF2" w:rsidRDefault="008E0EF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5632473"/>
      <w:docPartObj>
        <w:docPartGallery w:val="Page Numbers (Bottom of Page)"/>
        <w:docPartUnique/>
      </w:docPartObj>
    </w:sdtPr>
    <w:sdtEndPr>
      <w:rPr>
        <w:noProof/>
      </w:rPr>
    </w:sdtEndPr>
    <w:sdtContent>
      <w:p w:rsidR="008E0EF2" w:rsidRDefault="00664158" w:rsidP="007612A0">
        <w:pPr>
          <w:pStyle w:val="Footer"/>
          <w:jc w:val="right"/>
        </w:pPr>
        <w:r>
          <w:fldChar w:fldCharType="begin"/>
        </w:r>
        <w:r w:rsidR="008E0EF2">
          <w:instrText xml:space="preserve"> PAGE   \* MERGEFORMAT </w:instrText>
        </w:r>
        <w:r>
          <w:fldChar w:fldCharType="separate"/>
        </w:r>
        <w:r w:rsidR="004C1704">
          <w:rPr>
            <w:noProof/>
          </w:rPr>
          <w:t>7</w:t>
        </w:r>
        <w:r>
          <w:rPr>
            <w:noProof/>
          </w:rPr>
          <w:fldChar w:fldCharType="end"/>
        </w:r>
      </w:p>
    </w:sdtContent>
  </w:sdt>
  <w:p w:rsidR="008E0EF2" w:rsidRDefault="008E0EF2" w:rsidP="00E865E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F97" w:rsidRDefault="00D96F97" w:rsidP="00E865ED">
      <w:r>
        <w:separator/>
      </w:r>
    </w:p>
    <w:p w:rsidR="00D96F97" w:rsidRDefault="00D96F97" w:rsidP="00E865ED"/>
  </w:footnote>
  <w:footnote w:type="continuationSeparator" w:id="0">
    <w:p w:rsidR="00D96F97" w:rsidRDefault="00D96F97" w:rsidP="00E865ED">
      <w:r>
        <w:continuationSeparator/>
      </w:r>
    </w:p>
    <w:p w:rsidR="00D96F97" w:rsidRDefault="00D96F97" w:rsidP="00E865E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0046"/>
    <w:multiLevelType w:val="hybridMultilevel"/>
    <w:tmpl w:val="33E40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485A94"/>
    <w:multiLevelType w:val="hybridMultilevel"/>
    <w:tmpl w:val="5EC04354"/>
    <w:lvl w:ilvl="0" w:tplc="04090001">
      <w:start w:val="1"/>
      <w:numFmt w:val="bullet"/>
      <w:lvlText w:val=""/>
      <w:lvlJc w:val="left"/>
      <w:pPr>
        <w:ind w:left="417" w:hanging="360"/>
      </w:pPr>
      <w:rPr>
        <w:rFonts w:ascii="Symbol" w:hAnsi="Symbol" w:hint="default"/>
      </w:rPr>
    </w:lvl>
    <w:lvl w:ilvl="1" w:tplc="04090003">
      <w:start w:val="1"/>
      <w:numFmt w:val="bullet"/>
      <w:lvlText w:val="o"/>
      <w:lvlJc w:val="left"/>
      <w:pPr>
        <w:ind w:left="1137" w:hanging="360"/>
      </w:pPr>
      <w:rPr>
        <w:rFonts w:ascii="Courier New" w:hAnsi="Courier New" w:cs="Courier New" w:hint="default"/>
      </w:rPr>
    </w:lvl>
    <w:lvl w:ilvl="2" w:tplc="04090005">
      <w:start w:val="1"/>
      <w:numFmt w:val="bullet"/>
      <w:lvlText w:val=""/>
      <w:lvlJc w:val="left"/>
      <w:pPr>
        <w:ind w:left="1857" w:hanging="360"/>
      </w:pPr>
      <w:rPr>
        <w:rFonts w:ascii="Wingdings" w:hAnsi="Wingdings" w:hint="default"/>
      </w:rPr>
    </w:lvl>
    <w:lvl w:ilvl="3" w:tplc="04090001">
      <w:start w:val="1"/>
      <w:numFmt w:val="bullet"/>
      <w:lvlText w:val=""/>
      <w:lvlJc w:val="left"/>
      <w:pPr>
        <w:ind w:left="2577" w:hanging="360"/>
      </w:pPr>
      <w:rPr>
        <w:rFonts w:ascii="Symbol" w:hAnsi="Symbol" w:hint="default"/>
      </w:rPr>
    </w:lvl>
    <w:lvl w:ilvl="4" w:tplc="04090003">
      <w:start w:val="1"/>
      <w:numFmt w:val="bullet"/>
      <w:lvlText w:val="o"/>
      <w:lvlJc w:val="left"/>
      <w:pPr>
        <w:ind w:left="3297" w:hanging="360"/>
      </w:pPr>
      <w:rPr>
        <w:rFonts w:ascii="Courier New" w:hAnsi="Courier New" w:cs="Courier New" w:hint="default"/>
      </w:rPr>
    </w:lvl>
    <w:lvl w:ilvl="5" w:tplc="04090005">
      <w:start w:val="1"/>
      <w:numFmt w:val="bullet"/>
      <w:lvlText w:val=""/>
      <w:lvlJc w:val="left"/>
      <w:pPr>
        <w:ind w:left="4017" w:hanging="360"/>
      </w:pPr>
      <w:rPr>
        <w:rFonts w:ascii="Wingdings" w:hAnsi="Wingdings" w:hint="default"/>
      </w:rPr>
    </w:lvl>
    <w:lvl w:ilvl="6" w:tplc="04090001">
      <w:start w:val="1"/>
      <w:numFmt w:val="bullet"/>
      <w:lvlText w:val=""/>
      <w:lvlJc w:val="left"/>
      <w:pPr>
        <w:ind w:left="4737" w:hanging="360"/>
      </w:pPr>
      <w:rPr>
        <w:rFonts w:ascii="Symbol" w:hAnsi="Symbol" w:hint="default"/>
      </w:rPr>
    </w:lvl>
    <w:lvl w:ilvl="7" w:tplc="04090003">
      <w:start w:val="1"/>
      <w:numFmt w:val="bullet"/>
      <w:lvlText w:val="o"/>
      <w:lvlJc w:val="left"/>
      <w:pPr>
        <w:ind w:left="5457" w:hanging="360"/>
      </w:pPr>
      <w:rPr>
        <w:rFonts w:ascii="Courier New" w:hAnsi="Courier New" w:cs="Courier New" w:hint="default"/>
      </w:rPr>
    </w:lvl>
    <w:lvl w:ilvl="8" w:tplc="04090005">
      <w:start w:val="1"/>
      <w:numFmt w:val="bullet"/>
      <w:lvlText w:val=""/>
      <w:lvlJc w:val="left"/>
      <w:pPr>
        <w:ind w:left="6177" w:hanging="360"/>
      </w:pPr>
      <w:rPr>
        <w:rFonts w:ascii="Wingdings" w:hAnsi="Wingdings" w:hint="default"/>
      </w:rPr>
    </w:lvl>
  </w:abstractNum>
  <w:abstractNum w:abstractNumId="2">
    <w:nsid w:val="179728E5"/>
    <w:multiLevelType w:val="hybridMultilevel"/>
    <w:tmpl w:val="1C66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256B0A"/>
    <w:multiLevelType w:val="hybridMultilevel"/>
    <w:tmpl w:val="5B2AD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09398B"/>
    <w:multiLevelType w:val="multilevel"/>
    <w:tmpl w:val="8488F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5D2C2B"/>
    <w:multiLevelType w:val="hybridMultilevel"/>
    <w:tmpl w:val="37263B82"/>
    <w:lvl w:ilvl="0" w:tplc="5A38B3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126ECB"/>
    <w:multiLevelType w:val="hybridMultilevel"/>
    <w:tmpl w:val="42FC1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632117"/>
    <w:multiLevelType w:val="hybridMultilevel"/>
    <w:tmpl w:val="47145660"/>
    <w:lvl w:ilvl="0" w:tplc="5A38B3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5C0C6E"/>
    <w:multiLevelType w:val="hybridMultilevel"/>
    <w:tmpl w:val="058C1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A55128"/>
    <w:multiLevelType w:val="hybridMultilevel"/>
    <w:tmpl w:val="5810D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2D33A6F"/>
    <w:multiLevelType w:val="hybridMultilevel"/>
    <w:tmpl w:val="D08E698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3F3576"/>
    <w:multiLevelType w:val="hybridMultilevel"/>
    <w:tmpl w:val="76CE234A"/>
    <w:lvl w:ilvl="0" w:tplc="5A38B3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AA17A9"/>
    <w:multiLevelType w:val="hybridMultilevel"/>
    <w:tmpl w:val="CF7088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191627"/>
    <w:multiLevelType w:val="hybridMultilevel"/>
    <w:tmpl w:val="0E1E19C2"/>
    <w:lvl w:ilvl="0" w:tplc="0DB8D170">
      <w:start w:val="1"/>
      <w:numFmt w:val="decimal"/>
      <w:lvlText w:val="%1."/>
      <w:lvlJc w:val="left"/>
      <w:pPr>
        <w:ind w:left="36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4">
    <w:nsid w:val="5F6C09BF"/>
    <w:multiLevelType w:val="hybridMultilevel"/>
    <w:tmpl w:val="3146BBE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CB42BC"/>
    <w:multiLevelType w:val="hybridMultilevel"/>
    <w:tmpl w:val="BB88E62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F243EE"/>
    <w:multiLevelType w:val="hybridMultilevel"/>
    <w:tmpl w:val="6A1AF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E06E94"/>
    <w:multiLevelType w:val="hybridMultilevel"/>
    <w:tmpl w:val="ED8002C6"/>
    <w:lvl w:ilvl="0" w:tplc="5A38B3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0C0F6D"/>
    <w:multiLevelType w:val="hybridMultilevel"/>
    <w:tmpl w:val="F22C3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9456EE"/>
    <w:multiLevelType w:val="hybridMultilevel"/>
    <w:tmpl w:val="3234524A"/>
    <w:lvl w:ilvl="0" w:tplc="0B88D2C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B220970"/>
    <w:multiLevelType w:val="multilevel"/>
    <w:tmpl w:val="8DD8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6"/>
  </w:num>
  <w:num w:numId="4">
    <w:abstractNumId w:val="1"/>
  </w:num>
  <w:num w:numId="5">
    <w:abstractNumId w:val="4"/>
  </w:num>
  <w:num w:numId="6">
    <w:abstractNumId w:val="1"/>
  </w:num>
  <w:num w:numId="7">
    <w:abstractNumId w:val="0"/>
  </w:num>
  <w:num w:numId="8">
    <w:abstractNumId w:val="12"/>
  </w:num>
  <w:num w:numId="9">
    <w:abstractNumId w:val="10"/>
  </w:num>
  <w:num w:numId="10">
    <w:abstractNumId w:val="15"/>
  </w:num>
  <w:num w:numId="11">
    <w:abstractNumId w:val="14"/>
  </w:num>
  <w:num w:numId="12">
    <w:abstractNumId w:val="7"/>
  </w:num>
  <w:num w:numId="13">
    <w:abstractNumId w:val="17"/>
  </w:num>
  <w:num w:numId="14">
    <w:abstractNumId w:val="5"/>
  </w:num>
  <w:num w:numId="15">
    <w:abstractNumId w:val="11"/>
  </w:num>
  <w:num w:numId="16">
    <w:abstractNumId w:val="20"/>
  </w:num>
  <w:num w:numId="17">
    <w:abstractNumId w:val="19"/>
  </w:num>
  <w:num w:numId="18">
    <w:abstractNumId w:val="13"/>
  </w:num>
  <w:num w:numId="19">
    <w:abstractNumId w:val="18"/>
  </w:num>
  <w:num w:numId="20">
    <w:abstractNumId w:val="6"/>
  </w:num>
  <w:num w:numId="21">
    <w:abstractNumId w:val="8"/>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817F7"/>
    <w:rsid w:val="000027CA"/>
    <w:rsid w:val="00006AB1"/>
    <w:rsid w:val="000224F3"/>
    <w:rsid w:val="0002362E"/>
    <w:rsid w:val="000252CF"/>
    <w:rsid w:val="00026943"/>
    <w:rsid w:val="00031542"/>
    <w:rsid w:val="0003425F"/>
    <w:rsid w:val="00043012"/>
    <w:rsid w:val="00043E69"/>
    <w:rsid w:val="000525EE"/>
    <w:rsid w:val="00071BC3"/>
    <w:rsid w:val="00073965"/>
    <w:rsid w:val="0008168B"/>
    <w:rsid w:val="00091C64"/>
    <w:rsid w:val="000971A3"/>
    <w:rsid w:val="000B33FF"/>
    <w:rsid w:val="000C1339"/>
    <w:rsid w:val="000C39B1"/>
    <w:rsid w:val="000C40FF"/>
    <w:rsid w:val="000C65EC"/>
    <w:rsid w:val="000C732C"/>
    <w:rsid w:val="000D32E5"/>
    <w:rsid w:val="000D36C5"/>
    <w:rsid w:val="000D6C67"/>
    <w:rsid w:val="000E0242"/>
    <w:rsid w:val="000E6733"/>
    <w:rsid w:val="000F43A5"/>
    <w:rsid w:val="000F52EA"/>
    <w:rsid w:val="00100D93"/>
    <w:rsid w:val="00105FC4"/>
    <w:rsid w:val="001117F1"/>
    <w:rsid w:val="00115DE2"/>
    <w:rsid w:val="001160C2"/>
    <w:rsid w:val="00116237"/>
    <w:rsid w:val="00117401"/>
    <w:rsid w:val="00117979"/>
    <w:rsid w:val="00121400"/>
    <w:rsid w:val="001225D5"/>
    <w:rsid w:val="0012405B"/>
    <w:rsid w:val="00134AC6"/>
    <w:rsid w:val="0014087D"/>
    <w:rsid w:val="00140B07"/>
    <w:rsid w:val="001418D6"/>
    <w:rsid w:val="00144B33"/>
    <w:rsid w:val="00146056"/>
    <w:rsid w:val="00162749"/>
    <w:rsid w:val="00175333"/>
    <w:rsid w:val="001763ED"/>
    <w:rsid w:val="001770DE"/>
    <w:rsid w:val="00184D70"/>
    <w:rsid w:val="001856C9"/>
    <w:rsid w:val="00197E5B"/>
    <w:rsid w:val="001A6822"/>
    <w:rsid w:val="001B03E2"/>
    <w:rsid w:val="001B619B"/>
    <w:rsid w:val="001D2003"/>
    <w:rsid w:val="001D30BC"/>
    <w:rsid w:val="001D6A3F"/>
    <w:rsid w:val="001E6264"/>
    <w:rsid w:val="001F199E"/>
    <w:rsid w:val="001F1EB0"/>
    <w:rsid w:val="001F49A7"/>
    <w:rsid w:val="001F5E0B"/>
    <w:rsid w:val="002078FF"/>
    <w:rsid w:val="00221D10"/>
    <w:rsid w:val="002235E8"/>
    <w:rsid w:val="00225B66"/>
    <w:rsid w:val="002279B5"/>
    <w:rsid w:val="0023459A"/>
    <w:rsid w:val="00252648"/>
    <w:rsid w:val="00255D93"/>
    <w:rsid w:val="002624F9"/>
    <w:rsid w:val="002626F9"/>
    <w:rsid w:val="002664FA"/>
    <w:rsid w:val="0027027B"/>
    <w:rsid w:val="002769CA"/>
    <w:rsid w:val="00280DC3"/>
    <w:rsid w:val="00280F57"/>
    <w:rsid w:val="002870E0"/>
    <w:rsid w:val="002E0E58"/>
    <w:rsid w:val="002E67E3"/>
    <w:rsid w:val="00302A5E"/>
    <w:rsid w:val="00304786"/>
    <w:rsid w:val="00316214"/>
    <w:rsid w:val="003168CE"/>
    <w:rsid w:val="003171A7"/>
    <w:rsid w:val="00332C6E"/>
    <w:rsid w:val="0034002C"/>
    <w:rsid w:val="00342507"/>
    <w:rsid w:val="00342EB3"/>
    <w:rsid w:val="00343EBE"/>
    <w:rsid w:val="003444B9"/>
    <w:rsid w:val="00353764"/>
    <w:rsid w:val="0035561D"/>
    <w:rsid w:val="00364183"/>
    <w:rsid w:val="00370685"/>
    <w:rsid w:val="00371FBE"/>
    <w:rsid w:val="00377F4D"/>
    <w:rsid w:val="00380EC2"/>
    <w:rsid w:val="00387131"/>
    <w:rsid w:val="003911D5"/>
    <w:rsid w:val="00391F0E"/>
    <w:rsid w:val="00393967"/>
    <w:rsid w:val="00395369"/>
    <w:rsid w:val="003E3053"/>
    <w:rsid w:val="003E3857"/>
    <w:rsid w:val="003E5225"/>
    <w:rsid w:val="003E70BC"/>
    <w:rsid w:val="003E7694"/>
    <w:rsid w:val="003F0AA9"/>
    <w:rsid w:val="00405FC9"/>
    <w:rsid w:val="004122A4"/>
    <w:rsid w:val="00413032"/>
    <w:rsid w:val="004135A6"/>
    <w:rsid w:val="00415C6F"/>
    <w:rsid w:val="00421F88"/>
    <w:rsid w:val="00425B97"/>
    <w:rsid w:val="00426223"/>
    <w:rsid w:val="0042629F"/>
    <w:rsid w:val="00426D7D"/>
    <w:rsid w:val="004378E8"/>
    <w:rsid w:val="00437B91"/>
    <w:rsid w:val="00445E6D"/>
    <w:rsid w:val="00454B5E"/>
    <w:rsid w:val="00455A11"/>
    <w:rsid w:val="00456E20"/>
    <w:rsid w:val="00460FB8"/>
    <w:rsid w:val="00463226"/>
    <w:rsid w:val="00463F57"/>
    <w:rsid w:val="00463FEF"/>
    <w:rsid w:val="00464591"/>
    <w:rsid w:val="00470C8A"/>
    <w:rsid w:val="00472EBD"/>
    <w:rsid w:val="00473979"/>
    <w:rsid w:val="00485123"/>
    <w:rsid w:val="00487409"/>
    <w:rsid w:val="004A7884"/>
    <w:rsid w:val="004A7E13"/>
    <w:rsid w:val="004B1E35"/>
    <w:rsid w:val="004B51C2"/>
    <w:rsid w:val="004C1704"/>
    <w:rsid w:val="004C3971"/>
    <w:rsid w:val="004D3006"/>
    <w:rsid w:val="004E0BC6"/>
    <w:rsid w:val="004E4C0F"/>
    <w:rsid w:val="004E7440"/>
    <w:rsid w:val="004F237C"/>
    <w:rsid w:val="004F39F3"/>
    <w:rsid w:val="004F4BE3"/>
    <w:rsid w:val="00505BAF"/>
    <w:rsid w:val="00513654"/>
    <w:rsid w:val="00541A8E"/>
    <w:rsid w:val="005455FE"/>
    <w:rsid w:val="00545BD0"/>
    <w:rsid w:val="005772BA"/>
    <w:rsid w:val="00585E6C"/>
    <w:rsid w:val="005860FF"/>
    <w:rsid w:val="005863D8"/>
    <w:rsid w:val="0059411B"/>
    <w:rsid w:val="00594CC9"/>
    <w:rsid w:val="005A5C07"/>
    <w:rsid w:val="005B0A35"/>
    <w:rsid w:val="005B3004"/>
    <w:rsid w:val="005C0CD4"/>
    <w:rsid w:val="005C6F8C"/>
    <w:rsid w:val="005D2380"/>
    <w:rsid w:val="005D6DC1"/>
    <w:rsid w:val="005E6DA8"/>
    <w:rsid w:val="005F22A5"/>
    <w:rsid w:val="005F2E4C"/>
    <w:rsid w:val="006016C5"/>
    <w:rsid w:val="00621339"/>
    <w:rsid w:val="00621C62"/>
    <w:rsid w:val="00624447"/>
    <w:rsid w:val="00632513"/>
    <w:rsid w:val="00644CB4"/>
    <w:rsid w:val="00647BE5"/>
    <w:rsid w:val="00656C67"/>
    <w:rsid w:val="00661731"/>
    <w:rsid w:val="00664158"/>
    <w:rsid w:val="00670669"/>
    <w:rsid w:val="00671182"/>
    <w:rsid w:val="00671A6E"/>
    <w:rsid w:val="006741A1"/>
    <w:rsid w:val="006811D9"/>
    <w:rsid w:val="00684719"/>
    <w:rsid w:val="006A3D6E"/>
    <w:rsid w:val="006A517A"/>
    <w:rsid w:val="006B5173"/>
    <w:rsid w:val="006B54E6"/>
    <w:rsid w:val="006C3636"/>
    <w:rsid w:val="006C6A3F"/>
    <w:rsid w:val="006C7643"/>
    <w:rsid w:val="006D683F"/>
    <w:rsid w:val="006D6CBE"/>
    <w:rsid w:val="006E01AC"/>
    <w:rsid w:val="006E609C"/>
    <w:rsid w:val="006E71BC"/>
    <w:rsid w:val="00701580"/>
    <w:rsid w:val="007068AA"/>
    <w:rsid w:val="00712780"/>
    <w:rsid w:val="00730435"/>
    <w:rsid w:val="007341F2"/>
    <w:rsid w:val="007345CF"/>
    <w:rsid w:val="00734834"/>
    <w:rsid w:val="00744235"/>
    <w:rsid w:val="0075351A"/>
    <w:rsid w:val="00753876"/>
    <w:rsid w:val="00754B5C"/>
    <w:rsid w:val="00757A7E"/>
    <w:rsid w:val="007612A0"/>
    <w:rsid w:val="00766F1C"/>
    <w:rsid w:val="0077110C"/>
    <w:rsid w:val="00774D4F"/>
    <w:rsid w:val="00785890"/>
    <w:rsid w:val="007929BF"/>
    <w:rsid w:val="007A594E"/>
    <w:rsid w:val="007B0A98"/>
    <w:rsid w:val="007B3EDF"/>
    <w:rsid w:val="007E03F9"/>
    <w:rsid w:val="007F1365"/>
    <w:rsid w:val="007F3A4F"/>
    <w:rsid w:val="007F4468"/>
    <w:rsid w:val="007F5FE4"/>
    <w:rsid w:val="00806770"/>
    <w:rsid w:val="00812A58"/>
    <w:rsid w:val="00815C3B"/>
    <w:rsid w:val="008174D8"/>
    <w:rsid w:val="008241C9"/>
    <w:rsid w:val="00831275"/>
    <w:rsid w:val="0083314B"/>
    <w:rsid w:val="00836B67"/>
    <w:rsid w:val="00843AED"/>
    <w:rsid w:val="008534AE"/>
    <w:rsid w:val="00861805"/>
    <w:rsid w:val="008637B5"/>
    <w:rsid w:val="008715D4"/>
    <w:rsid w:val="008817DF"/>
    <w:rsid w:val="008863A3"/>
    <w:rsid w:val="00891244"/>
    <w:rsid w:val="00896287"/>
    <w:rsid w:val="008A12B0"/>
    <w:rsid w:val="008B0A5A"/>
    <w:rsid w:val="008B2395"/>
    <w:rsid w:val="008C2F1F"/>
    <w:rsid w:val="008C69F2"/>
    <w:rsid w:val="008C6B2B"/>
    <w:rsid w:val="008E0332"/>
    <w:rsid w:val="008E0EF2"/>
    <w:rsid w:val="008E3994"/>
    <w:rsid w:val="008F0698"/>
    <w:rsid w:val="008F6B42"/>
    <w:rsid w:val="008F73A1"/>
    <w:rsid w:val="00901E2C"/>
    <w:rsid w:val="0090269A"/>
    <w:rsid w:val="00904216"/>
    <w:rsid w:val="009046B6"/>
    <w:rsid w:val="00907BC2"/>
    <w:rsid w:val="00932D49"/>
    <w:rsid w:val="009420C7"/>
    <w:rsid w:val="009458A8"/>
    <w:rsid w:val="00950900"/>
    <w:rsid w:val="0095102C"/>
    <w:rsid w:val="0095181D"/>
    <w:rsid w:val="00960064"/>
    <w:rsid w:val="00972C7A"/>
    <w:rsid w:val="0097474A"/>
    <w:rsid w:val="00976877"/>
    <w:rsid w:val="00976CAB"/>
    <w:rsid w:val="00977542"/>
    <w:rsid w:val="00982722"/>
    <w:rsid w:val="00985D8A"/>
    <w:rsid w:val="00987CF0"/>
    <w:rsid w:val="009A1CF1"/>
    <w:rsid w:val="009A5311"/>
    <w:rsid w:val="009B650D"/>
    <w:rsid w:val="009D5A5A"/>
    <w:rsid w:val="009E020D"/>
    <w:rsid w:val="009E2653"/>
    <w:rsid w:val="009F12A5"/>
    <w:rsid w:val="009F37AD"/>
    <w:rsid w:val="009F4117"/>
    <w:rsid w:val="009F6852"/>
    <w:rsid w:val="009F6FBA"/>
    <w:rsid w:val="00A00447"/>
    <w:rsid w:val="00A11264"/>
    <w:rsid w:val="00A11EBE"/>
    <w:rsid w:val="00A1795D"/>
    <w:rsid w:val="00A23ED6"/>
    <w:rsid w:val="00A2477F"/>
    <w:rsid w:val="00A30FF3"/>
    <w:rsid w:val="00A35549"/>
    <w:rsid w:val="00A37115"/>
    <w:rsid w:val="00A4407C"/>
    <w:rsid w:val="00A62646"/>
    <w:rsid w:val="00A62C38"/>
    <w:rsid w:val="00A63FC6"/>
    <w:rsid w:val="00A769CC"/>
    <w:rsid w:val="00A7754B"/>
    <w:rsid w:val="00A804EF"/>
    <w:rsid w:val="00A9122D"/>
    <w:rsid w:val="00A96488"/>
    <w:rsid w:val="00AA44BE"/>
    <w:rsid w:val="00AA53F0"/>
    <w:rsid w:val="00AC5642"/>
    <w:rsid w:val="00AC6634"/>
    <w:rsid w:val="00AD2664"/>
    <w:rsid w:val="00AD65D5"/>
    <w:rsid w:val="00AE1CDC"/>
    <w:rsid w:val="00AF2E86"/>
    <w:rsid w:val="00AF3DB2"/>
    <w:rsid w:val="00AF3F0D"/>
    <w:rsid w:val="00AF42DB"/>
    <w:rsid w:val="00AF6449"/>
    <w:rsid w:val="00B034D8"/>
    <w:rsid w:val="00B05A7C"/>
    <w:rsid w:val="00B065A5"/>
    <w:rsid w:val="00B13680"/>
    <w:rsid w:val="00B17EE1"/>
    <w:rsid w:val="00B20171"/>
    <w:rsid w:val="00B22D70"/>
    <w:rsid w:val="00B23C91"/>
    <w:rsid w:val="00B24AF3"/>
    <w:rsid w:val="00B3112C"/>
    <w:rsid w:val="00B40E2C"/>
    <w:rsid w:val="00B41717"/>
    <w:rsid w:val="00B50A19"/>
    <w:rsid w:val="00B50BC8"/>
    <w:rsid w:val="00B50D2E"/>
    <w:rsid w:val="00B5673A"/>
    <w:rsid w:val="00B5712E"/>
    <w:rsid w:val="00B73762"/>
    <w:rsid w:val="00B76F96"/>
    <w:rsid w:val="00B81E9B"/>
    <w:rsid w:val="00B84165"/>
    <w:rsid w:val="00B8530A"/>
    <w:rsid w:val="00B86C8B"/>
    <w:rsid w:val="00B91352"/>
    <w:rsid w:val="00BA0DA0"/>
    <w:rsid w:val="00BA4261"/>
    <w:rsid w:val="00BB12A9"/>
    <w:rsid w:val="00BB3822"/>
    <w:rsid w:val="00BB7F25"/>
    <w:rsid w:val="00BC488F"/>
    <w:rsid w:val="00BC5BB6"/>
    <w:rsid w:val="00BD580A"/>
    <w:rsid w:val="00BD6AF5"/>
    <w:rsid w:val="00BE1E28"/>
    <w:rsid w:val="00BE336A"/>
    <w:rsid w:val="00BE403C"/>
    <w:rsid w:val="00C026A4"/>
    <w:rsid w:val="00C04D0F"/>
    <w:rsid w:val="00C140D0"/>
    <w:rsid w:val="00C430A5"/>
    <w:rsid w:val="00C620BD"/>
    <w:rsid w:val="00C64943"/>
    <w:rsid w:val="00C75A48"/>
    <w:rsid w:val="00CA1EC4"/>
    <w:rsid w:val="00CA6AB7"/>
    <w:rsid w:val="00CA7836"/>
    <w:rsid w:val="00CB0AF3"/>
    <w:rsid w:val="00CB6421"/>
    <w:rsid w:val="00CC36E6"/>
    <w:rsid w:val="00CC3B7F"/>
    <w:rsid w:val="00CD03CE"/>
    <w:rsid w:val="00CD135A"/>
    <w:rsid w:val="00CD372F"/>
    <w:rsid w:val="00CD4FF6"/>
    <w:rsid w:val="00CE30CB"/>
    <w:rsid w:val="00CE589C"/>
    <w:rsid w:val="00CF0DF4"/>
    <w:rsid w:val="00CF3FBF"/>
    <w:rsid w:val="00D04A7D"/>
    <w:rsid w:val="00D04DCF"/>
    <w:rsid w:val="00D10C1D"/>
    <w:rsid w:val="00D120BC"/>
    <w:rsid w:val="00D14D1C"/>
    <w:rsid w:val="00D1521A"/>
    <w:rsid w:val="00D25026"/>
    <w:rsid w:val="00D26051"/>
    <w:rsid w:val="00D3792B"/>
    <w:rsid w:val="00D431A6"/>
    <w:rsid w:val="00D72A23"/>
    <w:rsid w:val="00D85C74"/>
    <w:rsid w:val="00D96F97"/>
    <w:rsid w:val="00DA1DDC"/>
    <w:rsid w:val="00DC2B24"/>
    <w:rsid w:val="00DC51F4"/>
    <w:rsid w:val="00DE2AAF"/>
    <w:rsid w:val="00DF38FF"/>
    <w:rsid w:val="00DF5B35"/>
    <w:rsid w:val="00E00885"/>
    <w:rsid w:val="00E054EE"/>
    <w:rsid w:val="00E05AFD"/>
    <w:rsid w:val="00E168BE"/>
    <w:rsid w:val="00E22E37"/>
    <w:rsid w:val="00E279EB"/>
    <w:rsid w:val="00E3215B"/>
    <w:rsid w:val="00E32616"/>
    <w:rsid w:val="00E36B21"/>
    <w:rsid w:val="00E477B8"/>
    <w:rsid w:val="00E55CB9"/>
    <w:rsid w:val="00E57D81"/>
    <w:rsid w:val="00E6348B"/>
    <w:rsid w:val="00E67388"/>
    <w:rsid w:val="00E74A66"/>
    <w:rsid w:val="00E817F7"/>
    <w:rsid w:val="00E84343"/>
    <w:rsid w:val="00E8581B"/>
    <w:rsid w:val="00E865ED"/>
    <w:rsid w:val="00E86846"/>
    <w:rsid w:val="00E9046A"/>
    <w:rsid w:val="00E948BA"/>
    <w:rsid w:val="00E96EFD"/>
    <w:rsid w:val="00EA6AED"/>
    <w:rsid w:val="00EA7D09"/>
    <w:rsid w:val="00EB1DF1"/>
    <w:rsid w:val="00EC517E"/>
    <w:rsid w:val="00ED27F1"/>
    <w:rsid w:val="00F03AD2"/>
    <w:rsid w:val="00F127E8"/>
    <w:rsid w:val="00F14F2A"/>
    <w:rsid w:val="00F17B42"/>
    <w:rsid w:val="00F207EB"/>
    <w:rsid w:val="00F24BF5"/>
    <w:rsid w:val="00F271F4"/>
    <w:rsid w:val="00F275C8"/>
    <w:rsid w:val="00F357B0"/>
    <w:rsid w:val="00F479B0"/>
    <w:rsid w:val="00F51BFB"/>
    <w:rsid w:val="00F523EE"/>
    <w:rsid w:val="00F53976"/>
    <w:rsid w:val="00F55E77"/>
    <w:rsid w:val="00F6570B"/>
    <w:rsid w:val="00F658CF"/>
    <w:rsid w:val="00F66C01"/>
    <w:rsid w:val="00F70B00"/>
    <w:rsid w:val="00F77DFF"/>
    <w:rsid w:val="00F85B0C"/>
    <w:rsid w:val="00F87C1C"/>
    <w:rsid w:val="00F92A2D"/>
    <w:rsid w:val="00F93315"/>
    <w:rsid w:val="00F96F65"/>
    <w:rsid w:val="00FA0B9D"/>
    <w:rsid w:val="00FA792C"/>
    <w:rsid w:val="00FB0E29"/>
    <w:rsid w:val="00FB273A"/>
    <w:rsid w:val="00FB4ABD"/>
    <w:rsid w:val="00FC1272"/>
    <w:rsid w:val="00FC1B75"/>
    <w:rsid w:val="00FD0F91"/>
    <w:rsid w:val="00FD2CBE"/>
    <w:rsid w:val="00FD399B"/>
    <w:rsid w:val="00FD7752"/>
    <w:rsid w:val="00FE0842"/>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5ED"/>
    <w:pPr>
      <w:spacing w:after="0"/>
    </w:pPr>
    <w:rPr>
      <w:rFonts w:ascii="Times New Roman" w:hAnsi="Times New Roman" w:cs="Times New Roman"/>
    </w:rPr>
  </w:style>
  <w:style w:type="paragraph" w:styleId="Heading2">
    <w:name w:val="heading 2"/>
    <w:basedOn w:val="Normal"/>
    <w:next w:val="Normal"/>
    <w:link w:val="Heading2Char"/>
    <w:uiPriority w:val="9"/>
    <w:unhideWhenUsed/>
    <w:qFormat/>
    <w:rsid w:val="009F4117"/>
    <w:pPr>
      <w:keepNext/>
      <w:keepLines/>
      <w:spacing w:before="240" w:line="240" w:lineRule="auto"/>
      <w:outlineLvl w:val="1"/>
    </w:pPr>
    <w:rPr>
      <w:rFonts w:eastAsiaTheme="majorEastAsia" w:cstheme="majorBidi"/>
      <w:b/>
      <w:bCs/>
      <w:color w:val="8A0000"/>
      <w:sz w:val="28"/>
      <w:szCs w:val="26"/>
    </w:rPr>
  </w:style>
  <w:style w:type="paragraph" w:styleId="Heading3">
    <w:name w:val="heading 3"/>
    <w:basedOn w:val="Normal"/>
    <w:next w:val="Normal"/>
    <w:link w:val="Heading3Char"/>
    <w:uiPriority w:val="9"/>
    <w:unhideWhenUsed/>
    <w:qFormat/>
    <w:rsid w:val="00B20171"/>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24F3"/>
    <w:pPr>
      <w:spacing w:after="0" w:line="240" w:lineRule="auto"/>
    </w:pPr>
  </w:style>
  <w:style w:type="character" w:customStyle="1" w:styleId="Heading2Char">
    <w:name w:val="Heading 2 Char"/>
    <w:basedOn w:val="DefaultParagraphFont"/>
    <w:link w:val="Heading2"/>
    <w:uiPriority w:val="9"/>
    <w:rsid w:val="009F4117"/>
    <w:rPr>
      <w:rFonts w:ascii="Times New Roman" w:eastAsiaTheme="majorEastAsia" w:hAnsi="Times New Roman" w:cstheme="majorBidi"/>
      <w:b/>
      <w:bCs/>
      <w:color w:val="8A0000"/>
      <w:sz w:val="28"/>
      <w:szCs w:val="26"/>
    </w:rPr>
  </w:style>
  <w:style w:type="paragraph" w:styleId="Header">
    <w:name w:val="header"/>
    <w:basedOn w:val="Normal"/>
    <w:link w:val="HeaderChar"/>
    <w:uiPriority w:val="99"/>
    <w:unhideWhenUsed/>
    <w:rsid w:val="00B50D2E"/>
    <w:pPr>
      <w:tabs>
        <w:tab w:val="center" w:pos="4680"/>
        <w:tab w:val="right" w:pos="9360"/>
      </w:tabs>
      <w:spacing w:line="240" w:lineRule="auto"/>
    </w:pPr>
  </w:style>
  <w:style w:type="character" w:customStyle="1" w:styleId="HeaderChar">
    <w:name w:val="Header Char"/>
    <w:basedOn w:val="DefaultParagraphFont"/>
    <w:link w:val="Header"/>
    <w:uiPriority w:val="99"/>
    <w:rsid w:val="00B50D2E"/>
    <w:rPr>
      <w:rFonts w:ascii="Times New Roman" w:hAnsi="Times New Roman" w:cs="Times New Roman"/>
    </w:rPr>
  </w:style>
  <w:style w:type="paragraph" w:styleId="Footer">
    <w:name w:val="footer"/>
    <w:basedOn w:val="Normal"/>
    <w:link w:val="FooterChar"/>
    <w:uiPriority w:val="99"/>
    <w:unhideWhenUsed/>
    <w:rsid w:val="00B50D2E"/>
    <w:pPr>
      <w:tabs>
        <w:tab w:val="center" w:pos="4680"/>
        <w:tab w:val="right" w:pos="9360"/>
      </w:tabs>
      <w:spacing w:line="240" w:lineRule="auto"/>
    </w:pPr>
  </w:style>
  <w:style w:type="character" w:customStyle="1" w:styleId="FooterChar">
    <w:name w:val="Footer Char"/>
    <w:basedOn w:val="DefaultParagraphFont"/>
    <w:link w:val="Footer"/>
    <w:uiPriority w:val="99"/>
    <w:rsid w:val="00B50D2E"/>
    <w:rPr>
      <w:rFonts w:ascii="Times New Roman" w:hAnsi="Times New Roman" w:cs="Times New Roman"/>
    </w:rPr>
  </w:style>
  <w:style w:type="paragraph" w:styleId="ListParagraph">
    <w:name w:val="List Paragraph"/>
    <w:basedOn w:val="Normal"/>
    <w:uiPriority w:val="99"/>
    <w:qFormat/>
    <w:rsid w:val="00C620BD"/>
    <w:pPr>
      <w:ind w:left="720"/>
      <w:contextualSpacing/>
    </w:pPr>
  </w:style>
  <w:style w:type="character" w:styleId="CommentReference">
    <w:name w:val="annotation reference"/>
    <w:basedOn w:val="DefaultParagraphFont"/>
    <w:uiPriority w:val="99"/>
    <w:semiHidden/>
    <w:unhideWhenUsed/>
    <w:rsid w:val="00B86C8B"/>
    <w:rPr>
      <w:sz w:val="16"/>
      <w:szCs w:val="16"/>
    </w:rPr>
  </w:style>
  <w:style w:type="paragraph" w:styleId="CommentText">
    <w:name w:val="annotation text"/>
    <w:basedOn w:val="Normal"/>
    <w:link w:val="CommentTextChar"/>
    <w:uiPriority w:val="99"/>
    <w:unhideWhenUsed/>
    <w:rsid w:val="00B86C8B"/>
    <w:pPr>
      <w:spacing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B86C8B"/>
    <w:rPr>
      <w:sz w:val="20"/>
      <w:szCs w:val="20"/>
    </w:rPr>
  </w:style>
  <w:style w:type="paragraph" w:styleId="BalloonText">
    <w:name w:val="Balloon Text"/>
    <w:basedOn w:val="Normal"/>
    <w:link w:val="BalloonTextChar"/>
    <w:uiPriority w:val="99"/>
    <w:semiHidden/>
    <w:unhideWhenUsed/>
    <w:rsid w:val="00B86C8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C8B"/>
    <w:rPr>
      <w:rFonts w:ascii="Tahoma" w:hAnsi="Tahoma" w:cs="Tahoma"/>
      <w:sz w:val="16"/>
      <w:szCs w:val="16"/>
    </w:rPr>
  </w:style>
  <w:style w:type="paragraph" w:styleId="NormalWeb">
    <w:name w:val="Normal (Web)"/>
    <w:basedOn w:val="Normal"/>
    <w:uiPriority w:val="99"/>
    <w:semiHidden/>
    <w:unhideWhenUsed/>
    <w:rsid w:val="00F523EE"/>
    <w:pPr>
      <w:spacing w:before="100" w:beforeAutospacing="1" w:after="100" w:afterAutospacing="1" w:line="240" w:lineRule="auto"/>
    </w:pPr>
    <w:rPr>
      <w:rFonts w:eastAsia="Times New Roman"/>
      <w:sz w:val="24"/>
      <w:szCs w:val="24"/>
    </w:rPr>
  </w:style>
  <w:style w:type="character" w:customStyle="1" w:styleId="apple-converted-space">
    <w:name w:val="apple-converted-space"/>
    <w:basedOn w:val="DefaultParagraphFont"/>
    <w:rsid w:val="00F523EE"/>
  </w:style>
  <w:style w:type="character" w:customStyle="1" w:styleId="em">
    <w:name w:val="em"/>
    <w:basedOn w:val="DefaultParagraphFont"/>
    <w:rsid w:val="00F523EE"/>
  </w:style>
  <w:style w:type="character" w:styleId="Hyperlink">
    <w:name w:val="Hyperlink"/>
    <w:basedOn w:val="DefaultParagraphFont"/>
    <w:uiPriority w:val="99"/>
    <w:unhideWhenUsed/>
    <w:rsid w:val="00F523EE"/>
    <w:rPr>
      <w:color w:val="0000FF"/>
      <w:u w:val="single"/>
    </w:rPr>
  </w:style>
  <w:style w:type="character" w:styleId="Strong">
    <w:name w:val="Strong"/>
    <w:basedOn w:val="DefaultParagraphFont"/>
    <w:uiPriority w:val="22"/>
    <w:qFormat/>
    <w:rsid w:val="00FB4ABD"/>
    <w:rPr>
      <w:b/>
      <w:bCs/>
    </w:rPr>
  </w:style>
  <w:style w:type="paragraph" w:styleId="FootnoteText">
    <w:name w:val="footnote text"/>
    <w:basedOn w:val="Normal"/>
    <w:link w:val="FootnoteTextChar"/>
    <w:uiPriority w:val="99"/>
    <w:unhideWhenUsed/>
    <w:rsid w:val="00904216"/>
    <w:pPr>
      <w:spacing w:line="240" w:lineRule="auto"/>
    </w:pPr>
    <w:rPr>
      <w:sz w:val="20"/>
      <w:szCs w:val="20"/>
    </w:rPr>
  </w:style>
  <w:style w:type="character" w:customStyle="1" w:styleId="FootnoteTextChar">
    <w:name w:val="Footnote Text Char"/>
    <w:basedOn w:val="DefaultParagraphFont"/>
    <w:link w:val="FootnoteText"/>
    <w:uiPriority w:val="99"/>
    <w:rsid w:val="00904216"/>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904216"/>
    <w:rPr>
      <w:vertAlign w:val="superscript"/>
    </w:rPr>
  </w:style>
  <w:style w:type="paragraph" w:styleId="CommentSubject">
    <w:name w:val="annotation subject"/>
    <w:basedOn w:val="CommentText"/>
    <w:next w:val="CommentText"/>
    <w:link w:val="CommentSubjectChar"/>
    <w:uiPriority w:val="99"/>
    <w:semiHidden/>
    <w:unhideWhenUsed/>
    <w:rsid w:val="007B3EDF"/>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7B3EDF"/>
    <w:rPr>
      <w:rFonts w:ascii="Times New Roman" w:hAnsi="Times New Roman" w:cs="Times New Roman"/>
      <w:b/>
      <w:bCs/>
      <w:sz w:val="20"/>
      <w:szCs w:val="20"/>
    </w:rPr>
  </w:style>
  <w:style w:type="character" w:customStyle="1" w:styleId="Heading3Char">
    <w:name w:val="Heading 3 Char"/>
    <w:basedOn w:val="DefaultParagraphFont"/>
    <w:link w:val="Heading3"/>
    <w:uiPriority w:val="9"/>
    <w:rsid w:val="00B20171"/>
    <w:rPr>
      <w:rFonts w:ascii="Times New Roman" w:hAnsi="Times New Roman" w:cs="Times New Roman"/>
      <w:b/>
    </w:rPr>
  </w:style>
  <w:style w:type="paragraph" w:styleId="Revision">
    <w:name w:val="Revision"/>
    <w:hidden/>
    <w:uiPriority w:val="99"/>
    <w:semiHidden/>
    <w:rsid w:val="001418D6"/>
    <w:pPr>
      <w:spacing w:after="0" w:line="240" w:lineRule="auto"/>
    </w:pPr>
    <w:rPr>
      <w:rFonts w:ascii="Times New Roman" w:hAnsi="Times New Roman" w:cs="Times New Roman"/>
    </w:rPr>
  </w:style>
  <w:style w:type="paragraph" w:styleId="EndnoteText">
    <w:name w:val="endnote text"/>
    <w:basedOn w:val="Normal"/>
    <w:link w:val="EndnoteTextChar"/>
    <w:uiPriority w:val="99"/>
    <w:semiHidden/>
    <w:unhideWhenUsed/>
    <w:rsid w:val="00DF5B35"/>
    <w:pPr>
      <w:spacing w:line="240" w:lineRule="auto"/>
    </w:pPr>
    <w:rPr>
      <w:sz w:val="20"/>
      <w:szCs w:val="20"/>
    </w:rPr>
  </w:style>
  <w:style w:type="character" w:customStyle="1" w:styleId="EndnoteTextChar">
    <w:name w:val="Endnote Text Char"/>
    <w:basedOn w:val="DefaultParagraphFont"/>
    <w:link w:val="EndnoteText"/>
    <w:uiPriority w:val="99"/>
    <w:semiHidden/>
    <w:rsid w:val="00DF5B35"/>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DF5B35"/>
    <w:rPr>
      <w:vertAlign w:val="superscript"/>
    </w:rPr>
  </w:style>
  <w:style w:type="character" w:styleId="FollowedHyperlink">
    <w:name w:val="FollowedHyperlink"/>
    <w:basedOn w:val="DefaultParagraphFont"/>
    <w:uiPriority w:val="99"/>
    <w:semiHidden/>
    <w:unhideWhenUsed/>
    <w:rsid w:val="008E3994"/>
    <w:rPr>
      <w:color w:val="800080" w:themeColor="followedHyperlink"/>
      <w:u w:val="single"/>
    </w:rPr>
  </w:style>
  <w:style w:type="paragraph" w:styleId="Title">
    <w:name w:val="Title"/>
    <w:basedOn w:val="Normal"/>
    <w:next w:val="Normal"/>
    <w:link w:val="TitleChar"/>
    <w:uiPriority w:val="10"/>
    <w:qFormat/>
    <w:rsid w:val="00E865ED"/>
    <w:pPr>
      <w:widowControl w:val="0"/>
      <w:jc w:val="center"/>
    </w:pPr>
    <w:rPr>
      <w:b/>
      <w:bCs/>
      <w:color w:val="8A0000"/>
      <w:sz w:val="32"/>
      <w:szCs w:val="32"/>
    </w:rPr>
  </w:style>
  <w:style w:type="character" w:customStyle="1" w:styleId="TitleChar">
    <w:name w:val="Title Char"/>
    <w:basedOn w:val="DefaultParagraphFont"/>
    <w:link w:val="Title"/>
    <w:uiPriority w:val="10"/>
    <w:rsid w:val="00E865ED"/>
    <w:rPr>
      <w:rFonts w:ascii="Times New Roman" w:hAnsi="Times New Roman" w:cs="Times New Roman"/>
      <w:b/>
      <w:bCs/>
      <w:color w:val="8A0000"/>
      <w:sz w:val="32"/>
      <w:szCs w:val="32"/>
    </w:rPr>
  </w:style>
  <w:style w:type="paragraph" w:styleId="Subtitle">
    <w:name w:val="Subtitle"/>
    <w:basedOn w:val="Normal"/>
    <w:next w:val="Normal"/>
    <w:link w:val="SubtitleChar"/>
    <w:uiPriority w:val="11"/>
    <w:qFormat/>
    <w:rsid w:val="00E865ED"/>
    <w:pPr>
      <w:widowControl w:val="0"/>
      <w:jc w:val="center"/>
    </w:pPr>
    <w:rPr>
      <w:b/>
      <w:bCs/>
    </w:rPr>
  </w:style>
  <w:style w:type="character" w:customStyle="1" w:styleId="SubtitleChar">
    <w:name w:val="Subtitle Char"/>
    <w:basedOn w:val="DefaultParagraphFont"/>
    <w:link w:val="Subtitle"/>
    <w:uiPriority w:val="11"/>
    <w:rsid w:val="00E865ED"/>
    <w:rPr>
      <w:rFonts w:ascii="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5ED"/>
    <w:pPr>
      <w:spacing w:after="0"/>
    </w:pPr>
    <w:rPr>
      <w:rFonts w:ascii="Times New Roman" w:hAnsi="Times New Roman" w:cs="Times New Roman"/>
    </w:rPr>
  </w:style>
  <w:style w:type="paragraph" w:styleId="Heading2">
    <w:name w:val="heading 2"/>
    <w:basedOn w:val="Normal"/>
    <w:next w:val="Normal"/>
    <w:link w:val="Heading2Char"/>
    <w:uiPriority w:val="9"/>
    <w:unhideWhenUsed/>
    <w:qFormat/>
    <w:rsid w:val="009F4117"/>
    <w:pPr>
      <w:keepNext/>
      <w:keepLines/>
      <w:spacing w:before="240" w:line="240" w:lineRule="auto"/>
      <w:outlineLvl w:val="1"/>
    </w:pPr>
    <w:rPr>
      <w:rFonts w:eastAsiaTheme="majorEastAsia" w:cstheme="majorBidi"/>
      <w:b/>
      <w:bCs/>
      <w:color w:val="8A0000"/>
      <w:sz w:val="28"/>
      <w:szCs w:val="26"/>
    </w:rPr>
  </w:style>
  <w:style w:type="paragraph" w:styleId="Heading3">
    <w:name w:val="heading 3"/>
    <w:basedOn w:val="Normal"/>
    <w:next w:val="Normal"/>
    <w:link w:val="Heading3Char"/>
    <w:uiPriority w:val="9"/>
    <w:unhideWhenUsed/>
    <w:qFormat/>
    <w:rsid w:val="00B20171"/>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24F3"/>
    <w:pPr>
      <w:spacing w:after="0" w:line="240" w:lineRule="auto"/>
    </w:pPr>
  </w:style>
  <w:style w:type="character" w:customStyle="1" w:styleId="Heading2Char">
    <w:name w:val="Heading 2 Char"/>
    <w:basedOn w:val="DefaultParagraphFont"/>
    <w:link w:val="Heading2"/>
    <w:uiPriority w:val="9"/>
    <w:rsid w:val="009F4117"/>
    <w:rPr>
      <w:rFonts w:ascii="Times New Roman" w:eastAsiaTheme="majorEastAsia" w:hAnsi="Times New Roman" w:cstheme="majorBidi"/>
      <w:b/>
      <w:bCs/>
      <w:color w:val="8A0000"/>
      <w:sz w:val="28"/>
      <w:szCs w:val="26"/>
    </w:rPr>
  </w:style>
  <w:style w:type="paragraph" w:styleId="Header">
    <w:name w:val="header"/>
    <w:basedOn w:val="Normal"/>
    <w:link w:val="HeaderChar"/>
    <w:uiPriority w:val="99"/>
    <w:unhideWhenUsed/>
    <w:rsid w:val="00B50D2E"/>
    <w:pPr>
      <w:tabs>
        <w:tab w:val="center" w:pos="4680"/>
        <w:tab w:val="right" w:pos="9360"/>
      </w:tabs>
      <w:spacing w:line="240" w:lineRule="auto"/>
    </w:pPr>
  </w:style>
  <w:style w:type="character" w:customStyle="1" w:styleId="HeaderChar">
    <w:name w:val="Header Char"/>
    <w:basedOn w:val="DefaultParagraphFont"/>
    <w:link w:val="Header"/>
    <w:uiPriority w:val="99"/>
    <w:rsid w:val="00B50D2E"/>
    <w:rPr>
      <w:rFonts w:ascii="Times New Roman" w:hAnsi="Times New Roman" w:cs="Times New Roman"/>
    </w:rPr>
  </w:style>
  <w:style w:type="paragraph" w:styleId="Footer">
    <w:name w:val="footer"/>
    <w:basedOn w:val="Normal"/>
    <w:link w:val="FooterChar"/>
    <w:uiPriority w:val="99"/>
    <w:unhideWhenUsed/>
    <w:rsid w:val="00B50D2E"/>
    <w:pPr>
      <w:tabs>
        <w:tab w:val="center" w:pos="4680"/>
        <w:tab w:val="right" w:pos="9360"/>
      </w:tabs>
      <w:spacing w:line="240" w:lineRule="auto"/>
    </w:pPr>
  </w:style>
  <w:style w:type="character" w:customStyle="1" w:styleId="FooterChar">
    <w:name w:val="Footer Char"/>
    <w:basedOn w:val="DefaultParagraphFont"/>
    <w:link w:val="Footer"/>
    <w:uiPriority w:val="99"/>
    <w:rsid w:val="00B50D2E"/>
    <w:rPr>
      <w:rFonts w:ascii="Times New Roman" w:hAnsi="Times New Roman" w:cs="Times New Roman"/>
    </w:rPr>
  </w:style>
  <w:style w:type="paragraph" w:styleId="ListParagraph">
    <w:name w:val="List Paragraph"/>
    <w:basedOn w:val="Normal"/>
    <w:uiPriority w:val="99"/>
    <w:qFormat/>
    <w:rsid w:val="00C620BD"/>
    <w:pPr>
      <w:ind w:left="720"/>
      <w:contextualSpacing/>
    </w:pPr>
  </w:style>
  <w:style w:type="character" w:styleId="CommentReference">
    <w:name w:val="annotation reference"/>
    <w:basedOn w:val="DefaultParagraphFont"/>
    <w:uiPriority w:val="99"/>
    <w:semiHidden/>
    <w:unhideWhenUsed/>
    <w:rsid w:val="00B86C8B"/>
    <w:rPr>
      <w:sz w:val="16"/>
      <w:szCs w:val="16"/>
    </w:rPr>
  </w:style>
  <w:style w:type="paragraph" w:styleId="CommentText">
    <w:name w:val="annotation text"/>
    <w:basedOn w:val="Normal"/>
    <w:link w:val="CommentTextChar"/>
    <w:uiPriority w:val="99"/>
    <w:unhideWhenUsed/>
    <w:rsid w:val="00B86C8B"/>
    <w:pPr>
      <w:spacing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B86C8B"/>
    <w:rPr>
      <w:sz w:val="20"/>
      <w:szCs w:val="20"/>
    </w:rPr>
  </w:style>
  <w:style w:type="paragraph" w:styleId="BalloonText">
    <w:name w:val="Balloon Text"/>
    <w:basedOn w:val="Normal"/>
    <w:link w:val="BalloonTextChar"/>
    <w:uiPriority w:val="99"/>
    <w:semiHidden/>
    <w:unhideWhenUsed/>
    <w:rsid w:val="00B86C8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C8B"/>
    <w:rPr>
      <w:rFonts w:ascii="Tahoma" w:hAnsi="Tahoma" w:cs="Tahoma"/>
      <w:sz w:val="16"/>
      <w:szCs w:val="16"/>
    </w:rPr>
  </w:style>
  <w:style w:type="paragraph" w:styleId="NormalWeb">
    <w:name w:val="Normal (Web)"/>
    <w:basedOn w:val="Normal"/>
    <w:uiPriority w:val="99"/>
    <w:semiHidden/>
    <w:unhideWhenUsed/>
    <w:rsid w:val="00F523EE"/>
    <w:pPr>
      <w:spacing w:before="100" w:beforeAutospacing="1" w:after="100" w:afterAutospacing="1" w:line="240" w:lineRule="auto"/>
    </w:pPr>
    <w:rPr>
      <w:rFonts w:eastAsia="Times New Roman"/>
      <w:sz w:val="24"/>
      <w:szCs w:val="24"/>
    </w:rPr>
  </w:style>
  <w:style w:type="character" w:customStyle="1" w:styleId="apple-converted-space">
    <w:name w:val="apple-converted-space"/>
    <w:basedOn w:val="DefaultParagraphFont"/>
    <w:rsid w:val="00F523EE"/>
  </w:style>
  <w:style w:type="character" w:customStyle="1" w:styleId="em">
    <w:name w:val="em"/>
    <w:basedOn w:val="DefaultParagraphFont"/>
    <w:rsid w:val="00F523EE"/>
  </w:style>
  <w:style w:type="character" w:styleId="Hyperlink">
    <w:name w:val="Hyperlink"/>
    <w:basedOn w:val="DefaultParagraphFont"/>
    <w:uiPriority w:val="99"/>
    <w:unhideWhenUsed/>
    <w:rsid w:val="00F523EE"/>
    <w:rPr>
      <w:color w:val="0000FF"/>
      <w:u w:val="single"/>
    </w:rPr>
  </w:style>
  <w:style w:type="character" w:styleId="Strong">
    <w:name w:val="Strong"/>
    <w:basedOn w:val="DefaultParagraphFont"/>
    <w:uiPriority w:val="22"/>
    <w:qFormat/>
    <w:rsid w:val="00FB4ABD"/>
    <w:rPr>
      <w:b/>
      <w:bCs/>
    </w:rPr>
  </w:style>
  <w:style w:type="paragraph" w:styleId="FootnoteText">
    <w:name w:val="footnote text"/>
    <w:basedOn w:val="Normal"/>
    <w:link w:val="FootnoteTextChar"/>
    <w:uiPriority w:val="99"/>
    <w:unhideWhenUsed/>
    <w:rsid w:val="00904216"/>
    <w:pPr>
      <w:spacing w:line="240" w:lineRule="auto"/>
    </w:pPr>
    <w:rPr>
      <w:sz w:val="20"/>
      <w:szCs w:val="20"/>
    </w:rPr>
  </w:style>
  <w:style w:type="character" w:customStyle="1" w:styleId="FootnoteTextChar">
    <w:name w:val="Footnote Text Char"/>
    <w:basedOn w:val="DefaultParagraphFont"/>
    <w:link w:val="FootnoteText"/>
    <w:uiPriority w:val="99"/>
    <w:rsid w:val="00904216"/>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904216"/>
    <w:rPr>
      <w:vertAlign w:val="superscript"/>
    </w:rPr>
  </w:style>
  <w:style w:type="paragraph" w:styleId="CommentSubject">
    <w:name w:val="annotation subject"/>
    <w:basedOn w:val="CommentText"/>
    <w:next w:val="CommentText"/>
    <w:link w:val="CommentSubjectChar"/>
    <w:uiPriority w:val="99"/>
    <w:semiHidden/>
    <w:unhideWhenUsed/>
    <w:rsid w:val="007B3EDF"/>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7B3EDF"/>
    <w:rPr>
      <w:rFonts w:ascii="Times New Roman" w:hAnsi="Times New Roman" w:cs="Times New Roman"/>
      <w:b/>
      <w:bCs/>
      <w:sz w:val="20"/>
      <w:szCs w:val="20"/>
    </w:rPr>
  </w:style>
  <w:style w:type="character" w:customStyle="1" w:styleId="Heading3Char">
    <w:name w:val="Heading 3 Char"/>
    <w:basedOn w:val="DefaultParagraphFont"/>
    <w:link w:val="Heading3"/>
    <w:uiPriority w:val="9"/>
    <w:rsid w:val="00B20171"/>
    <w:rPr>
      <w:rFonts w:ascii="Times New Roman" w:hAnsi="Times New Roman" w:cs="Times New Roman"/>
      <w:b/>
    </w:rPr>
  </w:style>
  <w:style w:type="paragraph" w:styleId="Revision">
    <w:name w:val="Revision"/>
    <w:hidden/>
    <w:uiPriority w:val="99"/>
    <w:semiHidden/>
    <w:rsid w:val="001418D6"/>
    <w:pPr>
      <w:spacing w:after="0" w:line="240" w:lineRule="auto"/>
    </w:pPr>
    <w:rPr>
      <w:rFonts w:ascii="Times New Roman" w:hAnsi="Times New Roman" w:cs="Times New Roman"/>
    </w:rPr>
  </w:style>
  <w:style w:type="paragraph" w:styleId="EndnoteText">
    <w:name w:val="endnote text"/>
    <w:basedOn w:val="Normal"/>
    <w:link w:val="EndnoteTextChar"/>
    <w:uiPriority w:val="99"/>
    <w:semiHidden/>
    <w:unhideWhenUsed/>
    <w:rsid w:val="00DF5B35"/>
    <w:pPr>
      <w:spacing w:line="240" w:lineRule="auto"/>
    </w:pPr>
    <w:rPr>
      <w:sz w:val="20"/>
      <w:szCs w:val="20"/>
    </w:rPr>
  </w:style>
  <w:style w:type="character" w:customStyle="1" w:styleId="EndnoteTextChar">
    <w:name w:val="Endnote Text Char"/>
    <w:basedOn w:val="DefaultParagraphFont"/>
    <w:link w:val="EndnoteText"/>
    <w:uiPriority w:val="99"/>
    <w:semiHidden/>
    <w:rsid w:val="00DF5B35"/>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DF5B35"/>
    <w:rPr>
      <w:vertAlign w:val="superscript"/>
    </w:rPr>
  </w:style>
  <w:style w:type="character" w:styleId="FollowedHyperlink">
    <w:name w:val="FollowedHyperlink"/>
    <w:basedOn w:val="DefaultParagraphFont"/>
    <w:uiPriority w:val="99"/>
    <w:semiHidden/>
    <w:unhideWhenUsed/>
    <w:rsid w:val="008E3994"/>
    <w:rPr>
      <w:color w:val="800080" w:themeColor="followedHyperlink"/>
      <w:u w:val="single"/>
    </w:rPr>
  </w:style>
  <w:style w:type="paragraph" w:styleId="Title">
    <w:name w:val="Title"/>
    <w:basedOn w:val="Normal"/>
    <w:next w:val="Normal"/>
    <w:link w:val="TitleChar"/>
    <w:uiPriority w:val="10"/>
    <w:qFormat/>
    <w:rsid w:val="00E865ED"/>
    <w:pPr>
      <w:widowControl w:val="0"/>
      <w:jc w:val="center"/>
    </w:pPr>
    <w:rPr>
      <w:b/>
      <w:bCs/>
      <w:color w:val="8A0000"/>
      <w:sz w:val="32"/>
      <w:szCs w:val="32"/>
    </w:rPr>
  </w:style>
  <w:style w:type="character" w:customStyle="1" w:styleId="TitleChar">
    <w:name w:val="Title Char"/>
    <w:basedOn w:val="DefaultParagraphFont"/>
    <w:link w:val="Title"/>
    <w:uiPriority w:val="10"/>
    <w:rsid w:val="00E865ED"/>
    <w:rPr>
      <w:rFonts w:ascii="Times New Roman" w:hAnsi="Times New Roman" w:cs="Times New Roman"/>
      <w:b/>
      <w:bCs/>
      <w:color w:val="8A0000"/>
      <w:sz w:val="32"/>
      <w:szCs w:val="32"/>
    </w:rPr>
  </w:style>
  <w:style w:type="paragraph" w:styleId="Subtitle">
    <w:name w:val="Subtitle"/>
    <w:basedOn w:val="Normal"/>
    <w:next w:val="Normal"/>
    <w:link w:val="SubtitleChar"/>
    <w:uiPriority w:val="11"/>
    <w:qFormat/>
    <w:rsid w:val="00E865ED"/>
    <w:pPr>
      <w:widowControl w:val="0"/>
      <w:jc w:val="center"/>
    </w:pPr>
    <w:rPr>
      <w:b/>
      <w:bCs/>
    </w:rPr>
  </w:style>
  <w:style w:type="character" w:customStyle="1" w:styleId="SubtitleChar">
    <w:name w:val="Subtitle Char"/>
    <w:basedOn w:val="DefaultParagraphFont"/>
    <w:link w:val="Subtitle"/>
    <w:uiPriority w:val="11"/>
    <w:rsid w:val="00E865ED"/>
    <w:rPr>
      <w:rFonts w:ascii="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divs>
    <w:div w:id="279722781">
      <w:bodyDiv w:val="1"/>
      <w:marLeft w:val="0"/>
      <w:marRight w:val="0"/>
      <w:marTop w:val="0"/>
      <w:marBottom w:val="0"/>
      <w:divBdr>
        <w:top w:val="none" w:sz="0" w:space="0" w:color="auto"/>
        <w:left w:val="none" w:sz="0" w:space="0" w:color="auto"/>
        <w:bottom w:val="none" w:sz="0" w:space="0" w:color="auto"/>
        <w:right w:val="none" w:sz="0" w:space="0" w:color="auto"/>
      </w:divBdr>
    </w:div>
    <w:div w:id="629627279">
      <w:bodyDiv w:val="1"/>
      <w:marLeft w:val="0"/>
      <w:marRight w:val="0"/>
      <w:marTop w:val="0"/>
      <w:marBottom w:val="0"/>
      <w:divBdr>
        <w:top w:val="none" w:sz="0" w:space="0" w:color="auto"/>
        <w:left w:val="none" w:sz="0" w:space="0" w:color="auto"/>
        <w:bottom w:val="none" w:sz="0" w:space="0" w:color="auto"/>
        <w:right w:val="none" w:sz="0" w:space="0" w:color="auto"/>
      </w:divBdr>
    </w:div>
    <w:div w:id="938875411">
      <w:bodyDiv w:val="1"/>
      <w:marLeft w:val="0"/>
      <w:marRight w:val="0"/>
      <w:marTop w:val="0"/>
      <w:marBottom w:val="0"/>
      <w:divBdr>
        <w:top w:val="none" w:sz="0" w:space="0" w:color="auto"/>
        <w:left w:val="none" w:sz="0" w:space="0" w:color="auto"/>
        <w:bottom w:val="none" w:sz="0" w:space="0" w:color="auto"/>
        <w:right w:val="none" w:sz="0" w:space="0" w:color="auto"/>
      </w:divBdr>
    </w:div>
    <w:div w:id="1026831277">
      <w:bodyDiv w:val="1"/>
      <w:marLeft w:val="0"/>
      <w:marRight w:val="0"/>
      <w:marTop w:val="0"/>
      <w:marBottom w:val="0"/>
      <w:divBdr>
        <w:top w:val="none" w:sz="0" w:space="0" w:color="auto"/>
        <w:left w:val="none" w:sz="0" w:space="0" w:color="auto"/>
        <w:bottom w:val="none" w:sz="0" w:space="0" w:color="auto"/>
        <w:right w:val="none" w:sz="0" w:space="0" w:color="auto"/>
      </w:divBdr>
    </w:div>
    <w:div w:id="1279290762">
      <w:bodyDiv w:val="1"/>
      <w:marLeft w:val="0"/>
      <w:marRight w:val="0"/>
      <w:marTop w:val="0"/>
      <w:marBottom w:val="0"/>
      <w:divBdr>
        <w:top w:val="none" w:sz="0" w:space="0" w:color="auto"/>
        <w:left w:val="none" w:sz="0" w:space="0" w:color="auto"/>
        <w:bottom w:val="none" w:sz="0" w:space="0" w:color="auto"/>
        <w:right w:val="none" w:sz="0" w:space="0" w:color="auto"/>
      </w:divBdr>
    </w:div>
    <w:div w:id="1336374643">
      <w:bodyDiv w:val="1"/>
      <w:marLeft w:val="0"/>
      <w:marRight w:val="0"/>
      <w:marTop w:val="0"/>
      <w:marBottom w:val="0"/>
      <w:divBdr>
        <w:top w:val="none" w:sz="0" w:space="0" w:color="auto"/>
        <w:left w:val="none" w:sz="0" w:space="0" w:color="auto"/>
        <w:bottom w:val="none" w:sz="0" w:space="0" w:color="auto"/>
        <w:right w:val="none" w:sz="0" w:space="0" w:color="auto"/>
      </w:divBdr>
    </w:div>
    <w:div w:id="1341350845">
      <w:bodyDiv w:val="1"/>
      <w:marLeft w:val="0"/>
      <w:marRight w:val="0"/>
      <w:marTop w:val="0"/>
      <w:marBottom w:val="0"/>
      <w:divBdr>
        <w:top w:val="none" w:sz="0" w:space="0" w:color="auto"/>
        <w:left w:val="none" w:sz="0" w:space="0" w:color="auto"/>
        <w:bottom w:val="none" w:sz="0" w:space="0" w:color="auto"/>
        <w:right w:val="none" w:sz="0" w:space="0" w:color="auto"/>
      </w:divBdr>
    </w:div>
    <w:div w:id="1377200302">
      <w:bodyDiv w:val="1"/>
      <w:marLeft w:val="0"/>
      <w:marRight w:val="0"/>
      <w:marTop w:val="0"/>
      <w:marBottom w:val="0"/>
      <w:divBdr>
        <w:top w:val="none" w:sz="0" w:space="0" w:color="auto"/>
        <w:left w:val="none" w:sz="0" w:space="0" w:color="auto"/>
        <w:bottom w:val="none" w:sz="0" w:space="0" w:color="auto"/>
        <w:right w:val="none" w:sz="0" w:space="0" w:color="auto"/>
      </w:divBdr>
    </w:div>
    <w:div w:id="1506550748">
      <w:bodyDiv w:val="1"/>
      <w:marLeft w:val="0"/>
      <w:marRight w:val="0"/>
      <w:marTop w:val="0"/>
      <w:marBottom w:val="0"/>
      <w:divBdr>
        <w:top w:val="none" w:sz="0" w:space="0" w:color="auto"/>
        <w:left w:val="none" w:sz="0" w:space="0" w:color="auto"/>
        <w:bottom w:val="none" w:sz="0" w:space="0" w:color="auto"/>
        <w:right w:val="none" w:sz="0" w:space="0" w:color="auto"/>
      </w:divBdr>
    </w:div>
    <w:div w:id="1577352961">
      <w:bodyDiv w:val="1"/>
      <w:marLeft w:val="0"/>
      <w:marRight w:val="0"/>
      <w:marTop w:val="0"/>
      <w:marBottom w:val="0"/>
      <w:divBdr>
        <w:top w:val="none" w:sz="0" w:space="0" w:color="auto"/>
        <w:left w:val="none" w:sz="0" w:space="0" w:color="auto"/>
        <w:bottom w:val="none" w:sz="0" w:space="0" w:color="auto"/>
        <w:right w:val="none" w:sz="0" w:space="0" w:color="auto"/>
      </w:divBdr>
    </w:div>
    <w:div w:id="1645156664">
      <w:bodyDiv w:val="1"/>
      <w:marLeft w:val="0"/>
      <w:marRight w:val="0"/>
      <w:marTop w:val="0"/>
      <w:marBottom w:val="0"/>
      <w:divBdr>
        <w:top w:val="none" w:sz="0" w:space="0" w:color="auto"/>
        <w:left w:val="none" w:sz="0" w:space="0" w:color="auto"/>
        <w:bottom w:val="none" w:sz="0" w:space="0" w:color="auto"/>
        <w:right w:val="none" w:sz="0" w:space="0" w:color="auto"/>
      </w:divBdr>
    </w:div>
    <w:div w:id="1900246447">
      <w:bodyDiv w:val="1"/>
      <w:marLeft w:val="0"/>
      <w:marRight w:val="0"/>
      <w:marTop w:val="0"/>
      <w:marBottom w:val="0"/>
      <w:divBdr>
        <w:top w:val="none" w:sz="0" w:space="0" w:color="auto"/>
        <w:left w:val="none" w:sz="0" w:space="0" w:color="auto"/>
        <w:bottom w:val="none" w:sz="0" w:space="0" w:color="auto"/>
        <w:right w:val="none" w:sz="0" w:space="0" w:color="auto"/>
      </w:divBdr>
    </w:div>
    <w:div w:id="2015524278">
      <w:bodyDiv w:val="1"/>
      <w:marLeft w:val="0"/>
      <w:marRight w:val="0"/>
      <w:marTop w:val="0"/>
      <w:marBottom w:val="0"/>
      <w:divBdr>
        <w:top w:val="none" w:sz="0" w:space="0" w:color="auto"/>
        <w:left w:val="none" w:sz="0" w:space="0" w:color="auto"/>
        <w:bottom w:val="none" w:sz="0" w:space="0" w:color="auto"/>
        <w:right w:val="none" w:sz="0" w:space="0" w:color="auto"/>
      </w:divBdr>
    </w:div>
    <w:div w:id="2076582499">
      <w:bodyDiv w:val="1"/>
      <w:marLeft w:val="0"/>
      <w:marRight w:val="0"/>
      <w:marTop w:val="0"/>
      <w:marBottom w:val="0"/>
      <w:divBdr>
        <w:top w:val="none" w:sz="0" w:space="0" w:color="auto"/>
        <w:left w:val="none" w:sz="0" w:space="0" w:color="auto"/>
        <w:bottom w:val="none" w:sz="0" w:space="0" w:color="auto"/>
        <w:right w:val="none" w:sz="0" w:space="0" w:color="auto"/>
      </w:divBdr>
    </w:div>
    <w:div w:id="214099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www.qcc.edu/academics/high-school-student-programsoptions/gateway-college" TargetMode="Externa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http://www.doe.mass.edu/ccr/massgrad/EvalBrief-2013Gateway.pdf"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bristolcc.edu/gatewa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gatewaytocollege.org/" TargetMode="External"/><Relationship Id="rId20" Type="http://schemas.openxmlformats.org/officeDocument/2006/relationships/hyperlink" Target="http://www.doe.mass.edu/ccr/massgrad/EvalBrief-2012Gateway.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hyperlink" Target="http://www.stcc.edu/gatewaytocolleg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ccr/massgrad/evalReports.html" TargetMode="External"/><Relationship Id="rId22" Type="http://schemas.openxmlformats.org/officeDocument/2006/relationships/image" Target="media/image2.png"/><Relationship Id="rId27"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DESE-231-25921</_dlc_DocId>
    <_dlc_DocIdUrl xmlns="733efe1c-5bbe-4968-87dc-d400e65c879f">
      <Url>https://sharepoint.doemass.org/ese/webteam/cps/_layouts/DocIdRedir.aspx?ID=DESE-231-25921</Url>
      <Description>DESE-231-25921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8DCC6-554D-4496-8235-92FED7FD4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E91CBF-2772-4D60-91D8-086D9C1F0289}">
  <ds:schemaRefs>
    <ds:schemaRef ds:uri="http://schemas.microsoft.com/sharepoint/events"/>
  </ds:schemaRefs>
</ds:datastoreItem>
</file>

<file path=customXml/itemProps3.xml><?xml version="1.0" encoding="utf-8"?>
<ds:datastoreItem xmlns:ds="http://schemas.openxmlformats.org/officeDocument/2006/customXml" ds:itemID="{A1FB401E-0FC4-4CAE-B11A-43FE71EB8CFB}">
  <ds:schemaRefs>
    <ds:schemaRef ds:uri="http://schemas.microsoft.com/sharepoint/v3/contenttype/forms"/>
  </ds:schemaRefs>
</ds:datastoreItem>
</file>

<file path=customXml/itemProps4.xml><?xml version="1.0" encoding="utf-8"?>
<ds:datastoreItem xmlns:ds="http://schemas.openxmlformats.org/officeDocument/2006/customXml" ds:itemID="{F339DFC4-9DD1-4FFF-A240-857D4F79533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E3D0775E-BA64-439A-8ED9-1A47BB536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3694</Words>
  <Characters>21060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MassGrad Summary Brief, Gateway to College</vt:lpstr>
    </vt:vector>
  </TitlesOfParts>
  <Company/>
  <LinksUpToDate>false</LinksUpToDate>
  <CharactersWithSpaces>24705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MassGrad Summary Brief, Gateway to College</dc:title>
  <dc:creator>ESE</dc:creator>
  <cp:lastModifiedBy>dzou</cp:lastModifiedBy>
  <cp:revision>12</cp:revision>
  <cp:lastPrinted>2016-02-04T16:38:00Z</cp:lastPrinted>
  <dcterms:created xsi:type="dcterms:W3CDTF">2016-06-23T18:16:00Z</dcterms:created>
  <dcterms:modified xsi:type="dcterms:W3CDTF">2016-07-01T18:40:00Z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 2016</vt:lpwstr>
  </property>
</Properties>
</file>