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5408" w14:textId="77777777" w:rsidR="006E2375" w:rsidRPr="00EA15E8" w:rsidRDefault="006E2375" w:rsidP="006E2375">
      <w:pPr>
        <w:rPr>
          <w:b/>
          <w:sz w:val="22"/>
        </w:rPr>
      </w:pPr>
    </w:p>
    <w:tbl>
      <w:tblPr>
        <w:tblW w:w="5064" w:type="pct"/>
        <w:tblBorders>
          <w:top w:val="single" w:sz="4" w:space="0" w:color="004385"/>
          <w:left w:val="single" w:sz="4" w:space="0" w:color="004385"/>
          <w:bottom w:val="single" w:sz="4" w:space="0" w:color="004385"/>
          <w:right w:val="single" w:sz="4" w:space="0" w:color="004385"/>
          <w:insideH w:val="single" w:sz="4" w:space="0" w:color="004385"/>
          <w:insideV w:val="single" w:sz="4" w:space="0" w:color="00438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MassCore"/>
        <w:tblDescription w:val="The MassCore program of studies includes successful completion of four units of English, four units of mathematics, three units of a lab-based science, three units of history, two units of the same foreign language, one unit of the arts, one unit of computer science, five additional &quot;core&quot; courses, and additional learning opportunities."/>
      </w:tblPr>
      <w:tblGrid>
        <w:gridCol w:w="3008"/>
        <w:gridCol w:w="1895"/>
        <w:gridCol w:w="9671"/>
      </w:tblGrid>
      <w:tr w:rsidR="006E2375" w:rsidRPr="006E2375" w14:paraId="54CE7972" w14:textId="77777777" w:rsidTr="004734FA">
        <w:trPr>
          <w:trHeight w:val="16"/>
        </w:trPr>
        <w:tc>
          <w:tcPr>
            <w:tcW w:w="5000" w:type="pct"/>
            <w:gridSpan w:val="3"/>
            <w:shd w:val="clear" w:color="auto" w:fill="00438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FF751D" w14:textId="77777777" w:rsidR="006E2375" w:rsidRDefault="006E2375" w:rsidP="00120A2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1"/>
              </w:rPr>
            </w:pPr>
            <w:proofErr w:type="spellStart"/>
            <w:r w:rsidRPr="006E2375">
              <w:rPr>
                <w:rFonts w:asciiTheme="minorHAnsi" w:hAnsiTheme="minorHAnsi" w:cstheme="minorHAnsi"/>
                <w:b/>
                <w:bCs/>
                <w:sz w:val="32"/>
                <w:szCs w:val="21"/>
              </w:rPr>
              <w:t>MassCore</w:t>
            </w:r>
            <w:proofErr w:type="spellEnd"/>
            <w:r w:rsidR="00082058">
              <w:rPr>
                <w:rFonts w:asciiTheme="minorHAnsi" w:hAnsiTheme="minorHAnsi" w:cstheme="minorHAnsi"/>
                <w:b/>
                <w:bCs/>
                <w:sz w:val="32"/>
                <w:szCs w:val="21"/>
              </w:rPr>
              <w:t xml:space="preserve"> Framework</w:t>
            </w:r>
          </w:p>
          <w:p w14:paraId="116E7014" w14:textId="1D280617" w:rsidR="00082058" w:rsidRPr="006E2375" w:rsidRDefault="00082058" w:rsidP="00120A21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6E2375">
              <w:rPr>
                <w:rFonts w:asciiTheme="minorHAnsi" w:hAnsiTheme="minorHAnsi" w:cstheme="minorHAnsi"/>
                <w:b/>
                <w:bCs/>
                <w:color w:val="FFFFFF" w:themeColor="background1"/>
                <w:szCs w:val="21"/>
              </w:rPr>
              <w:t>Massachusetts High School Program of Studies</w:t>
            </w:r>
          </w:p>
        </w:tc>
      </w:tr>
      <w:tr w:rsidR="00082058" w:rsidRPr="006E2375" w14:paraId="3B8A0ECE" w14:textId="77777777" w:rsidTr="004734FA">
        <w:trPr>
          <w:trHeight w:val="116"/>
        </w:trPr>
        <w:tc>
          <w:tcPr>
            <w:tcW w:w="1032" w:type="pct"/>
            <w:shd w:val="clear" w:color="auto" w:fill="E3852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3F322" w14:textId="1ADD3C5A" w:rsidR="00082058" w:rsidRPr="00082058" w:rsidRDefault="00082058" w:rsidP="00120A2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1"/>
              </w:rPr>
            </w:pPr>
            <w:r w:rsidRPr="005402CC">
              <w:rPr>
                <w:rFonts w:asciiTheme="minorHAnsi" w:hAnsiTheme="minorHAnsi" w:cstheme="minorHAnsi"/>
                <w:b/>
                <w:bCs/>
                <w:sz w:val="22"/>
                <w:szCs w:val="21"/>
              </w:rPr>
              <w:t>SUBJECT</w:t>
            </w:r>
          </w:p>
        </w:tc>
        <w:tc>
          <w:tcPr>
            <w:tcW w:w="650" w:type="pct"/>
            <w:shd w:val="clear" w:color="auto" w:fill="E3852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32244" w14:textId="34AB2C27" w:rsidR="00082058" w:rsidRPr="00082058" w:rsidRDefault="00082058" w:rsidP="00120A2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1"/>
              </w:rPr>
            </w:pPr>
            <w:r w:rsidRPr="005402CC">
              <w:rPr>
                <w:rFonts w:asciiTheme="minorHAnsi" w:hAnsiTheme="minorHAnsi" w:cstheme="minorHAnsi"/>
                <w:b/>
                <w:bCs/>
                <w:sz w:val="22"/>
                <w:szCs w:val="21"/>
              </w:rPr>
              <w:t>UNITS</w:t>
            </w:r>
          </w:p>
        </w:tc>
        <w:tc>
          <w:tcPr>
            <w:tcW w:w="3319" w:type="pct"/>
            <w:shd w:val="clear" w:color="auto" w:fill="E3852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16460C" w14:textId="7817A939" w:rsidR="00082058" w:rsidRPr="00082058" w:rsidRDefault="00082058" w:rsidP="00120A2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1"/>
              </w:rPr>
            </w:pPr>
            <w:r w:rsidRPr="005402CC">
              <w:rPr>
                <w:rFonts w:asciiTheme="minorHAnsi" w:hAnsiTheme="minorHAnsi" w:cstheme="minorHAnsi"/>
                <w:b/>
                <w:bCs/>
                <w:sz w:val="22"/>
                <w:szCs w:val="21"/>
              </w:rPr>
              <w:t>NOTES</w:t>
            </w:r>
          </w:p>
        </w:tc>
      </w:tr>
      <w:tr w:rsidR="006E2375" w:rsidRPr="006E2375" w14:paraId="06803B59" w14:textId="77777777" w:rsidTr="004734FA">
        <w:trPr>
          <w:trHeight w:val="16"/>
        </w:trPr>
        <w:tc>
          <w:tcPr>
            <w:tcW w:w="10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686BF" w14:textId="7D1E7A11" w:rsidR="006E2375" w:rsidRPr="00082058" w:rsidRDefault="00082058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 xml:space="preserve">English </w:t>
            </w:r>
            <w:r w:rsidR="006E2375"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Language Arts</w:t>
            </w:r>
          </w:p>
        </w:tc>
        <w:tc>
          <w:tcPr>
            <w:tcW w:w="6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C469F" w14:textId="77777777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4 Units</w:t>
            </w:r>
          </w:p>
        </w:tc>
        <w:tc>
          <w:tcPr>
            <w:tcW w:w="33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E17B3" w14:textId="77777777" w:rsidR="006E2375" w:rsidRPr="00082058" w:rsidRDefault="006E2375" w:rsidP="00120A21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</w:tr>
      <w:tr w:rsidR="00415BE5" w:rsidRPr="006E2375" w14:paraId="7CFFAF58" w14:textId="77777777" w:rsidTr="004734FA">
        <w:trPr>
          <w:trHeight w:val="34"/>
        </w:trPr>
        <w:tc>
          <w:tcPr>
            <w:tcW w:w="10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168A1" w14:textId="77777777" w:rsidR="00415BE5" w:rsidRPr="00082058" w:rsidRDefault="00415BE5" w:rsidP="00415BE5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Mathematics</w:t>
            </w:r>
          </w:p>
        </w:tc>
        <w:tc>
          <w:tcPr>
            <w:tcW w:w="6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78ACF" w14:textId="77777777" w:rsidR="00415BE5" w:rsidRPr="00082058" w:rsidRDefault="00415BE5" w:rsidP="00415BE5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4 Units</w:t>
            </w:r>
          </w:p>
        </w:tc>
        <w:tc>
          <w:tcPr>
            <w:tcW w:w="33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4E206" w14:textId="7E870D13" w:rsidR="00415BE5" w:rsidRPr="00082058" w:rsidRDefault="00082058" w:rsidP="00415BE5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I</w:t>
            </w:r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ncluding completion of Algebra II or the Integrated Math</w:t>
            </w:r>
            <w:r w:rsidR="00605949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ematics</w:t>
            </w:r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equivalent. A math</w:t>
            </w:r>
            <w:r w:rsidR="00605949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ematics</w:t>
            </w:r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course during senior year is recommended for all stu</w:t>
            </w:r>
            <w:r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dents. Students may substitute one</w:t>
            </w:r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unit of </w:t>
            </w:r>
            <w:r w:rsidR="00415BE5" w:rsidRPr="00082058">
              <w:rPr>
                <w:rFonts w:asciiTheme="minorHAnsi" w:hAnsiTheme="minorHAnsi" w:cstheme="minorHAnsi"/>
                <w:b/>
                <w:color w:val="004385"/>
                <w:sz w:val="20"/>
                <w:szCs w:val="21"/>
              </w:rPr>
              <w:t xml:space="preserve">Computer Science </w:t>
            </w:r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that includes rigorous mathematical concepts and aligns with the Digital Literacy and Computer Science standards for a mathematics course. </w:t>
            </w:r>
          </w:p>
        </w:tc>
      </w:tr>
      <w:tr w:rsidR="00415BE5" w:rsidRPr="006E2375" w14:paraId="3FAAB1D8" w14:textId="77777777" w:rsidTr="004734FA">
        <w:trPr>
          <w:trHeight w:val="16"/>
        </w:trPr>
        <w:tc>
          <w:tcPr>
            <w:tcW w:w="10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6BD23" w14:textId="77777777" w:rsidR="00415BE5" w:rsidRPr="00082058" w:rsidRDefault="00415BE5" w:rsidP="00415BE5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Science</w:t>
            </w:r>
          </w:p>
        </w:tc>
        <w:tc>
          <w:tcPr>
            <w:tcW w:w="6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2DB2E" w14:textId="77777777" w:rsidR="00415BE5" w:rsidRPr="00082058" w:rsidRDefault="00415BE5" w:rsidP="00415BE5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3 Units of lab-based science</w:t>
            </w:r>
          </w:p>
        </w:tc>
        <w:tc>
          <w:tcPr>
            <w:tcW w:w="33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F4A1B" w14:textId="3F41F2F0" w:rsidR="00415BE5" w:rsidRPr="00082058" w:rsidRDefault="00082058" w:rsidP="00415BE5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C</w:t>
            </w:r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oursework in technology/engineering courses may also count for </w:t>
            </w:r>
            <w:proofErr w:type="spellStart"/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MassCore</w:t>
            </w:r>
            <w:proofErr w:type="spellEnd"/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science credit. Students may </w:t>
            </w:r>
            <w:r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substitute one</w:t>
            </w:r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unit of </w:t>
            </w:r>
            <w:r w:rsidR="00415BE5" w:rsidRPr="00082058">
              <w:rPr>
                <w:rFonts w:asciiTheme="minorHAnsi" w:hAnsiTheme="minorHAnsi" w:cstheme="minorHAnsi"/>
                <w:b/>
                <w:color w:val="004385"/>
                <w:sz w:val="20"/>
                <w:szCs w:val="21"/>
              </w:rPr>
              <w:t>Computer Science</w:t>
            </w:r>
            <w:r w:rsidR="00415BE5"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that includes rigorous scientific concepts and aligns with the Digital Literacy and Computer Science standards for a laboratory science course.</w:t>
            </w:r>
          </w:p>
        </w:tc>
      </w:tr>
      <w:tr w:rsidR="006E2375" w:rsidRPr="006E2375" w14:paraId="0815901E" w14:textId="77777777" w:rsidTr="004734FA">
        <w:trPr>
          <w:trHeight w:val="13"/>
        </w:trPr>
        <w:tc>
          <w:tcPr>
            <w:tcW w:w="10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5829D" w14:textId="1127D0DF" w:rsidR="006E2375" w:rsidRPr="00082058" w:rsidRDefault="00082058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 xml:space="preserve">History and </w:t>
            </w:r>
            <w:r w:rsidR="006E2375"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Social Science</w:t>
            </w:r>
          </w:p>
        </w:tc>
        <w:tc>
          <w:tcPr>
            <w:tcW w:w="6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0897E" w14:textId="77777777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3 Units</w:t>
            </w:r>
          </w:p>
        </w:tc>
        <w:tc>
          <w:tcPr>
            <w:tcW w:w="33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7730E" w14:textId="2B619F7C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Includi</w:t>
            </w:r>
            <w:r w:rsid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ng U.S. History and World History.</w:t>
            </w:r>
          </w:p>
        </w:tc>
      </w:tr>
      <w:tr w:rsidR="006E2375" w:rsidRPr="006E2375" w14:paraId="716A0449" w14:textId="77777777" w:rsidTr="004734FA">
        <w:trPr>
          <w:trHeight w:val="13"/>
        </w:trPr>
        <w:tc>
          <w:tcPr>
            <w:tcW w:w="10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692EF" w14:textId="4E8B94CF" w:rsidR="006E2375" w:rsidRPr="00082058" w:rsidRDefault="006A77F2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World</w:t>
            </w:r>
            <w:r w:rsidR="006E2375"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 xml:space="preserve"> Language</w:t>
            </w:r>
          </w:p>
        </w:tc>
        <w:tc>
          <w:tcPr>
            <w:tcW w:w="6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FB1F8" w14:textId="77777777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2 Units</w:t>
            </w:r>
          </w:p>
        </w:tc>
        <w:tc>
          <w:tcPr>
            <w:tcW w:w="33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B3416" w14:textId="5B301783" w:rsidR="006E2375" w:rsidRPr="00082058" w:rsidRDefault="00082058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Of the same language.</w:t>
            </w:r>
          </w:p>
        </w:tc>
      </w:tr>
      <w:tr w:rsidR="006E2375" w:rsidRPr="006E2375" w14:paraId="147CC74A" w14:textId="77777777" w:rsidTr="004734FA">
        <w:trPr>
          <w:trHeight w:val="16"/>
        </w:trPr>
        <w:tc>
          <w:tcPr>
            <w:tcW w:w="10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34BA0" w14:textId="77777777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Physical Education</w:t>
            </w:r>
          </w:p>
        </w:tc>
        <w:tc>
          <w:tcPr>
            <w:tcW w:w="6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8EA34" w14:textId="77777777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As required by law</w:t>
            </w:r>
          </w:p>
        </w:tc>
        <w:tc>
          <w:tcPr>
            <w:tcW w:w="33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DA5C2" w14:textId="5F02D0A8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“Physical education shall be taught as a required subject in all grades for all students” (M.G.L. c.71 §3)</w:t>
            </w:r>
            <w:r w:rsid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.</w:t>
            </w:r>
          </w:p>
        </w:tc>
      </w:tr>
      <w:tr w:rsidR="006E2375" w:rsidRPr="006E2375" w14:paraId="65393E57" w14:textId="77777777" w:rsidTr="004734FA">
        <w:trPr>
          <w:trHeight w:val="13"/>
        </w:trPr>
        <w:tc>
          <w:tcPr>
            <w:tcW w:w="10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6241F" w14:textId="77777777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Arts</w:t>
            </w:r>
          </w:p>
        </w:tc>
        <w:tc>
          <w:tcPr>
            <w:tcW w:w="6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4829E" w14:textId="77777777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1 Unit</w:t>
            </w:r>
          </w:p>
        </w:tc>
        <w:tc>
          <w:tcPr>
            <w:tcW w:w="33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3BA92" w14:textId="77777777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</w:p>
        </w:tc>
      </w:tr>
      <w:tr w:rsidR="006E2375" w:rsidRPr="006E2375" w14:paraId="70C763CD" w14:textId="77777777" w:rsidTr="004734FA">
        <w:trPr>
          <w:trHeight w:val="13"/>
        </w:trPr>
        <w:tc>
          <w:tcPr>
            <w:tcW w:w="10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97E7F" w14:textId="77777777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Additional Core Courses</w:t>
            </w:r>
          </w:p>
        </w:tc>
        <w:tc>
          <w:tcPr>
            <w:tcW w:w="6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6C7BF" w14:textId="77777777" w:rsidR="006E2375" w:rsidRPr="00082058" w:rsidRDefault="000843CB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>5</w:t>
            </w:r>
            <w:r w:rsidR="006E2375" w:rsidRPr="00082058">
              <w:rPr>
                <w:rFonts w:asciiTheme="minorHAnsi" w:hAnsiTheme="minorHAnsi" w:cstheme="minorHAnsi"/>
                <w:b/>
                <w:bCs/>
                <w:color w:val="004385"/>
                <w:sz w:val="20"/>
                <w:szCs w:val="21"/>
              </w:rPr>
              <w:t xml:space="preserve"> Units</w:t>
            </w:r>
          </w:p>
        </w:tc>
        <w:tc>
          <w:tcPr>
            <w:tcW w:w="33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9BCA8" w14:textId="734BA9DF" w:rsidR="006E2375" w:rsidRPr="00082058" w:rsidRDefault="006E2375" w:rsidP="00120A21">
            <w:pPr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Other additional coursework (including Career and Technical Educati</w:t>
            </w:r>
            <w:r w:rsid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on) or any of the above.</w:t>
            </w:r>
          </w:p>
        </w:tc>
      </w:tr>
      <w:tr w:rsidR="006E2375" w:rsidRPr="006E2375" w14:paraId="0D85A9E2" w14:textId="77777777" w:rsidTr="004734FA">
        <w:trPr>
          <w:trHeight w:val="16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578B3E" w14:textId="77777777" w:rsidR="006E2375" w:rsidRPr="00C07C08" w:rsidRDefault="006E2375" w:rsidP="00120A21">
            <w:pPr>
              <w:rPr>
                <w:rFonts w:asciiTheme="minorHAnsi" w:hAnsiTheme="minorHAnsi" w:cstheme="minorHAnsi"/>
                <w:color w:val="004385"/>
                <w:sz w:val="12"/>
                <w:szCs w:val="4"/>
              </w:rPr>
            </w:pPr>
          </w:p>
        </w:tc>
      </w:tr>
      <w:tr w:rsidR="006E2375" w:rsidRPr="006E2375" w14:paraId="01F249BB" w14:textId="77777777" w:rsidTr="004734FA">
        <w:trPr>
          <w:trHeight w:val="313"/>
        </w:trPr>
        <w:tc>
          <w:tcPr>
            <w:tcW w:w="5000" w:type="pct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30D34" w14:textId="77777777" w:rsidR="006E2375" w:rsidRPr="00082058" w:rsidRDefault="006E2375" w:rsidP="00120A21">
            <w:pPr>
              <w:spacing w:before="40" w:after="40"/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*A unit represents a full academic year of study or its equivalent in a subject that covers all the standards contained in a specific Curriculum Framework. </w:t>
            </w:r>
          </w:p>
          <w:p w14:paraId="4AAE7661" w14:textId="78CBB477" w:rsidR="006E2375" w:rsidRDefault="006E2375" w:rsidP="00120A21">
            <w:pPr>
              <w:spacing w:before="40" w:after="40"/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** Students enrolled in a state-approved Career and Technical Education program of studies have the option of opting out of </w:t>
            </w:r>
            <w:r w:rsidR="006A77F2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World </w:t>
            </w:r>
            <w:r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Language and Art and still fulfill </w:t>
            </w:r>
            <w:proofErr w:type="spellStart"/>
            <w:r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MassCore</w:t>
            </w:r>
            <w:proofErr w:type="spellEnd"/>
            <w:r w:rsidRPr="0008205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. </w:t>
            </w:r>
          </w:p>
          <w:p w14:paraId="2C5463F1" w14:textId="622684CB" w:rsidR="00183A6A" w:rsidRPr="00082058" w:rsidRDefault="00183A6A" w:rsidP="00120A21">
            <w:pPr>
              <w:spacing w:before="40" w:after="40"/>
              <w:rPr>
                <w:rFonts w:asciiTheme="minorHAnsi" w:hAnsiTheme="minorHAnsi" w:cstheme="minorHAnsi"/>
                <w:color w:val="004385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***</w:t>
            </w:r>
            <w:r>
              <w:t xml:space="preserve"> </w:t>
            </w:r>
            <w:r w:rsidRPr="00183A6A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districts </w:t>
            </w:r>
            <w:r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may </w:t>
            </w:r>
            <w:r w:rsidRPr="00183A6A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designate students with demonstrated fluency and literacy in language(s) other than English as meeting t</w:t>
            </w:r>
            <w:r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he </w:t>
            </w:r>
            <w:proofErr w:type="spellStart"/>
            <w:r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MassCore</w:t>
            </w:r>
            <w:proofErr w:type="spellEnd"/>
            <w:r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recommendations</w:t>
            </w:r>
            <w:r w:rsidR="004734FA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for </w:t>
            </w:r>
            <w:r w:rsidR="006A77F2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World </w:t>
            </w:r>
            <w:r w:rsidR="004734FA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language</w:t>
            </w:r>
          </w:p>
          <w:p w14:paraId="2200560F" w14:textId="59267311" w:rsidR="006E2375" w:rsidRPr="00082058" w:rsidRDefault="00C07C08" w:rsidP="00120A21">
            <w:pPr>
              <w:spacing w:before="40" w:after="40"/>
              <w:rPr>
                <w:rFonts w:asciiTheme="minorHAnsi" w:hAnsiTheme="minorHAnsi" w:cstheme="minorHAnsi"/>
                <w:color w:val="004385"/>
                <w:sz w:val="22"/>
                <w:szCs w:val="21"/>
              </w:rPr>
            </w:pPr>
            <w:proofErr w:type="spellStart"/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MassCore</w:t>
            </w:r>
            <w:proofErr w:type="spellEnd"/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is a recommended program of study Massachusetts high school students need to </w:t>
            </w:r>
            <w:r w:rsidR="00605949" w:rsidRPr="00605949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excel in college, career, and civic life</w:t>
            </w:r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. Developed by an advisory group from elementary and secondary education, higher education, nonprofits, and the private sector, </w:t>
            </w:r>
            <w:proofErr w:type="spellStart"/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MassCore</w:t>
            </w:r>
            <w:proofErr w:type="spellEnd"/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maintains flexibility for students while </w:t>
            </w:r>
            <w:r w:rsidR="00D81322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letting</w:t>
            </w:r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districts set additional graduation requirements. Courses included in </w:t>
            </w:r>
            <w:proofErr w:type="spellStart"/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MassCore</w:t>
            </w:r>
            <w:proofErr w:type="spellEnd"/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should be rigorous, engaging, and based on appropriate learning standards for high school or beyond. Fulfilling </w:t>
            </w:r>
            <w:proofErr w:type="spellStart"/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>MassCore</w:t>
            </w:r>
            <w:proofErr w:type="spellEnd"/>
            <w:r w:rsidRPr="00C07C08">
              <w:rPr>
                <w:rFonts w:asciiTheme="minorHAnsi" w:hAnsiTheme="minorHAnsi" w:cstheme="minorHAnsi"/>
                <w:color w:val="004385"/>
                <w:sz w:val="20"/>
                <w:szCs w:val="21"/>
              </w:rPr>
              <w:t xml:space="preserve"> is just a start. Students should also engage in a full range of additional learning opportunities, such as: accelerated/advanced coursework; capstones or senior projects; dual enrollment courses; online courses; service learning; work-based learning; clubs and student organizations; varsity and intramural athletics; and part-time employment.</w:t>
            </w:r>
          </w:p>
        </w:tc>
      </w:tr>
    </w:tbl>
    <w:p w14:paraId="47033AF6" w14:textId="09FE2983" w:rsidR="00AD40D4" w:rsidRDefault="00AA2C8E" w:rsidP="00AA2C8E">
      <w:pPr>
        <w:tabs>
          <w:tab w:val="left" w:pos="13710"/>
        </w:tabs>
      </w:pPr>
      <w:r>
        <w:tab/>
      </w:r>
    </w:p>
    <w:sectPr w:rsidR="00AD40D4" w:rsidSect="006E2375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5D06" w14:textId="77777777" w:rsidR="00D03F56" w:rsidRDefault="00D03F56" w:rsidP="00082058">
      <w:r>
        <w:separator/>
      </w:r>
    </w:p>
  </w:endnote>
  <w:endnote w:type="continuationSeparator" w:id="0">
    <w:p w14:paraId="457A1A5E" w14:textId="77777777" w:rsidR="00D03F56" w:rsidRDefault="00D03F56" w:rsidP="000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FE46" w14:textId="398D4E84" w:rsidR="00C46751" w:rsidRPr="00C46751" w:rsidRDefault="00C46751" w:rsidP="00C46751">
    <w:pPr>
      <w:pStyle w:val="Footer"/>
      <w:jc w:val="right"/>
      <w:rPr>
        <w:rFonts w:asciiTheme="minorHAnsi" w:hAnsiTheme="minorHAnsi" w:cstheme="minorHAnsi"/>
        <w:color w:val="004385"/>
        <w:sz w:val="19"/>
        <w:szCs w:val="19"/>
      </w:rPr>
    </w:pPr>
    <w:r>
      <w:rPr>
        <w:rFonts w:asciiTheme="minorHAnsi" w:hAnsiTheme="minorHAnsi" w:cstheme="minorHAnsi"/>
        <w:color w:val="004385"/>
        <w:sz w:val="19"/>
        <w:szCs w:val="19"/>
      </w:rPr>
      <w:t>R</w:t>
    </w:r>
    <w:r w:rsidRPr="00C46751">
      <w:rPr>
        <w:rFonts w:asciiTheme="minorHAnsi" w:hAnsiTheme="minorHAnsi" w:cstheme="minorHAnsi"/>
        <w:color w:val="004385"/>
        <w:sz w:val="19"/>
        <w:szCs w:val="19"/>
      </w:rPr>
      <w:t xml:space="preserve">evised </w:t>
    </w:r>
    <w:r w:rsidR="00AA2C8E">
      <w:rPr>
        <w:rFonts w:asciiTheme="minorHAnsi" w:hAnsiTheme="minorHAnsi" w:cstheme="minorHAnsi"/>
        <w:color w:val="004385"/>
        <w:sz w:val="19"/>
        <w:szCs w:val="19"/>
      </w:rPr>
      <w:t>October 1</w:t>
    </w:r>
    <w:r w:rsidRPr="00C46751">
      <w:rPr>
        <w:rFonts w:asciiTheme="minorHAnsi" w:hAnsiTheme="minorHAnsi" w:cstheme="minorHAnsi"/>
        <w:color w:val="004385"/>
        <w:sz w:val="19"/>
        <w:szCs w:val="19"/>
      </w:rPr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81F8" w14:textId="77777777" w:rsidR="00D03F56" w:rsidRDefault="00D03F56" w:rsidP="00082058">
      <w:r>
        <w:separator/>
      </w:r>
    </w:p>
  </w:footnote>
  <w:footnote w:type="continuationSeparator" w:id="0">
    <w:p w14:paraId="4EC27CB1" w14:textId="77777777" w:rsidR="00D03F56" w:rsidRDefault="00D03F56" w:rsidP="0008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D814" w14:textId="6907891B" w:rsidR="00082058" w:rsidRDefault="00183A6A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014436D6" wp14:editId="6CF792EE">
          <wp:simplePos x="0" y="0"/>
          <wp:positionH relativeFrom="column">
            <wp:posOffset>7086600</wp:posOffset>
          </wp:positionH>
          <wp:positionV relativeFrom="paragraph">
            <wp:posOffset>-339725</wp:posOffset>
          </wp:positionV>
          <wp:extent cx="1931035" cy="939800"/>
          <wp:effectExtent l="0" t="0" r="0" b="0"/>
          <wp:wrapNone/>
          <wp:docPr id="12" name="Picture 12" descr="Masachusetts Department of Elementary and Secondary Education logo" title="Ma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e.mass.edu/nmg/logo/ESELogo/Full%20Logo/695x338/Master-Logo_695x338_col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2058" w:rsidRPr="002450DA">
      <w:rPr>
        <w:rFonts w:cstheme="minorHAnsi"/>
        <w:b/>
        <w:noProof/>
        <w:color w:val="004385"/>
        <w:lang w:eastAsia="zh-CN"/>
      </w:rPr>
      <w:drawing>
        <wp:anchor distT="0" distB="0" distL="114300" distR="114300" simplePos="0" relativeHeight="251659264" behindDoc="0" locked="0" layoutInCell="1" allowOverlap="1" wp14:anchorId="2FFA0BBC" wp14:editId="0F6A8927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1874520" cy="771525"/>
          <wp:effectExtent l="0" t="0" r="0" b="9525"/>
          <wp:wrapNone/>
          <wp:docPr id="5122" name="Picture 2" descr="MassCore College and Career Read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MassCore College and Career Read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2058">
      <w:rPr>
        <w:noProof/>
        <w:lang w:eastAsia="zh-CN"/>
      </w:rPr>
      <w:drawing>
        <wp:inline distT="0" distB="0" distL="0" distR="0" wp14:anchorId="3AB72C57" wp14:editId="26078273">
          <wp:extent cx="1952625" cy="466725"/>
          <wp:effectExtent l="0" t="0" r="9525" b="9525"/>
          <wp:docPr id="11" name="Picture 11" descr="Success After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e.mass.edu/nmg/logo/strategy/Success%20After%20High%20School/Full%20Logo/205x100/Successful-After-School_205x100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75"/>
    <w:rsid w:val="00082058"/>
    <w:rsid w:val="000843CB"/>
    <w:rsid w:val="00183A6A"/>
    <w:rsid w:val="001E7297"/>
    <w:rsid w:val="002019F2"/>
    <w:rsid w:val="00303430"/>
    <w:rsid w:val="003236CD"/>
    <w:rsid w:val="00415BE5"/>
    <w:rsid w:val="004734FA"/>
    <w:rsid w:val="005402CC"/>
    <w:rsid w:val="00542F16"/>
    <w:rsid w:val="005B2B20"/>
    <w:rsid w:val="005F38E6"/>
    <w:rsid w:val="00605949"/>
    <w:rsid w:val="006A77F2"/>
    <w:rsid w:val="006B0841"/>
    <w:rsid w:val="006B2CB0"/>
    <w:rsid w:val="006E2375"/>
    <w:rsid w:val="008C67B9"/>
    <w:rsid w:val="00920698"/>
    <w:rsid w:val="00935AF6"/>
    <w:rsid w:val="00A635D5"/>
    <w:rsid w:val="00AA2C8E"/>
    <w:rsid w:val="00AC5E58"/>
    <w:rsid w:val="00AD40D4"/>
    <w:rsid w:val="00C07C08"/>
    <w:rsid w:val="00C17EB6"/>
    <w:rsid w:val="00C46751"/>
    <w:rsid w:val="00D03F56"/>
    <w:rsid w:val="00D24EA6"/>
    <w:rsid w:val="00D81322"/>
    <w:rsid w:val="00D95871"/>
    <w:rsid w:val="00E16B6D"/>
    <w:rsid w:val="00F75C4A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00C5"/>
  <w15:chartTrackingRefBased/>
  <w15:docId w15:val="{7B9A852F-0E1F-4097-AA3A-FD07250B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3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5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5D5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5D5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D5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2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05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2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058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3" ma:contentTypeDescription="Create a new document." ma:contentTypeScope="" ma:versionID="955ed1f4332813c4a626007f66bc22f0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f41cf15dccbd5828d00b0a9db24ead87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37C3A-65D3-48B0-AA57-1DC034423DEA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2.xml><?xml version="1.0" encoding="utf-8"?>
<ds:datastoreItem xmlns:ds="http://schemas.openxmlformats.org/officeDocument/2006/customXml" ds:itemID="{C942E67F-D128-4E1B-ACAD-D84D0D7BC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F33E3-6DE3-487C-B651-1456E315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MassCore Framework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MassCore Framework</dc:title>
  <dc:subject/>
  <dc:creator>DESE</dc:creator>
  <cp:keywords/>
  <dc:description/>
  <cp:lastModifiedBy>Zou, Dong (EOE)</cp:lastModifiedBy>
  <cp:revision>4</cp:revision>
  <dcterms:created xsi:type="dcterms:W3CDTF">2024-01-05T16:44:00Z</dcterms:created>
  <dcterms:modified xsi:type="dcterms:W3CDTF">2024-01-05T20:05:00Z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5 2024 12:00AM</vt:lpwstr>
  </property>
</Properties>
</file>