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4D99" w14:textId="77777777" w:rsidR="00A20194" w:rsidRDefault="00A20194" w:rsidP="00757D35"/>
    <w:p w14:paraId="1C56BDD7" w14:textId="77777777" w:rsidR="006D7194" w:rsidRDefault="006D7194" w:rsidP="00757D35"/>
    <w:p w14:paraId="46BD98ED" w14:textId="77777777" w:rsidR="006D7194" w:rsidRPr="00503255" w:rsidRDefault="006D7194" w:rsidP="00757D35">
      <w:pPr>
        <w:sectPr w:rsidR="006D7194" w:rsidRPr="00503255" w:rsidSect="006D7194">
          <w:headerReference w:type="default" r:id="rId10"/>
          <w:footerReference w:type="even" r:id="rId11"/>
          <w:footerReference w:type="default" r:id="rId12"/>
          <w:type w:val="continuous"/>
          <w:pgSz w:w="12240" w:h="15840"/>
          <w:pgMar w:top="2880" w:right="1440" w:bottom="1440" w:left="1440" w:header="576" w:footer="720" w:gutter="0"/>
          <w:cols w:space="720"/>
          <w:docGrid w:linePitch="360"/>
        </w:sectPr>
      </w:pPr>
    </w:p>
    <w:p w14:paraId="72A0A24C" w14:textId="77777777" w:rsidR="006D7194" w:rsidRPr="00204713" w:rsidRDefault="006D7194" w:rsidP="00757D35">
      <w:pPr>
        <w:pStyle w:val="Heading1"/>
        <w:rPr>
          <w:rFonts w:ascii="Aptos" w:hAnsi="Aptos"/>
        </w:rPr>
      </w:pPr>
      <w:r w:rsidRPr="00204713">
        <w:rPr>
          <w:rFonts w:ascii="Aptos" w:hAnsi="Aptos"/>
        </w:rPr>
        <w:t>MEMORANDUM</w:t>
      </w:r>
    </w:p>
    <w:p w14:paraId="177F3486" w14:textId="77777777" w:rsidR="006D7194" w:rsidRPr="00204713" w:rsidRDefault="006D7194" w:rsidP="00757D35">
      <w:pPr>
        <w:pStyle w:val="Footer"/>
        <w:widowControl w:val="0"/>
        <w:rPr>
          <w:rFonts w:ascii="Aptos" w:hAnsi="Aptos"/>
          <w:snapToGrid w:val="0"/>
          <w:szCs w:val="20"/>
        </w:rPr>
      </w:pPr>
    </w:p>
    <w:tbl>
      <w:tblPr>
        <w:tblW w:w="0" w:type="auto"/>
        <w:tblLook w:val="01E0" w:firstRow="1" w:lastRow="1" w:firstColumn="1" w:lastColumn="1" w:noHBand="0" w:noVBand="0"/>
      </w:tblPr>
      <w:tblGrid>
        <w:gridCol w:w="1184"/>
        <w:gridCol w:w="8176"/>
      </w:tblGrid>
      <w:tr w:rsidR="006D7194" w:rsidRPr="00184FAF" w14:paraId="0AD6C815" w14:textId="77777777" w:rsidTr="5CFDEB0D">
        <w:tc>
          <w:tcPr>
            <w:tcW w:w="1184" w:type="dxa"/>
          </w:tcPr>
          <w:p w14:paraId="6FFA6AB4" w14:textId="77777777" w:rsidR="006D7194" w:rsidRPr="00184FAF" w:rsidRDefault="006D7194" w:rsidP="00757D35">
            <w:pPr>
              <w:rPr>
                <w:rFonts w:ascii="Aptos" w:hAnsi="Aptos"/>
                <w:b/>
                <w:bCs/>
              </w:rPr>
            </w:pPr>
            <w:r w:rsidRPr="00184FAF">
              <w:rPr>
                <w:rFonts w:ascii="Aptos" w:hAnsi="Aptos"/>
                <w:b/>
                <w:bCs/>
              </w:rPr>
              <w:t>To:</w:t>
            </w:r>
          </w:p>
          <w:p w14:paraId="74DC7406" w14:textId="77777777" w:rsidR="006D7194" w:rsidRPr="00184FAF" w:rsidRDefault="006D7194" w:rsidP="00757D35">
            <w:pPr>
              <w:rPr>
                <w:rFonts w:ascii="Aptos" w:hAnsi="Aptos"/>
                <w:b/>
                <w:bCs/>
              </w:rPr>
            </w:pPr>
          </w:p>
        </w:tc>
        <w:tc>
          <w:tcPr>
            <w:tcW w:w="8176" w:type="dxa"/>
          </w:tcPr>
          <w:p w14:paraId="485BF51A" w14:textId="2342DC3F" w:rsidR="006D7194" w:rsidRPr="00184FAF" w:rsidRDefault="006D7194" w:rsidP="00757D35">
            <w:pPr>
              <w:pStyle w:val="Footer"/>
              <w:widowControl w:val="0"/>
              <w:rPr>
                <w:rFonts w:ascii="Aptos" w:hAnsi="Aptos"/>
              </w:rPr>
            </w:pPr>
            <w:r w:rsidRPr="00184FAF">
              <w:rPr>
                <w:rFonts w:ascii="Aptos" w:hAnsi="Aptos"/>
                <w:bCs/>
                <w:snapToGrid w:val="0"/>
              </w:rPr>
              <w:t xml:space="preserve">Members of the Board of </w:t>
            </w:r>
            <w:bookmarkStart w:id="0" w:name="_Hlk43449165"/>
            <w:r w:rsidRPr="00184FAF">
              <w:rPr>
                <w:rFonts w:ascii="Aptos" w:hAnsi="Aptos"/>
                <w:bCs/>
                <w:snapToGrid w:val="0"/>
              </w:rPr>
              <w:t>Elementary and Secondary Education</w:t>
            </w:r>
            <w:bookmarkEnd w:id="0"/>
          </w:p>
        </w:tc>
      </w:tr>
      <w:tr w:rsidR="006D7194" w:rsidRPr="00184FAF" w14:paraId="17FF078B" w14:textId="77777777" w:rsidTr="5CFDEB0D">
        <w:tc>
          <w:tcPr>
            <w:tcW w:w="1184" w:type="dxa"/>
          </w:tcPr>
          <w:p w14:paraId="6CC674BD" w14:textId="77777777" w:rsidR="006D7194" w:rsidRPr="00184FAF" w:rsidRDefault="006D7194" w:rsidP="00757D35">
            <w:pPr>
              <w:rPr>
                <w:rFonts w:ascii="Aptos" w:hAnsi="Aptos"/>
                <w:b/>
                <w:bCs/>
              </w:rPr>
            </w:pPr>
            <w:r w:rsidRPr="00184FAF">
              <w:rPr>
                <w:rFonts w:ascii="Aptos" w:hAnsi="Aptos"/>
                <w:b/>
                <w:bCs/>
              </w:rPr>
              <w:t>From:</w:t>
            </w:r>
          </w:p>
          <w:p w14:paraId="14796FD2" w14:textId="77777777" w:rsidR="006D7194" w:rsidRPr="00184FAF" w:rsidRDefault="006D7194" w:rsidP="00757D35">
            <w:pPr>
              <w:rPr>
                <w:rFonts w:ascii="Aptos" w:hAnsi="Aptos"/>
                <w:b/>
                <w:bCs/>
              </w:rPr>
            </w:pPr>
          </w:p>
        </w:tc>
        <w:tc>
          <w:tcPr>
            <w:tcW w:w="8176" w:type="dxa"/>
          </w:tcPr>
          <w:p w14:paraId="11C39A31" w14:textId="385A1A2F" w:rsidR="006D7194" w:rsidRPr="00184FAF" w:rsidRDefault="006D7194" w:rsidP="00757D35">
            <w:pPr>
              <w:pStyle w:val="Footer"/>
              <w:widowControl w:val="0"/>
              <w:rPr>
                <w:rFonts w:ascii="Aptos" w:hAnsi="Aptos"/>
              </w:rPr>
            </w:pPr>
            <w:r w:rsidRPr="00184FAF">
              <w:rPr>
                <w:rFonts w:ascii="Aptos" w:hAnsi="Aptos"/>
                <w:bCs/>
                <w:snapToGrid w:val="0"/>
              </w:rPr>
              <w:t>Russell Johnston, Acting Commissioner</w:t>
            </w:r>
          </w:p>
        </w:tc>
      </w:tr>
      <w:tr w:rsidR="006D7194" w:rsidRPr="00184FAF" w14:paraId="4FDBE837" w14:textId="77777777" w:rsidTr="5CFDEB0D">
        <w:tc>
          <w:tcPr>
            <w:tcW w:w="1184" w:type="dxa"/>
          </w:tcPr>
          <w:p w14:paraId="2DD12CC0" w14:textId="77777777" w:rsidR="006D7194" w:rsidRPr="00184FAF" w:rsidRDefault="006D7194" w:rsidP="00757D35">
            <w:pPr>
              <w:rPr>
                <w:rFonts w:ascii="Aptos" w:hAnsi="Aptos"/>
                <w:b/>
                <w:bCs/>
              </w:rPr>
            </w:pPr>
            <w:r w:rsidRPr="00184FAF">
              <w:rPr>
                <w:rFonts w:ascii="Aptos" w:hAnsi="Aptos"/>
                <w:b/>
                <w:bCs/>
              </w:rPr>
              <w:t>Date:</w:t>
            </w:r>
          </w:p>
          <w:p w14:paraId="4CAE7FA4" w14:textId="77777777" w:rsidR="006D7194" w:rsidRPr="00184FAF" w:rsidRDefault="006D7194" w:rsidP="00757D35">
            <w:pPr>
              <w:rPr>
                <w:rFonts w:ascii="Aptos" w:hAnsi="Aptos"/>
                <w:b/>
                <w:bCs/>
              </w:rPr>
            </w:pPr>
          </w:p>
        </w:tc>
        <w:tc>
          <w:tcPr>
            <w:tcW w:w="8176" w:type="dxa"/>
          </w:tcPr>
          <w:p w14:paraId="5D6391C4" w14:textId="21AE962C" w:rsidR="006D7194" w:rsidRPr="00184FAF" w:rsidRDefault="006D7194" w:rsidP="00757D35">
            <w:pPr>
              <w:pStyle w:val="Footer"/>
              <w:widowControl w:val="0"/>
              <w:rPr>
                <w:rFonts w:ascii="Aptos" w:hAnsi="Aptos"/>
              </w:rPr>
            </w:pPr>
            <w:r w:rsidRPr="5CFDEB0D">
              <w:rPr>
                <w:rFonts w:ascii="Aptos" w:hAnsi="Aptos"/>
              </w:rPr>
              <w:t>March</w:t>
            </w:r>
            <w:r w:rsidR="00080E7E" w:rsidRPr="5CFDEB0D">
              <w:rPr>
                <w:rFonts w:ascii="Aptos" w:hAnsi="Aptos"/>
              </w:rPr>
              <w:t xml:space="preserve"> </w:t>
            </w:r>
            <w:r w:rsidR="7BD711C4" w:rsidRPr="5CFDEB0D">
              <w:rPr>
                <w:rFonts w:ascii="Aptos" w:hAnsi="Aptos"/>
              </w:rPr>
              <w:t>18</w:t>
            </w:r>
            <w:r w:rsidRPr="5CFDEB0D">
              <w:rPr>
                <w:rFonts w:ascii="Aptos" w:hAnsi="Aptos"/>
              </w:rPr>
              <w:t>, 2025</w:t>
            </w:r>
          </w:p>
        </w:tc>
      </w:tr>
      <w:tr w:rsidR="006D7194" w:rsidRPr="00184FAF" w14:paraId="2FE767B2" w14:textId="77777777" w:rsidTr="5CFDEB0D">
        <w:tc>
          <w:tcPr>
            <w:tcW w:w="1184" w:type="dxa"/>
          </w:tcPr>
          <w:p w14:paraId="426861EB" w14:textId="77777777" w:rsidR="006D7194" w:rsidRPr="00184FAF" w:rsidRDefault="006D7194" w:rsidP="00757D35">
            <w:pPr>
              <w:rPr>
                <w:rFonts w:ascii="Aptos" w:hAnsi="Aptos"/>
                <w:b/>
              </w:rPr>
            </w:pPr>
            <w:r w:rsidRPr="00184FAF">
              <w:rPr>
                <w:rFonts w:ascii="Aptos" w:hAnsi="Aptos"/>
                <w:b/>
              </w:rPr>
              <w:t>Subject:</w:t>
            </w:r>
          </w:p>
        </w:tc>
        <w:tc>
          <w:tcPr>
            <w:tcW w:w="8176" w:type="dxa"/>
          </w:tcPr>
          <w:p w14:paraId="39814957" w14:textId="3FE78B37" w:rsidR="006D7194" w:rsidRPr="00184FAF" w:rsidRDefault="006D7194" w:rsidP="5C127182">
            <w:pPr>
              <w:pStyle w:val="Footer"/>
              <w:widowControl w:val="0"/>
              <w:rPr>
                <w:rFonts w:ascii="Aptos" w:hAnsi="Aptos"/>
                <w:snapToGrid w:val="0"/>
              </w:rPr>
            </w:pPr>
            <w:r w:rsidRPr="00184FAF">
              <w:rPr>
                <w:rFonts w:ascii="Aptos" w:hAnsi="Aptos"/>
                <w:snapToGrid w:val="0"/>
              </w:rPr>
              <w:t xml:space="preserve">College Access: </w:t>
            </w:r>
            <w:r w:rsidR="002B3B74" w:rsidRPr="00184FAF">
              <w:rPr>
                <w:rFonts w:ascii="Aptos" w:hAnsi="Aptos"/>
                <w:snapToGrid w:val="0"/>
              </w:rPr>
              <w:t xml:space="preserve">Update </w:t>
            </w:r>
            <w:r w:rsidR="00B9437F" w:rsidRPr="00184FAF">
              <w:rPr>
                <w:rFonts w:ascii="Aptos" w:hAnsi="Aptos"/>
                <w:snapToGrid w:val="0"/>
              </w:rPr>
              <w:t xml:space="preserve">on </w:t>
            </w:r>
            <w:r w:rsidRPr="00184FAF">
              <w:rPr>
                <w:rFonts w:ascii="Aptos" w:hAnsi="Aptos"/>
                <w:snapToGrid w:val="0"/>
              </w:rPr>
              <w:t xml:space="preserve">ACARE and Increasing FAFSA and MASFA Completion </w:t>
            </w:r>
          </w:p>
        </w:tc>
      </w:tr>
    </w:tbl>
    <w:p w14:paraId="619E8648" w14:textId="77777777" w:rsidR="006D7194" w:rsidRPr="00832EC9" w:rsidRDefault="006D7194" w:rsidP="5C127182">
      <w:pPr>
        <w:pBdr>
          <w:bottom w:val="single" w:sz="4" w:space="1" w:color="auto"/>
        </w:pBdr>
        <w:rPr>
          <w:rFonts w:ascii="Aptos" w:hAnsi="Aptos"/>
        </w:rPr>
      </w:pPr>
    </w:p>
    <w:p w14:paraId="19925838" w14:textId="77777777" w:rsidR="006D7194" w:rsidRPr="00832EC9" w:rsidRDefault="006D7194" w:rsidP="5C127182">
      <w:pPr>
        <w:rPr>
          <w:rFonts w:ascii="Aptos" w:hAnsi="Aptos"/>
          <w:sz w:val="16"/>
          <w:szCs w:val="16"/>
        </w:rPr>
        <w:sectPr w:rsidR="006D7194" w:rsidRPr="00832EC9" w:rsidSect="006D7194">
          <w:endnotePr>
            <w:numFmt w:val="decimal"/>
          </w:endnotePr>
          <w:type w:val="continuous"/>
          <w:pgSz w:w="12240" w:h="15840"/>
          <w:pgMar w:top="1440" w:right="1440" w:bottom="1440" w:left="1440" w:header="1440" w:footer="1440" w:gutter="0"/>
          <w:cols w:space="720"/>
          <w:noEndnote/>
        </w:sectPr>
      </w:pPr>
    </w:p>
    <w:p w14:paraId="6B634F22" w14:textId="77777777" w:rsidR="00757D35" w:rsidRPr="00832EC9" w:rsidRDefault="00757D35" w:rsidP="00757D35">
      <w:pPr>
        <w:widowControl/>
        <w:rPr>
          <w:rFonts w:ascii="Aptos" w:eastAsia="Calibri" w:hAnsi="Aptos" w:cstheme="minorHAnsi"/>
          <w:snapToGrid/>
          <w:color w:val="000000"/>
          <w:szCs w:val="24"/>
        </w:rPr>
      </w:pPr>
    </w:p>
    <w:p w14:paraId="739805BF" w14:textId="4B156FED" w:rsidR="008E4066" w:rsidRPr="00832EC9" w:rsidRDefault="008E4066" w:rsidP="66178742">
      <w:pPr>
        <w:widowControl/>
        <w:rPr>
          <w:rFonts w:ascii="Aptos" w:eastAsia="Calibri" w:hAnsi="Aptos" w:cstheme="minorBidi"/>
          <w:snapToGrid/>
          <w:color w:val="000000"/>
        </w:rPr>
      </w:pPr>
      <w:r w:rsidRPr="66178742">
        <w:rPr>
          <w:rFonts w:ascii="Aptos" w:eastAsia="Calibri" w:hAnsi="Aptos" w:cstheme="minorBidi"/>
          <w:snapToGrid/>
          <w:color w:val="000000"/>
        </w:rPr>
        <w:t xml:space="preserve">At the </w:t>
      </w:r>
      <w:r w:rsidR="000333FB" w:rsidRPr="66178742">
        <w:rPr>
          <w:rFonts w:ascii="Aptos" w:eastAsia="Calibri" w:hAnsi="Aptos" w:cstheme="minorBidi"/>
          <w:snapToGrid/>
          <w:color w:val="000000"/>
        </w:rPr>
        <w:t xml:space="preserve">March 25, 2025 </w:t>
      </w:r>
      <w:r w:rsidRPr="66178742">
        <w:rPr>
          <w:rFonts w:ascii="Aptos" w:eastAsia="Calibri" w:hAnsi="Aptos" w:cstheme="minorBidi"/>
          <w:snapToGrid/>
          <w:color w:val="000000"/>
        </w:rPr>
        <w:t>meeting of the Board of Elementary and Secondary Education (Board)</w:t>
      </w:r>
      <w:r w:rsidR="00D40A32" w:rsidRPr="66178742">
        <w:rPr>
          <w:rFonts w:ascii="Aptos" w:eastAsia="Calibri" w:hAnsi="Aptos" w:cstheme="minorBidi"/>
          <w:snapToGrid/>
          <w:color w:val="000000"/>
        </w:rPr>
        <w:t>,</w:t>
      </w:r>
      <w:r w:rsidRPr="66178742">
        <w:rPr>
          <w:rFonts w:ascii="Aptos" w:eastAsia="Calibri" w:hAnsi="Aptos" w:cstheme="minorBidi"/>
          <w:snapToGrid/>
          <w:color w:val="000000"/>
        </w:rPr>
        <w:t xml:space="preserve"> </w:t>
      </w:r>
      <w:r w:rsidR="00D40A32" w:rsidRPr="66178742">
        <w:rPr>
          <w:rFonts w:ascii="Aptos" w:eastAsia="Calibri" w:hAnsi="Aptos" w:cstheme="minorBidi"/>
          <w:snapToGrid/>
          <w:color w:val="000000"/>
        </w:rPr>
        <w:t xml:space="preserve"> staff </w:t>
      </w:r>
      <w:r w:rsidRPr="66178742">
        <w:rPr>
          <w:rFonts w:ascii="Aptos" w:eastAsia="Calibri" w:hAnsi="Aptos" w:cstheme="minorBidi"/>
          <w:snapToGrid/>
          <w:color w:val="000000"/>
        </w:rPr>
        <w:t>from the Department of Elementary and Secondary Education</w:t>
      </w:r>
      <w:r w:rsidR="00D40A32" w:rsidRPr="66178742">
        <w:rPr>
          <w:rFonts w:ascii="Aptos" w:eastAsia="Calibri" w:hAnsi="Aptos" w:cstheme="minorBidi"/>
          <w:snapToGrid/>
          <w:color w:val="000000"/>
        </w:rPr>
        <w:t xml:space="preserve"> (DESE)</w:t>
      </w:r>
      <w:r w:rsidR="00537B2F" w:rsidRPr="66178742">
        <w:rPr>
          <w:rFonts w:ascii="Aptos" w:eastAsia="Calibri" w:hAnsi="Aptos" w:cstheme="minorBidi"/>
          <w:snapToGrid/>
          <w:color w:val="000000"/>
        </w:rPr>
        <w:t xml:space="preserve"> including</w:t>
      </w:r>
      <w:r w:rsidRPr="66178742">
        <w:rPr>
          <w:rFonts w:ascii="Aptos" w:eastAsia="Calibri" w:hAnsi="Aptos" w:cstheme="minorBidi"/>
          <w:snapToGrid/>
          <w:color w:val="000000"/>
        </w:rPr>
        <w:t xml:space="preserve"> </w:t>
      </w:r>
      <w:r w:rsidR="00D37A10" w:rsidRPr="66178742">
        <w:rPr>
          <w:rFonts w:ascii="Aptos" w:eastAsia="Calibri" w:hAnsi="Aptos" w:cstheme="minorBidi"/>
          <w:snapToGrid/>
          <w:color w:val="000000"/>
        </w:rPr>
        <w:t xml:space="preserve">Associate Commissioner of </w:t>
      </w:r>
      <w:r w:rsidRPr="66178742">
        <w:rPr>
          <w:rFonts w:ascii="Aptos" w:eastAsia="Calibri" w:hAnsi="Aptos" w:cstheme="minorBidi"/>
          <w:snapToGrid/>
          <w:color w:val="000000"/>
        </w:rPr>
        <w:t>College, Career, and Technical Education</w:t>
      </w:r>
      <w:r w:rsidR="00DD3C8F" w:rsidRPr="66178742">
        <w:rPr>
          <w:rFonts w:ascii="Aptos" w:eastAsia="Calibri" w:hAnsi="Aptos" w:cstheme="minorBidi"/>
          <w:snapToGrid/>
          <w:color w:val="000000"/>
        </w:rPr>
        <w:t xml:space="preserve"> Elizabeth Bennett</w:t>
      </w:r>
      <w:r w:rsidR="00757D35" w:rsidRPr="66178742">
        <w:rPr>
          <w:rFonts w:ascii="Aptos" w:eastAsia="Calibri" w:hAnsi="Aptos" w:cstheme="minorBidi"/>
          <w:snapToGrid/>
          <w:color w:val="000000"/>
        </w:rPr>
        <w:t>,</w:t>
      </w:r>
      <w:r w:rsidR="00DD3C8F" w:rsidRPr="66178742">
        <w:rPr>
          <w:rFonts w:ascii="Aptos" w:eastAsia="Calibri" w:hAnsi="Aptos" w:cstheme="minorBidi"/>
          <w:snapToGrid/>
          <w:color w:val="000000"/>
        </w:rPr>
        <w:t xml:space="preserve"> Nyal Fuentes</w:t>
      </w:r>
      <w:r w:rsidR="004A1AE7" w:rsidRPr="66178742">
        <w:rPr>
          <w:rFonts w:ascii="Aptos" w:eastAsia="Calibri" w:hAnsi="Aptos" w:cstheme="minorBidi"/>
          <w:snapToGrid/>
          <w:color w:val="000000"/>
        </w:rPr>
        <w:t>,</w:t>
      </w:r>
      <w:r w:rsidR="00DD3C8F" w:rsidRPr="66178742">
        <w:rPr>
          <w:rFonts w:ascii="Aptos" w:eastAsia="Calibri" w:hAnsi="Aptos" w:cstheme="minorBidi"/>
          <w:snapToGrid/>
          <w:color w:val="000000"/>
        </w:rPr>
        <w:t xml:space="preserve"> Coordinator of College and Career Readiness, and Lisa Harney, Coordinator of Secondary Supports</w:t>
      </w:r>
      <w:r w:rsidR="00937B49" w:rsidRPr="66178742">
        <w:rPr>
          <w:rFonts w:ascii="Aptos" w:eastAsia="Calibri" w:hAnsi="Aptos" w:cstheme="minorBidi"/>
          <w:snapToGrid/>
          <w:color w:val="000000"/>
        </w:rPr>
        <w:t>,</w:t>
      </w:r>
      <w:r w:rsidR="00DD3C8F" w:rsidRPr="66178742">
        <w:rPr>
          <w:rFonts w:ascii="Aptos" w:eastAsia="Calibri" w:hAnsi="Aptos" w:cstheme="minorBidi"/>
          <w:snapToGrid/>
          <w:color w:val="000000"/>
        </w:rPr>
        <w:t xml:space="preserve"> </w:t>
      </w:r>
      <w:r w:rsidRPr="66178742">
        <w:rPr>
          <w:rFonts w:ascii="Aptos" w:eastAsia="Calibri" w:hAnsi="Aptos" w:cstheme="minorBidi"/>
          <w:snapToGrid/>
          <w:color w:val="000000"/>
        </w:rPr>
        <w:t>and Department of Higher Education</w:t>
      </w:r>
      <w:r w:rsidR="00537B2F" w:rsidRPr="66178742">
        <w:rPr>
          <w:rFonts w:ascii="Aptos" w:eastAsia="Calibri" w:hAnsi="Aptos" w:cstheme="minorBidi"/>
          <w:snapToGrid/>
          <w:color w:val="000000"/>
        </w:rPr>
        <w:t xml:space="preserve"> (DHE)</w:t>
      </w:r>
      <w:r w:rsidRPr="66178742">
        <w:rPr>
          <w:rFonts w:ascii="Aptos" w:eastAsia="Calibri" w:hAnsi="Aptos" w:cstheme="minorBidi"/>
          <w:snapToGrid/>
          <w:color w:val="000000"/>
        </w:rPr>
        <w:t xml:space="preserve"> GEAR UP Director Robert Dais will </w:t>
      </w:r>
      <w:r w:rsidR="00D13527" w:rsidRPr="66178742">
        <w:rPr>
          <w:rFonts w:ascii="Aptos" w:eastAsia="Calibri" w:hAnsi="Aptos" w:cstheme="minorBidi"/>
          <w:snapToGrid/>
          <w:color w:val="000000"/>
        </w:rPr>
        <w:t xml:space="preserve">present </w:t>
      </w:r>
      <w:r w:rsidRPr="66178742">
        <w:rPr>
          <w:rFonts w:ascii="Aptos" w:eastAsia="Calibri" w:hAnsi="Aptos" w:cstheme="minorBidi"/>
          <w:snapToGrid/>
          <w:color w:val="000000"/>
        </w:rPr>
        <w:t>an update</w:t>
      </w:r>
      <w:r w:rsidR="00757D35" w:rsidRPr="66178742">
        <w:rPr>
          <w:rFonts w:ascii="Aptos" w:eastAsia="Calibri" w:hAnsi="Aptos" w:cstheme="minorBidi"/>
          <w:snapToGrid/>
          <w:color w:val="000000"/>
        </w:rPr>
        <w:t xml:space="preserve"> on</w:t>
      </w:r>
      <w:r w:rsidRPr="66178742">
        <w:rPr>
          <w:rFonts w:ascii="Aptos" w:eastAsia="Calibri" w:hAnsi="Aptos" w:cstheme="minorBidi"/>
          <w:snapToGrid/>
          <w:color w:val="000000"/>
        </w:rPr>
        <w:t xml:space="preserve"> </w:t>
      </w:r>
      <w:r w:rsidR="00757D35" w:rsidRPr="66178742">
        <w:rPr>
          <w:rFonts w:ascii="Aptos" w:eastAsia="Calibri" w:hAnsi="Aptos" w:cstheme="minorBidi"/>
          <w:snapToGrid/>
          <w:color w:val="000000"/>
        </w:rPr>
        <w:t>progress related to goals and activities to increase college access and affordability for Massachusetts public school students</w:t>
      </w:r>
      <w:r w:rsidR="00430CBA" w:rsidRPr="66178742">
        <w:rPr>
          <w:rFonts w:ascii="Aptos" w:eastAsia="Calibri" w:hAnsi="Aptos" w:cstheme="minorBidi"/>
          <w:snapToGrid/>
          <w:color w:val="000000"/>
        </w:rPr>
        <w:t xml:space="preserve">. </w:t>
      </w:r>
      <w:r w:rsidR="00D715E8" w:rsidRPr="66178742">
        <w:rPr>
          <w:rFonts w:ascii="Aptos" w:eastAsia="Calibri" w:hAnsi="Aptos" w:cstheme="minorBidi"/>
          <w:snapToGrid/>
          <w:color w:val="000000"/>
        </w:rPr>
        <w:t xml:space="preserve">The update </w:t>
      </w:r>
      <w:r w:rsidR="00184FAF" w:rsidRPr="66178742">
        <w:rPr>
          <w:rFonts w:ascii="Aptos" w:eastAsia="Calibri" w:hAnsi="Aptos" w:cstheme="minorBidi"/>
          <w:snapToGrid/>
          <w:color w:val="000000"/>
        </w:rPr>
        <w:t>builds upon the</w:t>
      </w:r>
      <w:r w:rsidR="003335F7" w:rsidRPr="66178742">
        <w:rPr>
          <w:rFonts w:ascii="Aptos" w:eastAsia="Calibri" w:hAnsi="Aptos" w:cstheme="minorBidi"/>
          <w:snapToGrid/>
          <w:color w:val="000000"/>
        </w:rPr>
        <w:t xml:space="preserve"> Governor’s</w:t>
      </w:r>
      <w:r w:rsidR="003335F7" w:rsidRPr="5CFDEB0D">
        <w:rPr>
          <w:rFonts w:ascii="Aptos" w:eastAsia="Calibri" w:hAnsi="Aptos" w:cstheme="minorBidi"/>
          <w:i/>
          <w:iCs/>
          <w:snapToGrid/>
          <w:color w:val="000000"/>
        </w:rPr>
        <w:t xml:space="preserve"> </w:t>
      </w:r>
      <w:hyperlink r:id="rId13">
        <w:r w:rsidR="003335F7" w:rsidRPr="5CFDEB0D">
          <w:rPr>
            <w:rStyle w:val="Hyperlink"/>
            <w:rFonts w:ascii="Aptos" w:eastAsia="Calibri" w:hAnsi="Aptos" w:cstheme="minorBidi"/>
            <w:i/>
            <w:iCs/>
          </w:rPr>
          <w:t xml:space="preserve">Advisory Council </w:t>
        </w:r>
        <w:r w:rsidR="11490571" w:rsidRPr="5CFDEB0D">
          <w:rPr>
            <w:rStyle w:val="Hyperlink"/>
            <w:rFonts w:ascii="Aptos" w:eastAsia="Calibri" w:hAnsi="Aptos" w:cstheme="minorBidi"/>
            <w:i/>
            <w:iCs/>
          </w:rPr>
          <w:t>for the</w:t>
        </w:r>
        <w:r w:rsidR="367652D0" w:rsidRPr="5CFDEB0D">
          <w:rPr>
            <w:rStyle w:val="Hyperlink"/>
            <w:rFonts w:ascii="Aptos" w:eastAsia="Calibri" w:hAnsi="Aptos" w:cstheme="minorBidi"/>
            <w:i/>
            <w:iCs/>
          </w:rPr>
          <w:t xml:space="preserve"> Advancement of Representation in Education (ACARE)</w:t>
        </w:r>
        <w:r w:rsidR="11490571" w:rsidRPr="5CFDEB0D">
          <w:rPr>
            <w:rStyle w:val="Hyperlink"/>
            <w:rFonts w:ascii="Aptos" w:eastAsia="Calibri" w:hAnsi="Aptos" w:cstheme="minorBidi"/>
            <w:i/>
            <w:iCs/>
          </w:rPr>
          <w:t xml:space="preserve"> </w:t>
        </w:r>
        <w:r w:rsidR="004A79AC" w:rsidRPr="5CFDEB0D">
          <w:rPr>
            <w:rStyle w:val="Hyperlink"/>
            <w:rFonts w:ascii="Aptos" w:eastAsia="Calibri" w:hAnsi="Aptos" w:cstheme="minorBidi"/>
            <w:i/>
            <w:iCs/>
          </w:rPr>
          <w:t>Re</w:t>
        </w:r>
        <w:r w:rsidR="0BE3D316" w:rsidRPr="5CFDEB0D">
          <w:rPr>
            <w:rStyle w:val="Hyperlink"/>
            <w:rFonts w:ascii="Aptos" w:eastAsia="Calibri" w:hAnsi="Aptos" w:cstheme="minorBidi"/>
            <w:i/>
            <w:iCs/>
          </w:rPr>
          <w:t>port</w:t>
        </w:r>
      </w:hyperlink>
      <w:r w:rsidR="004A79AC" w:rsidRPr="66178742">
        <w:rPr>
          <w:rFonts w:ascii="Aptos" w:eastAsia="Calibri" w:hAnsi="Aptos" w:cstheme="minorBidi"/>
          <w:snapToGrid/>
          <w:color w:val="000000"/>
        </w:rPr>
        <w:t xml:space="preserve"> </w:t>
      </w:r>
      <w:r w:rsidR="003335F7" w:rsidRPr="66178742">
        <w:rPr>
          <w:rFonts w:ascii="Aptos" w:eastAsia="Calibri" w:hAnsi="Aptos" w:cstheme="minorBidi"/>
          <w:snapToGrid/>
          <w:color w:val="000000"/>
        </w:rPr>
        <w:t xml:space="preserve">and </w:t>
      </w:r>
      <w:r w:rsidR="00757D35" w:rsidRPr="66178742">
        <w:rPr>
          <w:rFonts w:ascii="Aptos" w:eastAsia="Calibri" w:hAnsi="Aptos" w:cstheme="minorBidi"/>
          <w:snapToGrid/>
          <w:color w:val="000000"/>
        </w:rPr>
        <w:t xml:space="preserve">the </w:t>
      </w:r>
      <w:r w:rsidR="00757D35" w:rsidRPr="5CFDEB0D">
        <w:rPr>
          <w:rFonts w:ascii="Aptos" w:eastAsia="Calibri" w:hAnsi="Aptos" w:cstheme="minorBidi"/>
          <w:i/>
          <w:iCs/>
          <w:snapToGrid/>
          <w:color w:val="000000"/>
        </w:rPr>
        <w:t xml:space="preserve">Increasing FAFSA and MASFA Completion </w:t>
      </w:r>
      <w:r w:rsidR="00757D35" w:rsidRPr="66178742">
        <w:rPr>
          <w:rFonts w:ascii="Aptos" w:eastAsia="Calibri" w:hAnsi="Aptos" w:cstheme="minorBidi"/>
          <w:snapToGrid/>
          <w:color w:val="000000"/>
        </w:rPr>
        <w:t xml:space="preserve">report </w:t>
      </w:r>
      <w:r w:rsidR="009118B0" w:rsidRPr="66178742">
        <w:rPr>
          <w:rFonts w:ascii="Aptos" w:eastAsia="Calibri" w:hAnsi="Aptos" w:cstheme="minorBidi"/>
          <w:color w:val="000000" w:themeColor="text1"/>
        </w:rPr>
        <w:t>issued jointly by DESE and DHE in February 2025</w:t>
      </w:r>
      <w:r w:rsidR="009118B0" w:rsidRPr="66178742">
        <w:rPr>
          <w:rFonts w:ascii="Aptos" w:eastAsia="Calibri" w:hAnsi="Aptos" w:cstheme="minorBidi"/>
          <w:snapToGrid/>
          <w:color w:val="000000"/>
        </w:rPr>
        <w:t xml:space="preserve">. </w:t>
      </w:r>
      <w:r w:rsidR="00757D35" w:rsidRPr="66178742">
        <w:rPr>
          <w:rFonts w:ascii="Aptos" w:eastAsia="Calibri" w:hAnsi="Aptos" w:cstheme="minorBidi"/>
          <w:snapToGrid/>
          <w:color w:val="000000"/>
        </w:rPr>
        <w:t xml:space="preserve">  </w:t>
      </w:r>
    </w:p>
    <w:p w14:paraId="0A327FCB" w14:textId="77777777" w:rsidR="00757D35" w:rsidRPr="00832EC9" w:rsidRDefault="00757D35" w:rsidP="5C127182">
      <w:pPr>
        <w:widowControl/>
        <w:rPr>
          <w:rFonts w:ascii="Aptos" w:eastAsia="Calibri" w:hAnsi="Aptos" w:cstheme="minorBidi"/>
          <w:snapToGrid/>
          <w:color w:val="000000"/>
        </w:rPr>
      </w:pPr>
    </w:p>
    <w:p w14:paraId="77629897" w14:textId="5A0D94E0" w:rsidR="00757D35" w:rsidRPr="00832EC9" w:rsidRDefault="00757D35" w:rsidP="5C127182">
      <w:pPr>
        <w:widowControl/>
        <w:rPr>
          <w:rFonts w:ascii="Aptos" w:eastAsia="Calibri" w:hAnsi="Aptos" w:cstheme="minorBidi"/>
          <w:b/>
          <w:bCs/>
          <w:snapToGrid/>
          <w:color w:val="000000"/>
        </w:rPr>
      </w:pPr>
      <w:r w:rsidRPr="5C127182">
        <w:rPr>
          <w:rFonts w:ascii="Aptos" w:eastAsia="Calibri" w:hAnsi="Aptos" w:cstheme="minorBidi"/>
          <w:b/>
          <w:bCs/>
          <w:snapToGrid/>
          <w:color w:val="000000"/>
        </w:rPr>
        <w:t xml:space="preserve">Background </w:t>
      </w:r>
    </w:p>
    <w:p w14:paraId="184DCDE3" w14:textId="4AAA1306" w:rsidR="000D3FBB" w:rsidRPr="00832EC9" w:rsidRDefault="00757D35" w:rsidP="66178742">
      <w:pPr>
        <w:widowControl/>
        <w:rPr>
          <w:rFonts w:ascii="Aptos" w:eastAsia="Calibri" w:hAnsi="Aptos" w:cstheme="minorBidi"/>
          <w:snapToGrid/>
          <w:color w:val="000000"/>
        </w:rPr>
      </w:pPr>
      <w:r w:rsidRPr="66178742">
        <w:rPr>
          <w:rFonts w:ascii="Aptos" w:eastAsia="Calibri" w:hAnsi="Aptos" w:cstheme="minorBidi"/>
          <w:snapToGrid/>
          <w:color w:val="000000"/>
        </w:rPr>
        <w:t xml:space="preserve">Board members </w:t>
      </w:r>
      <w:r w:rsidR="00371DD3" w:rsidRPr="66178742">
        <w:rPr>
          <w:rFonts w:ascii="Aptos" w:eastAsia="Calibri" w:hAnsi="Aptos" w:cstheme="minorBidi"/>
          <w:snapToGrid/>
          <w:color w:val="000000"/>
        </w:rPr>
        <w:t xml:space="preserve">previously </w:t>
      </w:r>
      <w:r w:rsidRPr="66178742">
        <w:rPr>
          <w:rFonts w:ascii="Aptos" w:eastAsia="Calibri" w:hAnsi="Aptos" w:cstheme="minorBidi"/>
          <w:snapToGrid/>
          <w:color w:val="000000"/>
        </w:rPr>
        <w:t>received the Governor’s</w:t>
      </w:r>
      <w:r w:rsidRPr="5CFDEB0D">
        <w:rPr>
          <w:rFonts w:ascii="Aptos" w:eastAsia="Calibri" w:hAnsi="Aptos" w:cstheme="minorBidi"/>
          <w:i/>
          <w:iCs/>
          <w:snapToGrid/>
          <w:color w:val="000000"/>
        </w:rPr>
        <w:t xml:space="preserve"> Advisory Council </w:t>
      </w:r>
      <w:r w:rsidR="71DF84DD" w:rsidRPr="5CFDEB0D">
        <w:rPr>
          <w:rFonts w:ascii="Aptos" w:eastAsia="Calibri" w:hAnsi="Aptos" w:cstheme="minorBidi"/>
          <w:i/>
          <w:iCs/>
          <w:snapToGrid/>
          <w:color w:val="000000"/>
        </w:rPr>
        <w:t xml:space="preserve">for the Advancement of Representation in </w:t>
      </w:r>
      <w:r w:rsidRPr="5CFDEB0D">
        <w:rPr>
          <w:rFonts w:ascii="Aptos" w:eastAsia="Calibri" w:hAnsi="Aptos" w:cstheme="minorBidi"/>
          <w:i/>
          <w:iCs/>
          <w:snapToGrid/>
          <w:color w:val="000000"/>
        </w:rPr>
        <w:t>Education (ACARE) Re</w:t>
      </w:r>
      <w:r w:rsidR="74FD57AE" w:rsidRPr="5CFDEB0D">
        <w:rPr>
          <w:rFonts w:ascii="Aptos" w:eastAsia="Calibri" w:hAnsi="Aptos" w:cstheme="minorBidi"/>
          <w:i/>
          <w:iCs/>
          <w:snapToGrid/>
          <w:color w:val="000000"/>
        </w:rPr>
        <w:t>port</w:t>
      </w:r>
      <w:r w:rsidRPr="66178742">
        <w:rPr>
          <w:rFonts w:ascii="Aptos" w:eastAsia="Calibri" w:hAnsi="Aptos" w:cstheme="minorBidi"/>
          <w:snapToGrid/>
          <w:color w:val="000000"/>
        </w:rPr>
        <w:t xml:space="preserve">.  A brief overview of the report and progress are provided below to inform the discussion. </w:t>
      </w:r>
      <w:r w:rsidR="00067B98" w:rsidRPr="66178742">
        <w:rPr>
          <w:rFonts w:ascii="Aptos" w:eastAsia="Calibri" w:hAnsi="Aptos" w:cstheme="minorBidi"/>
          <w:snapToGrid/>
          <w:color w:val="000000"/>
        </w:rPr>
        <w:t>The Healey-Driscoll Administration established ACARE in June 2023, ahead of the Supreme Court decision on race-based admissions. The ACARE recommendations describe commitments of the Executive Office of Education (EOE) and DHE to enhance access to the state’s higher education system and provide a high-quality experience to all students regardless of background.  In January 2025, Secretary Tutwiler and DHE Commissioner Noe Ortega issued the first implementation plan relating to the ACARE recommendations, tied to the Commonwealth’s FY25 budget. </w:t>
      </w:r>
    </w:p>
    <w:p w14:paraId="79D0F4DD" w14:textId="77777777" w:rsidR="00757D35" w:rsidRPr="00832EC9" w:rsidRDefault="00757D35" w:rsidP="5C127182">
      <w:pPr>
        <w:widowControl/>
        <w:rPr>
          <w:rFonts w:ascii="Aptos" w:eastAsia="Calibri" w:hAnsi="Aptos" w:cstheme="minorBidi"/>
          <w:snapToGrid/>
          <w:color w:val="000000"/>
        </w:rPr>
      </w:pPr>
    </w:p>
    <w:p w14:paraId="6402C89D" w14:textId="59C4BFB3" w:rsidR="00C93EF2" w:rsidRPr="00832EC9" w:rsidRDefault="00C93EF2" w:rsidP="5C127182">
      <w:pPr>
        <w:widowControl/>
        <w:rPr>
          <w:rFonts w:ascii="Aptos" w:eastAsia="Calibri" w:hAnsi="Aptos" w:cstheme="minorBidi"/>
          <w:i/>
          <w:iCs/>
          <w:snapToGrid/>
          <w:color w:val="000000"/>
        </w:rPr>
      </w:pPr>
      <w:r w:rsidRPr="5C127182">
        <w:rPr>
          <w:rFonts w:ascii="Aptos" w:eastAsia="Calibri" w:hAnsi="Aptos" w:cstheme="minorBidi"/>
          <w:i/>
          <w:iCs/>
          <w:snapToGrid/>
          <w:color w:val="000000"/>
        </w:rPr>
        <w:t>Increasing FAFSA and MASFA Completion report</w:t>
      </w:r>
    </w:p>
    <w:p w14:paraId="152AA2AE" w14:textId="715926DF" w:rsidR="00463246" w:rsidRPr="00832EC9" w:rsidRDefault="2B033554" w:rsidP="66178742">
      <w:pPr>
        <w:widowControl/>
        <w:rPr>
          <w:rFonts w:ascii="Aptos" w:eastAsia="Calibri" w:hAnsi="Aptos" w:cstheme="minorBidi"/>
          <w:snapToGrid/>
          <w:color w:val="000000"/>
        </w:rPr>
      </w:pPr>
      <w:r w:rsidRPr="66178742">
        <w:rPr>
          <w:rFonts w:ascii="Aptos" w:eastAsia="Calibri" w:hAnsi="Aptos" w:cstheme="minorBidi"/>
          <w:snapToGrid/>
          <w:color w:val="000000"/>
        </w:rPr>
        <w:lastRenderedPageBreak/>
        <w:t>The Board of Elementary and Secondary Education and Board of Higher Education (collectively “Boards”)</w:t>
      </w:r>
      <w:r w:rsidR="5EA22EE5" w:rsidRPr="66178742">
        <w:rPr>
          <w:rFonts w:ascii="Aptos" w:eastAsia="Calibri" w:hAnsi="Aptos" w:cstheme="minorBidi"/>
          <w:snapToGrid/>
          <w:color w:val="000000"/>
        </w:rPr>
        <w:t xml:space="preserve"> </w:t>
      </w:r>
      <w:r w:rsidR="00135C98" w:rsidRPr="66178742">
        <w:rPr>
          <w:rFonts w:ascii="Aptos" w:eastAsia="Calibri" w:hAnsi="Aptos" w:cstheme="minorBidi"/>
          <w:snapToGrid/>
          <w:color w:val="000000"/>
        </w:rPr>
        <w:t xml:space="preserve">held a joint meeting on June 20, 2024. </w:t>
      </w:r>
      <w:r w:rsidR="5EA22EE5" w:rsidRPr="66178742">
        <w:rPr>
          <w:rFonts w:ascii="Aptos" w:eastAsia="Calibri" w:hAnsi="Aptos" w:cstheme="minorBidi"/>
          <w:snapToGrid/>
          <w:color w:val="000000"/>
        </w:rPr>
        <w:t>Higher Education Commissioner Noe Ortega</w:t>
      </w:r>
      <w:r w:rsidR="00D933CD" w:rsidRPr="66178742">
        <w:rPr>
          <w:rFonts w:ascii="Aptos" w:eastAsia="Calibri" w:hAnsi="Aptos" w:cstheme="minorBidi"/>
          <w:snapToGrid/>
          <w:color w:val="000000"/>
        </w:rPr>
        <w:t xml:space="preserve"> and I</w:t>
      </w:r>
      <w:r w:rsidR="5EA22EE5" w:rsidRPr="66178742">
        <w:rPr>
          <w:rFonts w:ascii="Aptos" w:eastAsia="Calibri" w:hAnsi="Aptos" w:cstheme="minorBidi"/>
          <w:snapToGrid/>
          <w:color w:val="000000"/>
        </w:rPr>
        <w:t xml:space="preserve"> prepared for the </w:t>
      </w:r>
      <w:r w:rsidR="00757D35" w:rsidRPr="66178742">
        <w:rPr>
          <w:rFonts w:ascii="Aptos" w:eastAsia="Calibri" w:hAnsi="Aptos" w:cstheme="minorBidi"/>
          <w:snapToGrid/>
          <w:color w:val="000000"/>
        </w:rPr>
        <w:t>B</w:t>
      </w:r>
      <w:r w:rsidR="5EA22EE5" w:rsidRPr="66178742">
        <w:rPr>
          <w:rFonts w:ascii="Aptos" w:eastAsia="Calibri" w:hAnsi="Aptos" w:cstheme="minorBidi"/>
          <w:snapToGrid/>
          <w:color w:val="000000"/>
        </w:rPr>
        <w:t xml:space="preserve">oards a joint memorandum highlighting the critical importance of Free Application for Federal Student Aid (FAFSA) and Massachusetts Application for State Financial Aid (MASFA) completion. A joint resolution that the Boards approved unanimously </w:t>
      </w:r>
      <w:r w:rsidR="00135C98" w:rsidRPr="66178742">
        <w:rPr>
          <w:rFonts w:ascii="Aptos" w:eastAsia="Calibri" w:hAnsi="Aptos" w:cstheme="minorBidi"/>
          <w:snapToGrid/>
          <w:color w:val="000000"/>
        </w:rPr>
        <w:t xml:space="preserve">at </w:t>
      </w:r>
      <w:r w:rsidR="5EA22EE5" w:rsidRPr="66178742">
        <w:rPr>
          <w:rFonts w:ascii="Aptos" w:eastAsia="Calibri" w:hAnsi="Aptos" w:cstheme="minorBidi"/>
          <w:snapToGrid/>
          <w:color w:val="000000"/>
        </w:rPr>
        <w:t>their June 2024 joint meeting affirms that completing the FAFSA or MASFA is a key pathway to higher education enrollment. An excerpt from the joint resolution reads:</w:t>
      </w:r>
    </w:p>
    <w:p w14:paraId="5ABA1F6E" w14:textId="77777777" w:rsidR="00537B2F" w:rsidRPr="00832EC9" w:rsidRDefault="00537B2F" w:rsidP="5C127182">
      <w:pPr>
        <w:widowControl/>
        <w:rPr>
          <w:rFonts w:ascii="Aptos" w:eastAsia="Calibri" w:hAnsi="Aptos" w:cstheme="minorBidi"/>
          <w:snapToGrid/>
          <w:color w:val="000000"/>
        </w:rPr>
      </w:pPr>
    </w:p>
    <w:p w14:paraId="30218CB2" w14:textId="7AA06473" w:rsidR="00463246" w:rsidRPr="00832EC9" w:rsidRDefault="00463246" w:rsidP="5C127182">
      <w:pPr>
        <w:widowControl/>
        <w:ind w:left="720"/>
        <w:rPr>
          <w:rFonts w:ascii="Aptos" w:eastAsia="Calibri" w:hAnsi="Aptos" w:cstheme="minorBidi"/>
          <w:i/>
          <w:iCs/>
          <w:snapToGrid/>
          <w:color w:val="000000"/>
        </w:rPr>
      </w:pPr>
      <w:r w:rsidRPr="5C127182">
        <w:rPr>
          <w:rFonts w:ascii="Aptos" w:eastAsia="Calibri" w:hAnsi="Aptos" w:cstheme="minorBidi"/>
          <w:i/>
          <w:iCs/>
          <w:snapToGrid/>
          <w:color w:val="000000"/>
        </w:rPr>
        <w:t xml:space="preserve">The Boards therefore direct their commissioners to continue their ongoing interagency collaboration and coordination to develop recommendations aimed at increasing awareness for students and their families on college affordability, including new state financial aid availability. The proximate goals should include increased FAFSA and MASFA completion rates, with the </w:t>
      </w:r>
      <w:proofErr w:type="gramStart"/>
      <w:r w:rsidRPr="5C127182">
        <w:rPr>
          <w:rFonts w:ascii="Aptos" w:eastAsia="Calibri" w:hAnsi="Aptos" w:cstheme="minorBidi"/>
          <w:i/>
          <w:iCs/>
          <w:snapToGrid/>
          <w:color w:val="000000"/>
        </w:rPr>
        <w:t>ultimate goal</w:t>
      </w:r>
      <w:proofErr w:type="gramEnd"/>
      <w:r w:rsidRPr="5C127182">
        <w:rPr>
          <w:rFonts w:ascii="Aptos" w:eastAsia="Calibri" w:hAnsi="Aptos" w:cstheme="minorBidi"/>
          <w:i/>
          <w:iCs/>
          <w:snapToGrid/>
          <w:color w:val="000000"/>
        </w:rPr>
        <w:t xml:space="preserve"> of increasing college-going rates. The scope should include examination of innovative, technology-enabled student engagement strategies, and separately, examination of policies such as mandatory FAFSA completion. T</w:t>
      </w:r>
      <w:r w:rsidR="00757D35" w:rsidRPr="5C127182">
        <w:rPr>
          <w:rFonts w:ascii="Aptos" w:eastAsia="Calibri" w:hAnsi="Aptos" w:cstheme="minorBidi"/>
          <w:i/>
          <w:iCs/>
          <w:snapToGrid/>
          <w:color w:val="000000"/>
        </w:rPr>
        <w:t>h</w:t>
      </w:r>
      <w:r w:rsidRPr="5C127182">
        <w:rPr>
          <w:rFonts w:ascii="Aptos" w:eastAsia="Calibri" w:hAnsi="Aptos" w:cstheme="minorBidi"/>
          <w:i/>
          <w:iCs/>
          <w:snapToGrid/>
          <w:color w:val="000000"/>
        </w:rPr>
        <w:t>e Boards encourage the commissioners to use existing infrastructure to pilot promising approaches to effectively communicate financial aid availability to students transitioning to postsecondary education. The Boards further request that the commissioners produce a joint annual report that includes FAFSA and MASFA completion rates by student groups and a summary of the interagency work on this topic.</w:t>
      </w:r>
    </w:p>
    <w:p w14:paraId="4C40BEFE" w14:textId="77777777" w:rsidR="00931FD6" w:rsidRPr="00832EC9" w:rsidRDefault="00931FD6" w:rsidP="5C127182">
      <w:pPr>
        <w:widowControl/>
        <w:rPr>
          <w:rFonts w:ascii="Aptos" w:eastAsia="Calibri" w:hAnsi="Aptos" w:cstheme="minorBidi"/>
          <w:snapToGrid/>
          <w:color w:val="000000"/>
        </w:rPr>
      </w:pPr>
    </w:p>
    <w:p w14:paraId="7DDC528C" w14:textId="15BB4487" w:rsidR="00463246" w:rsidRDefault="00463246" w:rsidP="5C127182">
      <w:pPr>
        <w:widowControl/>
        <w:rPr>
          <w:rFonts w:ascii="Aptos" w:eastAsia="Calibri" w:hAnsi="Aptos" w:cstheme="minorBidi"/>
          <w:snapToGrid/>
          <w:color w:val="000000"/>
        </w:rPr>
      </w:pPr>
      <w:r w:rsidRPr="5C127182">
        <w:rPr>
          <w:rFonts w:ascii="Aptos" w:eastAsia="Calibri" w:hAnsi="Aptos" w:cstheme="minorBidi"/>
          <w:snapToGrid/>
          <w:color w:val="000000"/>
        </w:rPr>
        <w:t>In furtherance of the Boards’ directive, this first annual report reviews the current state of FAFSA and MASFA completion in Massachusetts, as well as policies and strategies in other states and makes recommendations for increasing future financial aid applications and, by extension, college enrollment in Massachusetts.</w:t>
      </w:r>
    </w:p>
    <w:p w14:paraId="7D061909" w14:textId="77777777" w:rsidR="00B344A8" w:rsidRDefault="00B344A8" w:rsidP="5C127182">
      <w:pPr>
        <w:widowControl/>
        <w:rPr>
          <w:rFonts w:ascii="Aptos" w:eastAsia="Calibri" w:hAnsi="Aptos" w:cstheme="minorBidi"/>
          <w:snapToGrid/>
          <w:color w:val="000000"/>
        </w:rPr>
      </w:pPr>
    </w:p>
    <w:p w14:paraId="4F43B777" w14:textId="2BD66CD5" w:rsidR="00FB30CA" w:rsidRPr="00832EC9" w:rsidRDefault="361E370B" w:rsidP="5CFDEB0D">
      <w:pPr>
        <w:widowControl/>
        <w:rPr>
          <w:rFonts w:ascii="Aptos" w:eastAsia="Calibri" w:hAnsi="Aptos" w:cstheme="minorBidi"/>
          <w:snapToGrid/>
          <w:color w:val="000000"/>
        </w:rPr>
      </w:pPr>
      <w:r w:rsidRPr="66178742">
        <w:rPr>
          <w:rFonts w:ascii="Aptos" w:eastAsia="Calibri" w:hAnsi="Aptos" w:cstheme="minorBidi"/>
          <w:snapToGrid/>
          <w:color w:val="000000"/>
        </w:rPr>
        <w:t>As part of achieving the recommendations, the Secretary of Education and the Commissioner of Higher Education commit to certain implementation and accountability actions that include submission of periodic implementation plans t</w:t>
      </w:r>
      <w:r w:rsidR="46DDDD52" w:rsidRPr="66178742">
        <w:rPr>
          <w:rFonts w:ascii="Aptos" w:eastAsia="Calibri" w:hAnsi="Aptos" w:cstheme="minorBidi"/>
          <w:snapToGrid/>
          <w:color w:val="000000"/>
        </w:rPr>
        <w:t xml:space="preserve">o the Governor and Lieutenant Governor.  The first of those implementation plans was </w:t>
      </w:r>
      <w:hyperlink r:id="rId14" w:history="1">
        <w:r w:rsidR="46DDDD52" w:rsidRPr="001A1571">
          <w:rPr>
            <w:rStyle w:val="Hyperlink"/>
            <w:rFonts w:ascii="Aptos" w:eastAsia="Calibri" w:hAnsi="Aptos" w:cstheme="minorBidi"/>
            <w:snapToGrid/>
          </w:rPr>
          <w:t>issued in</w:t>
        </w:r>
        <w:r w:rsidR="009C6DCC" w:rsidRPr="001A1571">
          <w:rPr>
            <w:rStyle w:val="Hyperlink"/>
            <w:rFonts w:ascii="Aptos" w:eastAsia="Calibri" w:hAnsi="Aptos" w:cstheme="minorBidi"/>
            <w:snapToGrid/>
          </w:rPr>
          <w:t xml:space="preserve"> January 2025</w:t>
        </w:r>
      </w:hyperlink>
      <w:r w:rsidR="009C6DCC">
        <w:rPr>
          <w:rFonts w:ascii="Aptos" w:eastAsia="Calibri" w:hAnsi="Aptos" w:cstheme="minorBidi"/>
          <w:snapToGrid/>
          <w:color w:val="000000"/>
        </w:rPr>
        <w:t xml:space="preserve"> </w:t>
      </w:r>
      <w:r w:rsidR="46DDDD52" w:rsidRPr="5CFDEB0D">
        <w:rPr>
          <w:rFonts w:ascii="Aptos" w:eastAsia="Calibri" w:hAnsi="Aptos" w:cstheme="minorBidi"/>
          <w:color w:val="000000" w:themeColor="text1"/>
        </w:rPr>
        <w:t>tied to the Commonwealth’s FY25 budget.</w:t>
      </w:r>
    </w:p>
    <w:p w14:paraId="68D0B8F3" w14:textId="77777777" w:rsidR="00537B2F" w:rsidRPr="00832EC9" w:rsidRDefault="00537B2F" w:rsidP="5C127182">
      <w:pPr>
        <w:widowControl/>
        <w:rPr>
          <w:rFonts w:ascii="Aptos" w:eastAsia="Calibri" w:hAnsi="Aptos" w:cstheme="minorBidi"/>
          <w:snapToGrid/>
          <w:color w:val="000000"/>
        </w:rPr>
      </w:pPr>
    </w:p>
    <w:p w14:paraId="36F28C78" w14:textId="1A25DC75" w:rsidR="002E6A4C" w:rsidRPr="00832EC9" w:rsidRDefault="00DF6BB4" w:rsidP="66178742">
      <w:pPr>
        <w:widowControl/>
        <w:rPr>
          <w:rFonts w:ascii="Aptos" w:eastAsia="Calibri" w:hAnsi="Aptos" w:cstheme="minorBidi"/>
          <w:snapToGrid/>
          <w:color w:val="000000"/>
        </w:rPr>
      </w:pPr>
      <w:r w:rsidRPr="66178742">
        <w:rPr>
          <w:rFonts w:ascii="Aptos" w:eastAsia="Calibri" w:hAnsi="Aptos" w:cstheme="minorBidi"/>
          <w:snapToGrid/>
          <w:color w:val="000000"/>
        </w:rPr>
        <w:t>Th</w:t>
      </w:r>
      <w:r w:rsidR="71C58268" w:rsidRPr="66178742">
        <w:rPr>
          <w:rFonts w:ascii="Aptos" w:eastAsia="Calibri" w:hAnsi="Aptos" w:cstheme="minorBidi"/>
          <w:snapToGrid/>
          <w:color w:val="000000"/>
        </w:rPr>
        <w:t>e ACARE</w:t>
      </w:r>
      <w:r w:rsidRPr="66178742">
        <w:rPr>
          <w:rFonts w:ascii="Aptos" w:eastAsia="Calibri" w:hAnsi="Aptos" w:cstheme="minorBidi"/>
          <w:snapToGrid/>
          <w:color w:val="000000"/>
        </w:rPr>
        <w:t xml:space="preserve"> </w:t>
      </w:r>
      <w:r w:rsidR="6617092B" w:rsidRPr="66178742">
        <w:rPr>
          <w:rFonts w:ascii="Aptos" w:eastAsia="Calibri" w:hAnsi="Aptos" w:cstheme="minorBidi"/>
          <w:snapToGrid/>
          <w:color w:val="000000"/>
        </w:rPr>
        <w:t>report and recommendations</w:t>
      </w:r>
      <w:r w:rsidRPr="66178742">
        <w:rPr>
          <w:rFonts w:ascii="Aptos" w:eastAsia="Calibri" w:hAnsi="Aptos" w:cstheme="minorBidi"/>
          <w:snapToGrid/>
          <w:color w:val="000000"/>
        </w:rPr>
        <w:t xml:space="preserve"> </w:t>
      </w:r>
      <w:r w:rsidR="00537B2F" w:rsidRPr="66178742">
        <w:rPr>
          <w:rFonts w:ascii="Aptos" w:eastAsia="Calibri" w:hAnsi="Aptos" w:cstheme="minorBidi"/>
          <w:snapToGrid/>
          <w:color w:val="000000"/>
        </w:rPr>
        <w:t>align with DESE’s educational vision that reimagines the high school experience so that all students are engaged and prepared for postsecondary success and</w:t>
      </w:r>
      <w:r w:rsidRPr="66178742">
        <w:rPr>
          <w:rFonts w:ascii="Aptos" w:eastAsia="Calibri" w:hAnsi="Aptos" w:cstheme="minorBidi"/>
          <w:snapToGrid/>
          <w:color w:val="000000"/>
        </w:rPr>
        <w:t xml:space="preserve"> DHE’s vision of ensuring that public higher education opens doors of opportunity and </w:t>
      </w:r>
      <w:r w:rsidR="00E82DC1" w:rsidRPr="66178742">
        <w:rPr>
          <w:rFonts w:ascii="Aptos" w:eastAsia="Calibri" w:hAnsi="Aptos" w:cstheme="minorBidi"/>
          <w:snapToGrid/>
          <w:color w:val="000000"/>
        </w:rPr>
        <w:t>fulfillment</w:t>
      </w:r>
      <w:r w:rsidRPr="66178742">
        <w:rPr>
          <w:rFonts w:ascii="Aptos" w:eastAsia="Calibri" w:hAnsi="Aptos" w:cstheme="minorBidi"/>
          <w:snapToGrid/>
          <w:color w:val="000000"/>
        </w:rPr>
        <w:t xml:space="preserve"> for traditionally underserved populations, and significantly raises the enrollment, attainment and long-term success outcomes among under-represented student populations. </w:t>
      </w:r>
    </w:p>
    <w:sectPr w:rsidR="002E6A4C" w:rsidRPr="00832EC9" w:rsidSect="006D7194">
      <w:headerReference w:type="default" r:id="rId15"/>
      <w:footerReference w:type="default" r:id="rId16"/>
      <w:endnotePr>
        <w:numFmt w:val="decimal"/>
      </w:endnotePr>
      <w:type w:val="continuous"/>
      <w:pgSz w:w="12240" w:h="15840"/>
      <w:pgMar w:top="1440" w:right="1440" w:bottom="1440" w:left="1440" w:header="144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1FDE" w14:textId="77777777" w:rsidR="00FD5163" w:rsidRDefault="00FD5163">
      <w:r>
        <w:separator/>
      </w:r>
    </w:p>
  </w:endnote>
  <w:endnote w:type="continuationSeparator" w:id="0">
    <w:p w14:paraId="35A786B8" w14:textId="77777777" w:rsidR="00FD5163" w:rsidRDefault="00FD5163">
      <w:r>
        <w:continuationSeparator/>
      </w:r>
    </w:p>
  </w:endnote>
  <w:endnote w:type="continuationNotice" w:id="1">
    <w:p w14:paraId="4273F050" w14:textId="77777777" w:rsidR="00FD5163" w:rsidRDefault="00FD5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42C8C17B" w14:textId="77777777" w:rsidR="006D7194" w:rsidRDefault="006D7194" w:rsidP="00F94F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359D6" w14:textId="77777777" w:rsidR="006D7194" w:rsidRDefault="006D7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AA23" w14:textId="77777777" w:rsidR="006D7194" w:rsidRPr="00ED5501" w:rsidRDefault="006D7194" w:rsidP="00F94F97">
    <w:pPr>
      <w:pStyle w:val="Footer"/>
      <w:tabs>
        <w:tab w:val="left" w:pos="5412"/>
      </w:tabs>
    </w:pPr>
    <w:r>
      <w:rPr>
        <w:noProof/>
      </w:rPr>
      <w:drawing>
        <wp:anchor distT="0" distB="0" distL="114300" distR="114300" simplePos="0" relativeHeight="251658241" behindDoc="1" locked="0" layoutInCell="1" allowOverlap="1" wp14:anchorId="1FCDBA3D" wp14:editId="326E7B65">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02428"/>
      <w:docPartObj>
        <w:docPartGallery w:val="Page Numbers (Bottom of Page)"/>
        <w:docPartUnique/>
      </w:docPartObj>
    </w:sdt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F96BF" w14:textId="77777777" w:rsidR="00FD5163" w:rsidRDefault="00FD5163">
      <w:r>
        <w:separator/>
      </w:r>
    </w:p>
  </w:footnote>
  <w:footnote w:type="continuationSeparator" w:id="0">
    <w:p w14:paraId="25120088" w14:textId="77777777" w:rsidR="00FD5163" w:rsidRDefault="00FD5163">
      <w:r>
        <w:continuationSeparator/>
      </w:r>
    </w:p>
  </w:footnote>
  <w:footnote w:type="continuationNotice" w:id="1">
    <w:p w14:paraId="49631930" w14:textId="77777777" w:rsidR="00FD5163" w:rsidRDefault="00FD5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33CC" w14:textId="77777777" w:rsidR="006D7194" w:rsidRDefault="006D7194">
    <w:pPr>
      <w:pStyle w:val="Header"/>
    </w:pPr>
    <w:r>
      <w:rPr>
        <w:noProof/>
      </w:rPr>
      <w:drawing>
        <wp:anchor distT="0" distB="0" distL="114300" distR="114300" simplePos="0" relativeHeight="251658240" behindDoc="1" locked="0" layoutInCell="1" allowOverlap="1" wp14:anchorId="245FDD89" wp14:editId="0CC294A8">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96A2" w14:textId="27FFF303" w:rsidR="006D7194" w:rsidRDefault="006D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7429404">
    <w:abstractNumId w:val="5"/>
  </w:num>
  <w:num w:numId="2" w16cid:durableId="1334069354">
    <w:abstractNumId w:val="10"/>
  </w:num>
  <w:num w:numId="3" w16cid:durableId="20325344">
    <w:abstractNumId w:val="3"/>
  </w:num>
  <w:num w:numId="4" w16cid:durableId="369036187">
    <w:abstractNumId w:val="15"/>
  </w:num>
  <w:num w:numId="5" w16cid:durableId="1151168626">
    <w:abstractNumId w:val="6"/>
  </w:num>
  <w:num w:numId="6" w16cid:durableId="907614959">
    <w:abstractNumId w:val="13"/>
  </w:num>
  <w:num w:numId="7" w16cid:durableId="1345129200">
    <w:abstractNumId w:val="8"/>
  </w:num>
  <w:num w:numId="8" w16cid:durableId="1648821120">
    <w:abstractNumId w:val="2"/>
  </w:num>
  <w:num w:numId="9" w16cid:durableId="943072434">
    <w:abstractNumId w:val="1"/>
  </w:num>
  <w:num w:numId="10" w16cid:durableId="886066799">
    <w:abstractNumId w:val="0"/>
  </w:num>
  <w:num w:numId="11" w16cid:durableId="977107029">
    <w:abstractNumId w:val="16"/>
  </w:num>
  <w:num w:numId="12" w16cid:durableId="1213080023">
    <w:abstractNumId w:val="9"/>
  </w:num>
  <w:num w:numId="13" w16cid:durableId="2086102673">
    <w:abstractNumId w:val="19"/>
  </w:num>
  <w:num w:numId="14" w16cid:durableId="532501582">
    <w:abstractNumId w:val="12"/>
  </w:num>
  <w:num w:numId="15" w16cid:durableId="919872418">
    <w:abstractNumId w:val="4"/>
  </w:num>
  <w:num w:numId="16" w16cid:durableId="7708620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1201390">
    <w:abstractNumId w:val="21"/>
  </w:num>
  <w:num w:numId="18" w16cid:durableId="1864905705">
    <w:abstractNumId w:val="7"/>
  </w:num>
  <w:num w:numId="19" w16cid:durableId="802575092">
    <w:abstractNumId w:val="14"/>
  </w:num>
  <w:num w:numId="20" w16cid:durableId="273288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1057371">
    <w:abstractNumId w:val="20"/>
  </w:num>
  <w:num w:numId="22" w16cid:durableId="1289581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2D7A"/>
    <w:rsid w:val="00025507"/>
    <w:rsid w:val="000333FB"/>
    <w:rsid w:val="0004066E"/>
    <w:rsid w:val="00041CA1"/>
    <w:rsid w:val="00043ADE"/>
    <w:rsid w:val="000457B9"/>
    <w:rsid w:val="00046685"/>
    <w:rsid w:val="000475B1"/>
    <w:rsid w:val="00052B4E"/>
    <w:rsid w:val="00052EFE"/>
    <w:rsid w:val="00053DBE"/>
    <w:rsid w:val="00053E2B"/>
    <w:rsid w:val="000556C1"/>
    <w:rsid w:val="000576C5"/>
    <w:rsid w:val="00062FA8"/>
    <w:rsid w:val="00064857"/>
    <w:rsid w:val="00067B98"/>
    <w:rsid w:val="000706F8"/>
    <w:rsid w:val="00080E7E"/>
    <w:rsid w:val="00085950"/>
    <w:rsid w:val="000A065E"/>
    <w:rsid w:val="000A0D6A"/>
    <w:rsid w:val="000A0F1D"/>
    <w:rsid w:val="000A59A0"/>
    <w:rsid w:val="000B1BA0"/>
    <w:rsid w:val="000B1C0A"/>
    <w:rsid w:val="000B726B"/>
    <w:rsid w:val="000C2726"/>
    <w:rsid w:val="000C2BCD"/>
    <w:rsid w:val="000D0922"/>
    <w:rsid w:val="000D0DB3"/>
    <w:rsid w:val="000D1D52"/>
    <w:rsid w:val="000D23B5"/>
    <w:rsid w:val="000D3FBB"/>
    <w:rsid w:val="000E0994"/>
    <w:rsid w:val="000E49AC"/>
    <w:rsid w:val="000E5E95"/>
    <w:rsid w:val="000F4D5B"/>
    <w:rsid w:val="000F5CA7"/>
    <w:rsid w:val="0010052A"/>
    <w:rsid w:val="0010114E"/>
    <w:rsid w:val="00102369"/>
    <w:rsid w:val="001116D6"/>
    <w:rsid w:val="0011409B"/>
    <w:rsid w:val="001144C3"/>
    <w:rsid w:val="00116925"/>
    <w:rsid w:val="001258EC"/>
    <w:rsid w:val="00134901"/>
    <w:rsid w:val="00135C98"/>
    <w:rsid w:val="00136904"/>
    <w:rsid w:val="00142DAD"/>
    <w:rsid w:val="001449CB"/>
    <w:rsid w:val="001511A4"/>
    <w:rsid w:val="00151FBB"/>
    <w:rsid w:val="0015328C"/>
    <w:rsid w:val="001579CF"/>
    <w:rsid w:val="00164507"/>
    <w:rsid w:val="001652E5"/>
    <w:rsid w:val="00167E8F"/>
    <w:rsid w:val="00170340"/>
    <w:rsid w:val="001710B3"/>
    <w:rsid w:val="001766C5"/>
    <w:rsid w:val="00184FAF"/>
    <w:rsid w:val="00185E9E"/>
    <w:rsid w:val="00186803"/>
    <w:rsid w:val="00190AEB"/>
    <w:rsid w:val="00196311"/>
    <w:rsid w:val="001A1571"/>
    <w:rsid w:val="001A3384"/>
    <w:rsid w:val="001C0E08"/>
    <w:rsid w:val="001D2934"/>
    <w:rsid w:val="001D4709"/>
    <w:rsid w:val="001D4F6E"/>
    <w:rsid w:val="001E57B5"/>
    <w:rsid w:val="001F07FA"/>
    <w:rsid w:val="001F1BC3"/>
    <w:rsid w:val="001F5005"/>
    <w:rsid w:val="001F56D8"/>
    <w:rsid w:val="001F5825"/>
    <w:rsid w:val="00200F90"/>
    <w:rsid w:val="00201172"/>
    <w:rsid w:val="00201F34"/>
    <w:rsid w:val="00202752"/>
    <w:rsid w:val="00204713"/>
    <w:rsid w:val="00210C78"/>
    <w:rsid w:val="002111CB"/>
    <w:rsid w:val="00213AD5"/>
    <w:rsid w:val="00215FA9"/>
    <w:rsid w:val="002163A1"/>
    <w:rsid w:val="00221645"/>
    <w:rsid w:val="00225A5C"/>
    <w:rsid w:val="002308C1"/>
    <w:rsid w:val="002416E7"/>
    <w:rsid w:val="00241A1F"/>
    <w:rsid w:val="00243A55"/>
    <w:rsid w:val="00245BD3"/>
    <w:rsid w:val="002502CB"/>
    <w:rsid w:val="00256C9B"/>
    <w:rsid w:val="00261BFC"/>
    <w:rsid w:val="002654B4"/>
    <w:rsid w:val="00271228"/>
    <w:rsid w:val="002713FC"/>
    <w:rsid w:val="00273152"/>
    <w:rsid w:val="002813B0"/>
    <w:rsid w:val="00291F01"/>
    <w:rsid w:val="002A0EF6"/>
    <w:rsid w:val="002A3E22"/>
    <w:rsid w:val="002A68B5"/>
    <w:rsid w:val="002A6FF9"/>
    <w:rsid w:val="002B030B"/>
    <w:rsid w:val="002B09A2"/>
    <w:rsid w:val="002B1689"/>
    <w:rsid w:val="002B3B74"/>
    <w:rsid w:val="002B48F5"/>
    <w:rsid w:val="002B4B10"/>
    <w:rsid w:val="002B661D"/>
    <w:rsid w:val="002B71D9"/>
    <w:rsid w:val="002C0CF9"/>
    <w:rsid w:val="002C2CDF"/>
    <w:rsid w:val="002C56BD"/>
    <w:rsid w:val="002C5A79"/>
    <w:rsid w:val="002C622E"/>
    <w:rsid w:val="002D04DE"/>
    <w:rsid w:val="002D4EB8"/>
    <w:rsid w:val="002D6DA3"/>
    <w:rsid w:val="002E212B"/>
    <w:rsid w:val="002E4435"/>
    <w:rsid w:val="002E6A4C"/>
    <w:rsid w:val="002F3534"/>
    <w:rsid w:val="002F5424"/>
    <w:rsid w:val="00305DBF"/>
    <w:rsid w:val="00306095"/>
    <w:rsid w:val="00307FDD"/>
    <w:rsid w:val="00315230"/>
    <w:rsid w:val="003166C8"/>
    <w:rsid w:val="00316BAD"/>
    <w:rsid w:val="00316F05"/>
    <w:rsid w:val="00322454"/>
    <w:rsid w:val="00322894"/>
    <w:rsid w:val="00329642"/>
    <w:rsid w:val="003300A8"/>
    <w:rsid w:val="00330D15"/>
    <w:rsid w:val="003335F7"/>
    <w:rsid w:val="00341984"/>
    <w:rsid w:val="00353A86"/>
    <w:rsid w:val="0035445A"/>
    <w:rsid w:val="00354C15"/>
    <w:rsid w:val="003550DC"/>
    <w:rsid w:val="0035543E"/>
    <w:rsid w:val="00360559"/>
    <w:rsid w:val="00361467"/>
    <w:rsid w:val="00363A77"/>
    <w:rsid w:val="00363EC5"/>
    <w:rsid w:val="00365F2F"/>
    <w:rsid w:val="00367B1E"/>
    <w:rsid w:val="00371DD3"/>
    <w:rsid w:val="003816FF"/>
    <w:rsid w:val="0039194F"/>
    <w:rsid w:val="0039533A"/>
    <w:rsid w:val="003953C8"/>
    <w:rsid w:val="003A2F60"/>
    <w:rsid w:val="003B43E3"/>
    <w:rsid w:val="003C3454"/>
    <w:rsid w:val="003C4139"/>
    <w:rsid w:val="003D0F91"/>
    <w:rsid w:val="003D25FA"/>
    <w:rsid w:val="003D335F"/>
    <w:rsid w:val="003E268F"/>
    <w:rsid w:val="003E7D50"/>
    <w:rsid w:val="003F64CA"/>
    <w:rsid w:val="00404B36"/>
    <w:rsid w:val="0040505E"/>
    <w:rsid w:val="00405677"/>
    <w:rsid w:val="0040659C"/>
    <w:rsid w:val="0041210C"/>
    <w:rsid w:val="004159AD"/>
    <w:rsid w:val="004173F3"/>
    <w:rsid w:val="004202BA"/>
    <w:rsid w:val="004233C3"/>
    <w:rsid w:val="004242A3"/>
    <w:rsid w:val="004305A3"/>
    <w:rsid w:val="00430CBA"/>
    <w:rsid w:val="00435E8F"/>
    <w:rsid w:val="00442409"/>
    <w:rsid w:val="00442F66"/>
    <w:rsid w:val="004621DF"/>
    <w:rsid w:val="00463246"/>
    <w:rsid w:val="00466D00"/>
    <w:rsid w:val="00471607"/>
    <w:rsid w:val="00473F1D"/>
    <w:rsid w:val="00480EB1"/>
    <w:rsid w:val="00481D9E"/>
    <w:rsid w:val="00484D70"/>
    <w:rsid w:val="00485687"/>
    <w:rsid w:val="00487EF3"/>
    <w:rsid w:val="0049325F"/>
    <w:rsid w:val="00493CB7"/>
    <w:rsid w:val="004A1AE7"/>
    <w:rsid w:val="004A33E4"/>
    <w:rsid w:val="004A4B97"/>
    <w:rsid w:val="004A669E"/>
    <w:rsid w:val="004A79AC"/>
    <w:rsid w:val="004A7C2E"/>
    <w:rsid w:val="004B2D72"/>
    <w:rsid w:val="004B3C8A"/>
    <w:rsid w:val="004D040A"/>
    <w:rsid w:val="004D2264"/>
    <w:rsid w:val="004D2307"/>
    <w:rsid w:val="004D4CBB"/>
    <w:rsid w:val="004D4CF2"/>
    <w:rsid w:val="004E060F"/>
    <w:rsid w:val="004E5697"/>
    <w:rsid w:val="004F2ACF"/>
    <w:rsid w:val="005002A8"/>
    <w:rsid w:val="00500C1E"/>
    <w:rsid w:val="00501082"/>
    <w:rsid w:val="00506A3E"/>
    <w:rsid w:val="00507BF7"/>
    <w:rsid w:val="00511E41"/>
    <w:rsid w:val="005122F8"/>
    <w:rsid w:val="005135B4"/>
    <w:rsid w:val="0051662B"/>
    <w:rsid w:val="00516A0F"/>
    <w:rsid w:val="005217FC"/>
    <w:rsid w:val="00533E8F"/>
    <w:rsid w:val="00534FF2"/>
    <w:rsid w:val="00536648"/>
    <w:rsid w:val="00537B2F"/>
    <w:rsid w:val="005430E2"/>
    <w:rsid w:val="005463E4"/>
    <w:rsid w:val="0055308F"/>
    <w:rsid w:val="00554B85"/>
    <w:rsid w:val="00554F3B"/>
    <w:rsid w:val="00555019"/>
    <w:rsid w:val="00571660"/>
    <w:rsid w:val="00571666"/>
    <w:rsid w:val="0057240F"/>
    <w:rsid w:val="00574F3B"/>
    <w:rsid w:val="00580DFA"/>
    <w:rsid w:val="00584801"/>
    <w:rsid w:val="005860B2"/>
    <w:rsid w:val="0058702A"/>
    <w:rsid w:val="0059178C"/>
    <w:rsid w:val="00595D74"/>
    <w:rsid w:val="00596375"/>
    <w:rsid w:val="005A3DFB"/>
    <w:rsid w:val="005A4C11"/>
    <w:rsid w:val="005B0DAB"/>
    <w:rsid w:val="005C1013"/>
    <w:rsid w:val="005D013E"/>
    <w:rsid w:val="005D1011"/>
    <w:rsid w:val="005D395A"/>
    <w:rsid w:val="005E3535"/>
    <w:rsid w:val="005E4C60"/>
    <w:rsid w:val="005E5C82"/>
    <w:rsid w:val="005F2DD8"/>
    <w:rsid w:val="005F4333"/>
    <w:rsid w:val="00603C4D"/>
    <w:rsid w:val="00603CA0"/>
    <w:rsid w:val="00607244"/>
    <w:rsid w:val="00607C24"/>
    <w:rsid w:val="00616E24"/>
    <w:rsid w:val="00620208"/>
    <w:rsid w:val="0062125B"/>
    <w:rsid w:val="00622645"/>
    <w:rsid w:val="006266FE"/>
    <w:rsid w:val="00630B70"/>
    <w:rsid w:val="00634EB6"/>
    <w:rsid w:val="00635070"/>
    <w:rsid w:val="006375F6"/>
    <w:rsid w:val="0064770F"/>
    <w:rsid w:val="00653DA3"/>
    <w:rsid w:val="00655B55"/>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D7194"/>
    <w:rsid w:val="006F339C"/>
    <w:rsid w:val="006F5210"/>
    <w:rsid w:val="006F57AE"/>
    <w:rsid w:val="0070183C"/>
    <w:rsid w:val="00701F3B"/>
    <w:rsid w:val="0070548F"/>
    <w:rsid w:val="007072FB"/>
    <w:rsid w:val="00711AB6"/>
    <w:rsid w:val="00713DC9"/>
    <w:rsid w:val="00714801"/>
    <w:rsid w:val="00715474"/>
    <w:rsid w:val="007155C0"/>
    <w:rsid w:val="007256AB"/>
    <w:rsid w:val="007374CB"/>
    <w:rsid w:val="00741038"/>
    <w:rsid w:val="0074422E"/>
    <w:rsid w:val="00745EC9"/>
    <w:rsid w:val="00750959"/>
    <w:rsid w:val="00750D49"/>
    <w:rsid w:val="00755C81"/>
    <w:rsid w:val="007569B3"/>
    <w:rsid w:val="00757D35"/>
    <w:rsid w:val="00761FD8"/>
    <w:rsid w:val="00763B5B"/>
    <w:rsid w:val="00763C00"/>
    <w:rsid w:val="007665E9"/>
    <w:rsid w:val="0077043F"/>
    <w:rsid w:val="007732FB"/>
    <w:rsid w:val="00774BD3"/>
    <w:rsid w:val="00776BBC"/>
    <w:rsid w:val="0078410B"/>
    <w:rsid w:val="00784ACC"/>
    <w:rsid w:val="00785F0D"/>
    <w:rsid w:val="00787E2D"/>
    <w:rsid w:val="00791578"/>
    <w:rsid w:val="00793595"/>
    <w:rsid w:val="007A65BE"/>
    <w:rsid w:val="007B3EE1"/>
    <w:rsid w:val="007B5827"/>
    <w:rsid w:val="007C425E"/>
    <w:rsid w:val="007C6735"/>
    <w:rsid w:val="007D041B"/>
    <w:rsid w:val="007D2CAF"/>
    <w:rsid w:val="007D33D4"/>
    <w:rsid w:val="007E1ACC"/>
    <w:rsid w:val="007E2623"/>
    <w:rsid w:val="007E2E1E"/>
    <w:rsid w:val="007E62A6"/>
    <w:rsid w:val="00803008"/>
    <w:rsid w:val="00807EBF"/>
    <w:rsid w:val="0081037B"/>
    <w:rsid w:val="008126E8"/>
    <w:rsid w:val="008163FF"/>
    <w:rsid w:val="00824A61"/>
    <w:rsid w:val="0083108B"/>
    <w:rsid w:val="00831CE9"/>
    <w:rsid w:val="00832A24"/>
    <w:rsid w:val="00832EC9"/>
    <w:rsid w:val="0083611B"/>
    <w:rsid w:val="00841589"/>
    <w:rsid w:val="00843308"/>
    <w:rsid w:val="008439E7"/>
    <w:rsid w:val="00844114"/>
    <w:rsid w:val="00844D0E"/>
    <w:rsid w:val="008475E5"/>
    <w:rsid w:val="008551A3"/>
    <w:rsid w:val="00856EA1"/>
    <w:rsid w:val="008570D2"/>
    <w:rsid w:val="00865C47"/>
    <w:rsid w:val="00867C54"/>
    <w:rsid w:val="00870564"/>
    <w:rsid w:val="0088365C"/>
    <w:rsid w:val="008862AD"/>
    <w:rsid w:val="00887370"/>
    <w:rsid w:val="0089434C"/>
    <w:rsid w:val="00896E27"/>
    <w:rsid w:val="008A07BF"/>
    <w:rsid w:val="008A2EE1"/>
    <w:rsid w:val="008A5685"/>
    <w:rsid w:val="008A6EDC"/>
    <w:rsid w:val="008A6FE5"/>
    <w:rsid w:val="008B14B1"/>
    <w:rsid w:val="008C238A"/>
    <w:rsid w:val="008C5534"/>
    <w:rsid w:val="008C6578"/>
    <w:rsid w:val="008C6F0E"/>
    <w:rsid w:val="008D0443"/>
    <w:rsid w:val="008D1C58"/>
    <w:rsid w:val="008D470F"/>
    <w:rsid w:val="008D5853"/>
    <w:rsid w:val="008E4066"/>
    <w:rsid w:val="008E53BD"/>
    <w:rsid w:val="008E732C"/>
    <w:rsid w:val="008F18E7"/>
    <w:rsid w:val="008F57DA"/>
    <w:rsid w:val="008FD222"/>
    <w:rsid w:val="009005EB"/>
    <w:rsid w:val="00901C88"/>
    <w:rsid w:val="009048AD"/>
    <w:rsid w:val="009118B0"/>
    <w:rsid w:val="00917F9D"/>
    <w:rsid w:val="00917FC7"/>
    <w:rsid w:val="00931FD6"/>
    <w:rsid w:val="00932810"/>
    <w:rsid w:val="00932C66"/>
    <w:rsid w:val="00936F13"/>
    <w:rsid w:val="00937B49"/>
    <w:rsid w:val="00937BC3"/>
    <w:rsid w:val="009448A9"/>
    <w:rsid w:val="00946156"/>
    <w:rsid w:val="009468E4"/>
    <w:rsid w:val="00947C0C"/>
    <w:rsid w:val="00955888"/>
    <w:rsid w:val="00955B1A"/>
    <w:rsid w:val="0096377A"/>
    <w:rsid w:val="0097067C"/>
    <w:rsid w:val="00972AD9"/>
    <w:rsid w:val="00976F4C"/>
    <w:rsid w:val="00977422"/>
    <w:rsid w:val="009778D0"/>
    <w:rsid w:val="00986649"/>
    <w:rsid w:val="009948D1"/>
    <w:rsid w:val="00996805"/>
    <w:rsid w:val="009972BC"/>
    <w:rsid w:val="009A0C9F"/>
    <w:rsid w:val="009A3F37"/>
    <w:rsid w:val="009A5471"/>
    <w:rsid w:val="009A76CD"/>
    <w:rsid w:val="009B2087"/>
    <w:rsid w:val="009B3502"/>
    <w:rsid w:val="009B36D8"/>
    <w:rsid w:val="009B4B18"/>
    <w:rsid w:val="009C1350"/>
    <w:rsid w:val="009C5334"/>
    <w:rsid w:val="009C6DCC"/>
    <w:rsid w:val="009D11E3"/>
    <w:rsid w:val="009D638D"/>
    <w:rsid w:val="009D79A6"/>
    <w:rsid w:val="009E48AC"/>
    <w:rsid w:val="009E5DE8"/>
    <w:rsid w:val="009E7F16"/>
    <w:rsid w:val="009F0AFC"/>
    <w:rsid w:val="009F5663"/>
    <w:rsid w:val="009F7A16"/>
    <w:rsid w:val="00A02608"/>
    <w:rsid w:val="00A20194"/>
    <w:rsid w:val="00A327E4"/>
    <w:rsid w:val="00A37BA6"/>
    <w:rsid w:val="00A37CC3"/>
    <w:rsid w:val="00A41509"/>
    <w:rsid w:val="00A4251A"/>
    <w:rsid w:val="00A4297E"/>
    <w:rsid w:val="00A464FB"/>
    <w:rsid w:val="00A53BC9"/>
    <w:rsid w:val="00A555FD"/>
    <w:rsid w:val="00A62F4D"/>
    <w:rsid w:val="00A64182"/>
    <w:rsid w:val="00A669F1"/>
    <w:rsid w:val="00A7030D"/>
    <w:rsid w:val="00A70FE3"/>
    <w:rsid w:val="00A73C30"/>
    <w:rsid w:val="00A76105"/>
    <w:rsid w:val="00A7681B"/>
    <w:rsid w:val="00A86A7D"/>
    <w:rsid w:val="00A9121F"/>
    <w:rsid w:val="00A91FF8"/>
    <w:rsid w:val="00A925C1"/>
    <w:rsid w:val="00A93A5E"/>
    <w:rsid w:val="00A94F83"/>
    <w:rsid w:val="00A954F1"/>
    <w:rsid w:val="00AA0090"/>
    <w:rsid w:val="00AA2C45"/>
    <w:rsid w:val="00AA46CF"/>
    <w:rsid w:val="00AA4D66"/>
    <w:rsid w:val="00AA53EA"/>
    <w:rsid w:val="00AB5330"/>
    <w:rsid w:val="00AC1A57"/>
    <w:rsid w:val="00AC1C82"/>
    <w:rsid w:val="00AC355B"/>
    <w:rsid w:val="00AD038D"/>
    <w:rsid w:val="00AD3989"/>
    <w:rsid w:val="00AD461E"/>
    <w:rsid w:val="00AD4737"/>
    <w:rsid w:val="00AD58F2"/>
    <w:rsid w:val="00AE40B7"/>
    <w:rsid w:val="00AF0A91"/>
    <w:rsid w:val="00AF2E1F"/>
    <w:rsid w:val="00AF30AB"/>
    <w:rsid w:val="00AF406C"/>
    <w:rsid w:val="00AF6352"/>
    <w:rsid w:val="00B0351F"/>
    <w:rsid w:val="00B10B56"/>
    <w:rsid w:val="00B13D27"/>
    <w:rsid w:val="00B15E7C"/>
    <w:rsid w:val="00B1752E"/>
    <w:rsid w:val="00B20D7F"/>
    <w:rsid w:val="00B2201C"/>
    <w:rsid w:val="00B2225C"/>
    <w:rsid w:val="00B23AD1"/>
    <w:rsid w:val="00B25F2B"/>
    <w:rsid w:val="00B26E87"/>
    <w:rsid w:val="00B344A8"/>
    <w:rsid w:val="00B34968"/>
    <w:rsid w:val="00B3741A"/>
    <w:rsid w:val="00B37922"/>
    <w:rsid w:val="00B406F4"/>
    <w:rsid w:val="00B46222"/>
    <w:rsid w:val="00B6230A"/>
    <w:rsid w:val="00B81971"/>
    <w:rsid w:val="00B8206E"/>
    <w:rsid w:val="00B836AF"/>
    <w:rsid w:val="00B83F08"/>
    <w:rsid w:val="00B84176"/>
    <w:rsid w:val="00B90763"/>
    <w:rsid w:val="00B9437F"/>
    <w:rsid w:val="00B9714D"/>
    <w:rsid w:val="00BA1BA6"/>
    <w:rsid w:val="00BA6910"/>
    <w:rsid w:val="00BA7399"/>
    <w:rsid w:val="00BB1ECC"/>
    <w:rsid w:val="00BB208C"/>
    <w:rsid w:val="00BB31FB"/>
    <w:rsid w:val="00BB5D8F"/>
    <w:rsid w:val="00BB7BB2"/>
    <w:rsid w:val="00BC0B4A"/>
    <w:rsid w:val="00BD00B8"/>
    <w:rsid w:val="00BD2885"/>
    <w:rsid w:val="00BD7402"/>
    <w:rsid w:val="00BE2178"/>
    <w:rsid w:val="00BE407B"/>
    <w:rsid w:val="00BF0E07"/>
    <w:rsid w:val="00BF4ECA"/>
    <w:rsid w:val="00BF65B8"/>
    <w:rsid w:val="00C003E1"/>
    <w:rsid w:val="00C0046E"/>
    <w:rsid w:val="00C20A80"/>
    <w:rsid w:val="00C24857"/>
    <w:rsid w:val="00C34091"/>
    <w:rsid w:val="00C35831"/>
    <w:rsid w:val="00C37E40"/>
    <w:rsid w:val="00C41BE1"/>
    <w:rsid w:val="00C46D5F"/>
    <w:rsid w:val="00C47D72"/>
    <w:rsid w:val="00C57023"/>
    <w:rsid w:val="00C65880"/>
    <w:rsid w:val="00C67032"/>
    <w:rsid w:val="00C7397D"/>
    <w:rsid w:val="00C750B5"/>
    <w:rsid w:val="00C77F64"/>
    <w:rsid w:val="00C81340"/>
    <w:rsid w:val="00C87116"/>
    <w:rsid w:val="00C8776E"/>
    <w:rsid w:val="00C93EF2"/>
    <w:rsid w:val="00C974A6"/>
    <w:rsid w:val="00CB0D38"/>
    <w:rsid w:val="00CB25FD"/>
    <w:rsid w:val="00CB3E17"/>
    <w:rsid w:val="00CB70FF"/>
    <w:rsid w:val="00CC0D5A"/>
    <w:rsid w:val="00CC2426"/>
    <w:rsid w:val="00CC3369"/>
    <w:rsid w:val="00CC62B2"/>
    <w:rsid w:val="00CC66FF"/>
    <w:rsid w:val="00CC6C12"/>
    <w:rsid w:val="00CC756F"/>
    <w:rsid w:val="00CD6BD9"/>
    <w:rsid w:val="00CE5315"/>
    <w:rsid w:val="00CF66F0"/>
    <w:rsid w:val="00D00F0A"/>
    <w:rsid w:val="00D0526F"/>
    <w:rsid w:val="00D1234E"/>
    <w:rsid w:val="00D13527"/>
    <w:rsid w:val="00D135F0"/>
    <w:rsid w:val="00D162B3"/>
    <w:rsid w:val="00D1782C"/>
    <w:rsid w:val="00D21283"/>
    <w:rsid w:val="00D21D82"/>
    <w:rsid w:val="00D2509D"/>
    <w:rsid w:val="00D36B64"/>
    <w:rsid w:val="00D37A10"/>
    <w:rsid w:val="00D40A32"/>
    <w:rsid w:val="00D41824"/>
    <w:rsid w:val="00D456B8"/>
    <w:rsid w:val="00D516E2"/>
    <w:rsid w:val="00D54AED"/>
    <w:rsid w:val="00D61905"/>
    <w:rsid w:val="00D715E8"/>
    <w:rsid w:val="00D73B50"/>
    <w:rsid w:val="00D73C51"/>
    <w:rsid w:val="00D744BC"/>
    <w:rsid w:val="00D854CB"/>
    <w:rsid w:val="00D85B15"/>
    <w:rsid w:val="00D875E3"/>
    <w:rsid w:val="00D87AA2"/>
    <w:rsid w:val="00D933CD"/>
    <w:rsid w:val="00D93DB6"/>
    <w:rsid w:val="00D9488D"/>
    <w:rsid w:val="00DA1886"/>
    <w:rsid w:val="00DA6385"/>
    <w:rsid w:val="00DB4613"/>
    <w:rsid w:val="00DB5DFB"/>
    <w:rsid w:val="00DC10F4"/>
    <w:rsid w:val="00DC72CA"/>
    <w:rsid w:val="00DD1603"/>
    <w:rsid w:val="00DD1E7A"/>
    <w:rsid w:val="00DD3C8F"/>
    <w:rsid w:val="00DE73A8"/>
    <w:rsid w:val="00DF544F"/>
    <w:rsid w:val="00DF6BB4"/>
    <w:rsid w:val="00DF755A"/>
    <w:rsid w:val="00E00E93"/>
    <w:rsid w:val="00E01297"/>
    <w:rsid w:val="00E03D02"/>
    <w:rsid w:val="00E06DAC"/>
    <w:rsid w:val="00E11954"/>
    <w:rsid w:val="00E25398"/>
    <w:rsid w:val="00E3387C"/>
    <w:rsid w:val="00E37EE9"/>
    <w:rsid w:val="00E429C8"/>
    <w:rsid w:val="00E43496"/>
    <w:rsid w:val="00E43720"/>
    <w:rsid w:val="00E466AE"/>
    <w:rsid w:val="00E47D6B"/>
    <w:rsid w:val="00E50481"/>
    <w:rsid w:val="00E520CA"/>
    <w:rsid w:val="00E555C3"/>
    <w:rsid w:val="00E609E5"/>
    <w:rsid w:val="00E730C5"/>
    <w:rsid w:val="00E76581"/>
    <w:rsid w:val="00E77FAD"/>
    <w:rsid w:val="00E82DC1"/>
    <w:rsid w:val="00E91B1E"/>
    <w:rsid w:val="00E93CFB"/>
    <w:rsid w:val="00E95F74"/>
    <w:rsid w:val="00E961C6"/>
    <w:rsid w:val="00EA1367"/>
    <w:rsid w:val="00EA247C"/>
    <w:rsid w:val="00EB17D8"/>
    <w:rsid w:val="00EC112C"/>
    <w:rsid w:val="00EC2F8B"/>
    <w:rsid w:val="00EC3C27"/>
    <w:rsid w:val="00EC6991"/>
    <w:rsid w:val="00EC7A18"/>
    <w:rsid w:val="00ED64FA"/>
    <w:rsid w:val="00ED7240"/>
    <w:rsid w:val="00ED7872"/>
    <w:rsid w:val="00EE0A55"/>
    <w:rsid w:val="00EE24FC"/>
    <w:rsid w:val="00EE52ED"/>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33A60"/>
    <w:rsid w:val="00F41121"/>
    <w:rsid w:val="00F47B52"/>
    <w:rsid w:val="00F55CDD"/>
    <w:rsid w:val="00F56B5C"/>
    <w:rsid w:val="00F56BD3"/>
    <w:rsid w:val="00F635EF"/>
    <w:rsid w:val="00F6375F"/>
    <w:rsid w:val="00F64018"/>
    <w:rsid w:val="00F66B73"/>
    <w:rsid w:val="00F70E5E"/>
    <w:rsid w:val="00F71DB4"/>
    <w:rsid w:val="00F74AEF"/>
    <w:rsid w:val="00F7557C"/>
    <w:rsid w:val="00F76E32"/>
    <w:rsid w:val="00F878C5"/>
    <w:rsid w:val="00F94F97"/>
    <w:rsid w:val="00FA4B46"/>
    <w:rsid w:val="00FB0D18"/>
    <w:rsid w:val="00FB1F4A"/>
    <w:rsid w:val="00FB30CA"/>
    <w:rsid w:val="00FB46CC"/>
    <w:rsid w:val="00FB640A"/>
    <w:rsid w:val="00FB7A44"/>
    <w:rsid w:val="00FC4C0A"/>
    <w:rsid w:val="00FC627E"/>
    <w:rsid w:val="00FD5163"/>
    <w:rsid w:val="00FD5A0C"/>
    <w:rsid w:val="00FF111F"/>
    <w:rsid w:val="00FF543C"/>
    <w:rsid w:val="00FF7398"/>
    <w:rsid w:val="01EC8A0A"/>
    <w:rsid w:val="02C016FF"/>
    <w:rsid w:val="02F28CA2"/>
    <w:rsid w:val="03AE2B7E"/>
    <w:rsid w:val="045CBBD3"/>
    <w:rsid w:val="050F613C"/>
    <w:rsid w:val="0585E90E"/>
    <w:rsid w:val="06EEC615"/>
    <w:rsid w:val="07916309"/>
    <w:rsid w:val="082127B9"/>
    <w:rsid w:val="0A432644"/>
    <w:rsid w:val="0A5367E1"/>
    <w:rsid w:val="0BE3D316"/>
    <w:rsid w:val="0E7F6FF3"/>
    <w:rsid w:val="0EF1877E"/>
    <w:rsid w:val="0FD1FE34"/>
    <w:rsid w:val="10A7A5FB"/>
    <w:rsid w:val="1132B30F"/>
    <w:rsid w:val="11490571"/>
    <w:rsid w:val="182EFA2E"/>
    <w:rsid w:val="18706EF6"/>
    <w:rsid w:val="18E1FE6F"/>
    <w:rsid w:val="19835708"/>
    <w:rsid w:val="1B479C90"/>
    <w:rsid w:val="1C1BB75C"/>
    <w:rsid w:val="1C4EAFF4"/>
    <w:rsid w:val="1CD0C661"/>
    <w:rsid w:val="1CD4F7E2"/>
    <w:rsid w:val="201228C8"/>
    <w:rsid w:val="21891B03"/>
    <w:rsid w:val="2398721C"/>
    <w:rsid w:val="24307993"/>
    <w:rsid w:val="24B76A14"/>
    <w:rsid w:val="26A6F916"/>
    <w:rsid w:val="2B033554"/>
    <w:rsid w:val="2CE303D2"/>
    <w:rsid w:val="2DB11993"/>
    <w:rsid w:val="2E3D2DBC"/>
    <w:rsid w:val="2EBA04B8"/>
    <w:rsid w:val="3013D363"/>
    <w:rsid w:val="30E0C532"/>
    <w:rsid w:val="328A067C"/>
    <w:rsid w:val="34161E5B"/>
    <w:rsid w:val="35581115"/>
    <w:rsid w:val="361E370B"/>
    <w:rsid w:val="367652D0"/>
    <w:rsid w:val="36EB56B1"/>
    <w:rsid w:val="39BED24F"/>
    <w:rsid w:val="3D5D5370"/>
    <w:rsid w:val="3DD8A1C0"/>
    <w:rsid w:val="3E81E31A"/>
    <w:rsid w:val="41781F2B"/>
    <w:rsid w:val="41804814"/>
    <w:rsid w:val="41CB6526"/>
    <w:rsid w:val="43C4B923"/>
    <w:rsid w:val="45DA2DCD"/>
    <w:rsid w:val="4612CD6E"/>
    <w:rsid w:val="46588BA9"/>
    <w:rsid w:val="46DDDD52"/>
    <w:rsid w:val="48BB463C"/>
    <w:rsid w:val="491F7BF4"/>
    <w:rsid w:val="492003EF"/>
    <w:rsid w:val="49238267"/>
    <w:rsid w:val="4A7906B5"/>
    <w:rsid w:val="4ABB23AD"/>
    <w:rsid w:val="4BE1EE95"/>
    <w:rsid w:val="4CED0F87"/>
    <w:rsid w:val="4D9B52E8"/>
    <w:rsid w:val="4DA581DC"/>
    <w:rsid w:val="4E1EDA2C"/>
    <w:rsid w:val="4F3F1CB2"/>
    <w:rsid w:val="4FE4B27B"/>
    <w:rsid w:val="51178AD4"/>
    <w:rsid w:val="54415296"/>
    <w:rsid w:val="55E28FDB"/>
    <w:rsid w:val="56FA61F5"/>
    <w:rsid w:val="5A1A3813"/>
    <w:rsid w:val="5C127182"/>
    <w:rsid w:val="5CFDEB0D"/>
    <w:rsid w:val="5DDCB2B5"/>
    <w:rsid w:val="5E6B50C5"/>
    <w:rsid w:val="5EA22EE5"/>
    <w:rsid w:val="60E6B398"/>
    <w:rsid w:val="6125A2FA"/>
    <w:rsid w:val="6143E696"/>
    <w:rsid w:val="62DE264D"/>
    <w:rsid w:val="64CF4C6D"/>
    <w:rsid w:val="6617092B"/>
    <w:rsid w:val="66178742"/>
    <w:rsid w:val="6640D2FB"/>
    <w:rsid w:val="66DB3849"/>
    <w:rsid w:val="67AD1EFD"/>
    <w:rsid w:val="6A39229A"/>
    <w:rsid w:val="6CC72794"/>
    <w:rsid w:val="6D7E2725"/>
    <w:rsid w:val="6F8CEFEB"/>
    <w:rsid w:val="6FDE6E80"/>
    <w:rsid w:val="700DD22E"/>
    <w:rsid w:val="714513F0"/>
    <w:rsid w:val="71C58268"/>
    <w:rsid w:val="71DF84DD"/>
    <w:rsid w:val="72497569"/>
    <w:rsid w:val="7324E5B6"/>
    <w:rsid w:val="7462C4EB"/>
    <w:rsid w:val="74FD57AE"/>
    <w:rsid w:val="7739446D"/>
    <w:rsid w:val="77D6145F"/>
    <w:rsid w:val="7A7686B5"/>
    <w:rsid w:val="7BD711C4"/>
    <w:rsid w:val="7C2FA90D"/>
    <w:rsid w:val="7CC63E4F"/>
    <w:rsid w:val="7E7BFF39"/>
    <w:rsid w:val="7E7E7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6648989A-13CE-4A61-BEC8-8E0C9A58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2E212B"/>
    <w:rPr>
      <w:snapToGrid w:val="0"/>
      <w:sz w:val="24"/>
    </w:rPr>
  </w:style>
  <w:style w:type="character" w:styleId="PageNumber">
    <w:name w:val="page number"/>
    <w:basedOn w:val="DefaultParagraphFont"/>
    <w:uiPriority w:val="99"/>
    <w:semiHidden/>
    <w:unhideWhenUsed/>
    <w:rsid w:val="006D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553541479">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906260003">
      <w:bodyDiv w:val="1"/>
      <w:marLeft w:val="0"/>
      <w:marRight w:val="0"/>
      <w:marTop w:val="0"/>
      <w:marBottom w:val="0"/>
      <w:divBdr>
        <w:top w:val="none" w:sz="0" w:space="0" w:color="auto"/>
        <w:left w:val="none" w:sz="0" w:space="0" w:color="auto"/>
        <w:bottom w:val="none" w:sz="0" w:space="0" w:color="auto"/>
        <w:right w:val="none" w:sz="0" w:space="0" w:color="auto"/>
      </w:divBdr>
      <w:divsChild>
        <w:div w:id="1586109086">
          <w:marLeft w:val="446"/>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42453544">
      <w:bodyDiv w:val="1"/>
      <w:marLeft w:val="0"/>
      <w:marRight w:val="0"/>
      <w:marTop w:val="0"/>
      <w:marBottom w:val="0"/>
      <w:divBdr>
        <w:top w:val="none" w:sz="0" w:space="0" w:color="auto"/>
        <w:left w:val="none" w:sz="0" w:space="0" w:color="auto"/>
        <w:bottom w:val="none" w:sz="0" w:space="0" w:color="auto"/>
        <w:right w:val="none" w:sz="0" w:space="0" w:color="auto"/>
      </w:divBdr>
      <w:divsChild>
        <w:div w:id="290596013">
          <w:marLeft w:val="0"/>
          <w:marRight w:val="0"/>
          <w:marTop w:val="0"/>
          <w:marBottom w:val="0"/>
          <w:divBdr>
            <w:top w:val="none" w:sz="0" w:space="0" w:color="auto"/>
            <w:left w:val="none" w:sz="0" w:space="0" w:color="auto"/>
            <w:bottom w:val="none" w:sz="0" w:space="0" w:color="auto"/>
            <w:right w:val="none" w:sz="0" w:space="0" w:color="auto"/>
          </w:divBdr>
        </w:div>
        <w:div w:id="303001662">
          <w:marLeft w:val="0"/>
          <w:marRight w:val="0"/>
          <w:marTop w:val="0"/>
          <w:marBottom w:val="0"/>
          <w:divBdr>
            <w:top w:val="none" w:sz="0" w:space="0" w:color="auto"/>
            <w:left w:val="none" w:sz="0" w:space="0" w:color="auto"/>
            <w:bottom w:val="none" w:sz="0" w:space="0" w:color="auto"/>
            <w:right w:val="none" w:sz="0" w:space="0" w:color="auto"/>
          </w:divBdr>
        </w:div>
        <w:div w:id="678392408">
          <w:marLeft w:val="0"/>
          <w:marRight w:val="0"/>
          <w:marTop w:val="0"/>
          <w:marBottom w:val="0"/>
          <w:divBdr>
            <w:top w:val="none" w:sz="0" w:space="0" w:color="auto"/>
            <w:left w:val="none" w:sz="0" w:space="0" w:color="auto"/>
            <w:bottom w:val="none" w:sz="0" w:space="0" w:color="auto"/>
            <w:right w:val="none" w:sz="0" w:space="0" w:color="auto"/>
          </w:divBdr>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16856714">
      <w:bodyDiv w:val="1"/>
      <w:marLeft w:val="0"/>
      <w:marRight w:val="0"/>
      <w:marTop w:val="0"/>
      <w:marBottom w:val="0"/>
      <w:divBdr>
        <w:top w:val="none" w:sz="0" w:space="0" w:color="auto"/>
        <w:left w:val="none" w:sz="0" w:space="0" w:color="auto"/>
        <w:bottom w:val="none" w:sz="0" w:space="0" w:color="auto"/>
        <w:right w:val="none" w:sz="0" w:space="0" w:color="auto"/>
      </w:divBdr>
      <w:divsChild>
        <w:div w:id="517239655">
          <w:marLeft w:val="0"/>
          <w:marRight w:val="0"/>
          <w:marTop w:val="0"/>
          <w:marBottom w:val="0"/>
          <w:divBdr>
            <w:top w:val="none" w:sz="0" w:space="0" w:color="auto"/>
            <w:left w:val="none" w:sz="0" w:space="0" w:color="auto"/>
            <w:bottom w:val="none" w:sz="0" w:space="0" w:color="auto"/>
            <w:right w:val="none" w:sz="0" w:space="0" w:color="auto"/>
          </w:divBdr>
        </w:div>
        <w:div w:id="1608273524">
          <w:marLeft w:val="0"/>
          <w:marRight w:val="0"/>
          <w:marTop w:val="0"/>
          <w:marBottom w:val="0"/>
          <w:divBdr>
            <w:top w:val="none" w:sz="0" w:space="0" w:color="auto"/>
            <w:left w:val="none" w:sz="0" w:space="0" w:color="auto"/>
            <w:bottom w:val="none" w:sz="0" w:space="0" w:color="auto"/>
            <w:right w:val="none" w:sz="0" w:space="0" w:color="auto"/>
          </w:divBdr>
        </w:div>
        <w:div w:id="1878934739">
          <w:marLeft w:val="0"/>
          <w:marRight w:val="0"/>
          <w:marTop w:val="0"/>
          <w:marBottom w:val="0"/>
          <w:divBdr>
            <w:top w:val="none" w:sz="0" w:space="0" w:color="auto"/>
            <w:left w:val="none" w:sz="0" w:space="0" w:color="auto"/>
            <w:bottom w:val="none" w:sz="0" w:space="0" w:color="auto"/>
            <w:right w:val="none" w:sz="0" w:space="0" w:color="auto"/>
          </w:divBdr>
        </w:div>
      </w:divsChild>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885293695">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doc/read-the-acare-report/downlo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january-2025-acare-implementation-report/downlo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70773036-3ABE-44A2-9031-13209E10C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Links>
    <vt:vector size="12" baseType="variant">
      <vt:variant>
        <vt:i4>7340128</vt:i4>
      </vt:variant>
      <vt:variant>
        <vt:i4>3</vt:i4>
      </vt:variant>
      <vt:variant>
        <vt:i4>0</vt:i4>
      </vt:variant>
      <vt:variant>
        <vt:i4>5</vt:i4>
      </vt:variant>
      <vt:variant>
        <vt:lpwstr>https://www.mass.gov/doc/january-2025-acare-implementation-report/download</vt:lpwstr>
      </vt:variant>
      <vt:variant>
        <vt:lpwstr/>
      </vt:variant>
      <vt:variant>
        <vt:i4>7012404</vt:i4>
      </vt:variant>
      <vt:variant>
        <vt:i4>0</vt:i4>
      </vt:variant>
      <vt:variant>
        <vt:i4>0</vt:i4>
      </vt:variant>
      <vt:variant>
        <vt:i4>5</vt:i4>
      </vt:variant>
      <vt:variant>
        <vt:lpwstr>https://www.mass.gov/doc/read-the-acare-report/download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8: College Access: Update on ACARE and Increasing FAFSA and MASFA Completion</dc:title>
  <dc:subject/>
  <dc:creator>DESE</dc:creator>
  <cp:keywords/>
  <cp:lastModifiedBy>Zou, Dong (EOE)</cp:lastModifiedBy>
  <cp:revision>3</cp:revision>
  <cp:lastPrinted>2008-03-06T00:17:00Z</cp:lastPrinted>
  <dcterms:created xsi:type="dcterms:W3CDTF">2025-03-18T14:10:00Z</dcterms:created>
  <dcterms:modified xsi:type="dcterms:W3CDTF">2025-03-18T14:33:00Z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2020</vt:lpwstr>
  </property>
  <property fmtid="{D5CDD505-2E9C-101B-9397-08002B2CF9AE}" pid="3" name="ContentTypeId">
    <vt:lpwstr>0x010100FC0EA0BB4E6A684694772750B001C800</vt:lpwstr>
  </property>
  <property fmtid="{D5CDD505-2E9C-101B-9397-08002B2CF9AE}" pid="4" name="MediaServiceImageTags">
    <vt:lpwstr/>
  </property>
  <property fmtid="{D5CDD505-2E9C-101B-9397-08002B2CF9AE}" pid="5" name="Order">
    <vt:r8>5095600</vt:r8>
  </property>
  <property fmtid="{D5CDD505-2E9C-101B-9397-08002B2CF9AE}" pid="6" name="ComplianceAssetId">
    <vt:lpwstr/>
  </property>
  <property fmtid="{D5CDD505-2E9C-101B-9397-08002B2CF9AE}" pid="7" name="_activity">
    <vt:lpwstr>{"FileActivityType":"9","FileActivityTimeStamp":"2025-03-17T18:28:00.667Z","FileActivityUsersOnPage":[{"DisplayName":"Woo, Lauren (DESE)","Id":"lauren.woo@mass.gov"},{"DisplayName":"Donaghey, Kate (EOE)","Id":"kate.donaghey@mass.gov"},{"DisplayName":"Fee, Abigail (EOE)","Id":"abigail.fee2@mass.gov"},{"DisplayName":"Woo, Lauren (DESE)","Id":"lauren.woo@mass.gov"}],"FileActivityNavigationId":null}</vt:lpwstr>
  </property>
  <property fmtid="{D5CDD505-2E9C-101B-9397-08002B2CF9AE}" pid="8" name="_ExtendedDescription">
    <vt:lpwstr/>
  </property>
  <property fmtid="{D5CDD505-2E9C-101B-9397-08002B2CF9AE}" pid="9" name="TriggerFlowInfo">
    <vt:lpwstr/>
  </property>
</Properties>
</file>