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6B58" w14:textId="0CE453A8" w:rsidR="004873A1" w:rsidRDefault="004873A1">
      <w:pPr>
        <w:sectPr w:rsidR="004873A1" w:rsidSect="00DC188A">
          <w:headerReference w:type="default" r:id="rId10"/>
          <w:footerReference w:type="default" r:id="rId11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7CF3699D" w14:textId="77777777" w:rsidR="006D3FBB" w:rsidRDefault="006D3FBB" w:rsidP="006D3FBB">
      <w:pPr>
        <w:pStyle w:val="Heading1"/>
        <w:jc w:val="center"/>
      </w:pPr>
      <w:r>
        <w:t>MEMORANDUM</w:t>
      </w:r>
    </w:p>
    <w:p w14:paraId="07F3A9E9" w14:textId="77777777" w:rsidR="006D3FBB" w:rsidRDefault="006D3FBB" w:rsidP="006D3FBB">
      <w:pPr>
        <w:pStyle w:val="Footer"/>
        <w:widowControl w:val="0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6D3FBB" w14:paraId="428174A4" w14:textId="77777777" w:rsidTr="58E598F1">
        <w:tc>
          <w:tcPr>
            <w:tcW w:w="1184" w:type="dxa"/>
          </w:tcPr>
          <w:p w14:paraId="29CA0BBD" w14:textId="400E8A7B" w:rsidR="006D3FBB" w:rsidRDefault="006D3FBB" w:rsidP="00B276E1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0F5430B7" w14:textId="1FF7231C" w:rsidR="006D3FBB" w:rsidRDefault="00C60E8C" w:rsidP="00B276E1">
            <w:pPr>
              <w:pStyle w:val="Footer"/>
              <w:widowControl w:val="0"/>
            </w:pPr>
            <w:r w:rsidRPr="58E598F1">
              <w:rPr>
                <w:snapToGrid w:val="0"/>
              </w:rPr>
              <w:t>Members of the Board of Elementary and Secondary Education</w:t>
            </w:r>
          </w:p>
          <w:p w14:paraId="47311F10" w14:textId="54B0A9B9" w:rsidR="006D3FBB" w:rsidRDefault="006D3FBB" w:rsidP="58E598F1">
            <w:pPr>
              <w:pStyle w:val="Footer"/>
              <w:widowControl w:val="0"/>
              <w:rPr>
                <w:snapToGrid w:val="0"/>
              </w:rPr>
            </w:pPr>
          </w:p>
        </w:tc>
      </w:tr>
      <w:tr w:rsidR="006D3FBB" w14:paraId="6BADAB18" w14:textId="77777777" w:rsidTr="58E598F1">
        <w:tc>
          <w:tcPr>
            <w:tcW w:w="1184" w:type="dxa"/>
          </w:tcPr>
          <w:p w14:paraId="7B648A85" w14:textId="77777777" w:rsidR="006D3FBB" w:rsidRDefault="006D3FBB" w:rsidP="00B276E1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2E68094D" w14:textId="6DD3FAFC" w:rsidR="006D3FBB" w:rsidRPr="00947C0C" w:rsidRDefault="00C60E8C" w:rsidP="00B276E1">
            <w:pPr>
              <w:pStyle w:val="Footer"/>
              <w:widowControl w:val="0"/>
            </w:pPr>
            <w:r w:rsidRPr="58E598F1">
              <w:rPr>
                <w:snapToGrid w:val="0"/>
              </w:rPr>
              <w:t>Russell D. Johnston, Acting Commissioner</w:t>
            </w:r>
          </w:p>
          <w:p w14:paraId="5B231371" w14:textId="019F33FB" w:rsidR="006D3FBB" w:rsidRPr="00947C0C" w:rsidRDefault="006D3FBB" w:rsidP="58E598F1">
            <w:pPr>
              <w:pStyle w:val="Footer"/>
              <w:widowControl w:val="0"/>
              <w:rPr>
                <w:snapToGrid w:val="0"/>
              </w:rPr>
            </w:pPr>
          </w:p>
        </w:tc>
      </w:tr>
      <w:tr w:rsidR="006D3FBB" w14:paraId="77D97DD1" w14:textId="77777777" w:rsidTr="58E598F1">
        <w:tc>
          <w:tcPr>
            <w:tcW w:w="1184" w:type="dxa"/>
          </w:tcPr>
          <w:p w14:paraId="008997C8" w14:textId="77777777" w:rsidR="006D3FBB" w:rsidRDefault="006D3FBB" w:rsidP="00B276E1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007CBB3E" w14:textId="7D5CF4DE" w:rsidR="006D3FBB" w:rsidRDefault="00C22EC5" w:rsidP="00B276E1">
            <w:pPr>
              <w:pStyle w:val="Footer"/>
              <w:widowControl w:val="0"/>
            </w:pPr>
            <w:r>
              <w:t>March 18, 2025</w:t>
            </w:r>
          </w:p>
          <w:p w14:paraId="3990820A" w14:textId="1260D473" w:rsidR="006D3FBB" w:rsidRDefault="006D3FBB" w:rsidP="00B276E1">
            <w:pPr>
              <w:pStyle w:val="Footer"/>
              <w:widowControl w:val="0"/>
            </w:pPr>
          </w:p>
        </w:tc>
      </w:tr>
      <w:tr w:rsidR="006D3FBB" w14:paraId="10532374" w14:textId="77777777" w:rsidTr="58E598F1">
        <w:tc>
          <w:tcPr>
            <w:tcW w:w="1184" w:type="dxa"/>
          </w:tcPr>
          <w:p w14:paraId="6DBCAB77" w14:textId="77777777" w:rsidR="006D3FBB" w:rsidRDefault="006D3FBB" w:rsidP="00B276E1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7A0AEDD6" w14:textId="37DE64A0" w:rsidR="006D3FBB" w:rsidRPr="007A22FF" w:rsidRDefault="00C22EC5" w:rsidP="00B276E1">
            <w:pPr>
              <w:pStyle w:val="Footer"/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Charter Schools – </w:t>
            </w:r>
            <w:r w:rsidR="00D263CD">
              <w:rPr>
                <w:snapToGrid w:val="0"/>
              </w:rPr>
              <w:t>Report on</w:t>
            </w:r>
            <w:r>
              <w:rPr>
                <w:snapToGrid w:val="0"/>
              </w:rPr>
              <w:t xml:space="preserve"> Approval of Management Contracts for </w:t>
            </w:r>
            <w:r w:rsidR="00394DED">
              <w:rPr>
                <w:snapToGrid w:val="0"/>
              </w:rPr>
              <w:t>Four Charter Schools, August 2023 – December 2024</w:t>
            </w:r>
          </w:p>
        </w:tc>
      </w:tr>
    </w:tbl>
    <w:p w14:paraId="6083E497" w14:textId="77777777" w:rsidR="006D3FBB" w:rsidRDefault="006D3FBB" w:rsidP="006D3FBB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3EE571B0" w14:textId="71E2B449" w:rsidR="006D3FBB" w:rsidRDefault="006D3FBB" w:rsidP="006D3FBB">
      <w:pPr>
        <w:rPr>
          <w:sz w:val="16"/>
        </w:rPr>
        <w:sectPr w:rsidR="006D3FBB" w:rsidSect="00DC188A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34737F2" w14:textId="77777777" w:rsidR="006D3FBB" w:rsidRDefault="006D3FBB" w:rsidP="006D3FBB"/>
    <w:p w14:paraId="6BE9F4E6" w14:textId="7EABF2A7" w:rsidR="00C22EC5" w:rsidRDefault="00C22EC5" w:rsidP="00C22EC5">
      <w:r>
        <w:t xml:space="preserve">Under the charter school statute, G. L. c. 71, § 89(k)(5), the Board of Elementary and Secondary Education (Board) must approve contracts between charter schools and entities from which they procure substantially all educational services. </w:t>
      </w:r>
      <w:r w:rsidR="00F46726">
        <w:t>E</w:t>
      </w:r>
      <w:r w:rsidR="00487DB3">
        <w:t xml:space="preserve">ight </w:t>
      </w:r>
      <w:r w:rsidR="00F46726">
        <w:t xml:space="preserve">of the 73 </w:t>
      </w:r>
      <w:r w:rsidR="00230760">
        <w:t xml:space="preserve">operating </w:t>
      </w:r>
      <w:r w:rsidR="00487DB3">
        <w:t xml:space="preserve">charter schools procure substantially all educational services through </w:t>
      </w:r>
      <w:r w:rsidR="00681658">
        <w:t xml:space="preserve">a </w:t>
      </w:r>
      <w:r w:rsidR="00487DB3">
        <w:t xml:space="preserve">management contract. </w:t>
      </w:r>
      <w:r w:rsidR="001D42A7">
        <w:t xml:space="preserve">In prior years, </w:t>
      </w:r>
      <w:r w:rsidR="0022100F">
        <w:t xml:space="preserve">the </w:t>
      </w:r>
      <w:r w:rsidR="004551BE">
        <w:t>B</w:t>
      </w:r>
      <w:r w:rsidR="0022100F">
        <w:t>oard delegate</w:t>
      </w:r>
      <w:r w:rsidR="00B91401">
        <w:t>d</w:t>
      </w:r>
      <w:r w:rsidR="0022100F">
        <w:t xml:space="preserve"> to the Commissioner the </w:t>
      </w:r>
      <w:r w:rsidR="003A7932">
        <w:t>authority to approve certain management contracts on the Board’s behalf.</w:t>
      </w:r>
      <w:r w:rsidR="00C32E25">
        <w:rPr>
          <w:rStyle w:val="FootnoteReference"/>
        </w:rPr>
        <w:footnoteReference w:id="2"/>
      </w:r>
      <w:r>
        <w:t xml:space="preserve"> Pursuant to this authority, former Commissioner Riley and I approved management contracts</w:t>
      </w:r>
      <w:r w:rsidR="00893771">
        <w:t xml:space="preserve"> in 2023 and</w:t>
      </w:r>
      <w:r w:rsidR="00082E6C">
        <w:t xml:space="preserve"> 2024</w:t>
      </w:r>
      <w:r w:rsidR="008C3DE0">
        <w:t xml:space="preserve"> for </w:t>
      </w:r>
      <w:r w:rsidR="00336C61">
        <w:rPr>
          <w:snapToGrid w:val="0"/>
        </w:rPr>
        <w:t>Community Day Charter Public School, Holyoke Community Charter School, UP Academy Charter School of Dorchester</w:t>
      </w:r>
      <w:r w:rsidR="0045357E">
        <w:rPr>
          <w:snapToGrid w:val="0"/>
        </w:rPr>
        <w:t>, and Worcester Cultural Academy Charter Public School</w:t>
      </w:r>
      <w:r>
        <w:t>.</w:t>
      </w:r>
    </w:p>
    <w:p w14:paraId="45AE03DA" w14:textId="77777777" w:rsidR="00C22EC5" w:rsidRDefault="00C22EC5" w:rsidP="00C22EC5"/>
    <w:p w14:paraId="3AC567BB" w14:textId="136BAB76" w:rsidR="00C032D5" w:rsidRDefault="00C22EC5" w:rsidP="00C032D5">
      <w:r>
        <w:t xml:space="preserve">The table </w:t>
      </w:r>
      <w:r w:rsidR="00622C9F">
        <w:t xml:space="preserve">that follows </w:t>
      </w:r>
      <w:r>
        <w:t xml:space="preserve">provides details regarding each management contract </w:t>
      </w:r>
      <w:r w:rsidR="003B44A0">
        <w:t xml:space="preserve">that received </w:t>
      </w:r>
      <w:r w:rsidR="00013F88">
        <w:t>C</w:t>
      </w:r>
      <w:r>
        <w:t>ommissioner</w:t>
      </w:r>
      <w:r w:rsidR="003B44A0">
        <w:t xml:space="preserve"> approval</w:t>
      </w:r>
      <w:r>
        <w:t>.</w:t>
      </w:r>
      <w:r w:rsidR="003D46E3">
        <w:rPr>
          <w:rStyle w:val="FootnoteReference"/>
        </w:rPr>
        <w:footnoteReference w:id="3"/>
      </w:r>
      <w:r w:rsidR="00C032D5">
        <w:t xml:space="preserve"> There are three additional management contracts, previously delegated </w:t>
      </w:r>
      <w:r w:rsidR="00F44CE4">
        <w:t>by</w:t>
      </w:r>
      <w:r w:rsidR="00C032D5">
        <w:t xml:space="preserve"> the </w:t>
      </w:r>
      <w:r w:rsidR="00F44CE4">
        <w:t>Board for c</w:t>
      </w:r>
      <w:r w:rsidR="00C032D5">
        <w:t xml:space="preserve">ommissioner approval, that are </w:t>
      </w:r>
      <w:r w:rsidR="004E6A9B">
        <w:t xml:space="preserve">currently </w:t>
      </w:r>
      <w:r w:rsidR="00800C07">
        <w:t xml:space="preserve">under </w:t>
      </w:r>
      <w:r w:rsidR="00C032D5">
        <w:t xml:space="preserve">review. These contracts are </w:t>
      </w:r>
      <w:r w:rsidR="00734436">
        <w:t>included in the table</w:t>
      </w:r>
      <w:r w:rsidR="00C032D5">
        <w:t xml:space="preserve"> for reference.</w:t>
      </w:r>
      <w:r w:rsidR="00013F88">
        <w:t xml:space="preserve"> </w:t>
      </w:r>
    </w:p>
    <w:p w14:paraId="5686E730" w14:textId="77777777" w:rsidR="00C032D5" w:rsidRDefault="00C032D5" w:rsidP="00C22EC5"/>
    <w:p w14:paraId="3BA3F7C0" w14:textId="27D4083D" w:rsidR="00C22EC5" w:rsidRDefault="00C22EC5" w:rsidP="00C22EC5">
      <w:r>
        <w:lastRenderedPageBreak/>
        <w:t>The Department of Elementary and Secondary Education (Department) reviewed each contract and found the contracts to be reasonable and consistent with the charter school statute and regulations. Each contract included a delineation of the roles and responsibilities of the school</w:t>
      </w:r>
      <w:r w:rsidR="00ED0407">
        <w:t xml:space="preserve"> and the management organization</w:t>
      </w:r>
      <w:r w:rsidR="00CA7DA4">
        <w:t>,</w:t>
      </w:r>
      <w:r>
        <w:t xml:space="preserve"> performance evaluation measures</w:t>
      </w:r>
      <w:r w:rsidR="00CA7DA4">
        <w:t>,</w:t>
      </w:r>
      <w:r>
        <w:t xml:space="preserve"> the total fee paid for management services</w:t>
      </w:r>
      <w:r w:rsidR="00CA7DA4">
        <w:t>,</w:t>
      </w:r>
      <w:r>
        <w:t xml:space="preserve"> delineation of authority over hiring and firing</w:t>
      </w:r>
      <w:r w:rsidR="00CA7DA4">
        <w:t>,</w:t>
      </w:r>
      <w:r>
        <w:t xml:space="preserve"> and the conditions and procedures for the contract’s renewal and termination</w:t>
      </w:r>
      <w:bookmarkStart w:id="4" w:name="_Hlk190699328"/>
      <w:r>
        <w:t xml:space="preserve">.  </w:t>
      </w:r>
      <w:r w:rsidR="00C77E16">
        <w:t xml:space="preserve">In the case of Horace Mann charter schools, </w:t>
      </w:r>
      <w:r w:rsidR="00584D6E">
        <w:t xml:space="preserve">each </w:t>
      </w:r>
      <w:r w:rsidR="00FA3FF8">
        <w:t xml:space="preserve">charter </w:t>
      </w:r>
      <w:r w:rsidR="00584D6E">
        <w:t xml:space="preserve">school </w:t>
      </w:r>
      <w:r w:rsidR="0078181A">
        <w:t xml:space="preserve">also </w:t>
      </w:r>
      <w:r w:rsidR="00584D6E">
        <w:t xml:space="preserve">obtained or will obtain approval </w:t>
      </w:r>
      <w:r w:rsidR="00FA3FF8">
        <w:t xml:space="preserve">of the amendment </w:t>
      </w:r>
      <w:r w:rsidR="00584D6E">
        <w:t xml:space="preserve">from the local </w:t>
      </w:r>
      <w:r w:rsidR="00E36955">
        <w:t>school committee and teachers union prior to submission.</w:t>
      </w:r>
    </w:p>
    <w:p w14:paraId="0E25FBF4" w14:textId="77777777" w:rsidR="00DC4B17" w:rsidRDefault="00DC4B17" w:rsidP="00C22EC5"/>
    <w:p w14:paraId="0D942CA3" w14:textId="6AE05BE1" w:rsidR="00082E6C" w:rsidRPr="000B2AB8" w:rsidRDefault="00082E6C" w:rsidP="00082E6C">
      <w:pPr>
        <w:pStyle w:val="BodyTextIndent3"/>
        <w:widowControl/>
        <w:ind w:left="0"/>
        <w:rPr>
          <w:rFonts w:asciiTheme="minorHAnsi" w:hAnsiTheme="minorHAnsi"/>
          <w:sz w:val="24"/>
          <w:szCs w:val="24"/>
        </w:rPr>
      </w:pPr>
      <w:r w:rsidRPr="000B2AB8">
        <w:rPr>
          <w:rFonts w:asciiTheme="minorHAnsi" w:hAnsiTheme="minorHAnsi"/>
          <w:color w:val="000000"/>
          <w:sz w:val="24"/>
          <w:szCs w:val="24"/>
        </w:rPr>
        <w:t>If you have any questions or require additional information, please contact Alyssa Hopkins, Assistant Director of the Office of Charter Schools and School Redesign; Alison Bagg, Director of the Office of Charter Schools and School Redesign; Regina Robinson, Deputy Commissioner; or me.</w:t>
      </w:r>
    </w:p>
    <w:p w14:paraId="60313927" w14:textId="77777777" w:rsidR="00082E6C" w:rsidRDefault="00082E6C" w:rsidP="00C22EC5">
      <w:pPr>
        <w:sectPr w:rsidR="00082E6C" w:rsidSect="00DC188A">
          <w:headerReference w:type="default" r:id="rId12"/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0DC302" w14:textId="0E19C40D" w:rsidR="00C22EC5" w:rsidRPr="008C29BD" w:rsidRDefault="004F7CD1" w:rsidP="00C22EC5">
      <w:pPr>
        <w:rPr>
          <w:rStyle w:val="Strong"/>
        </w:rPr>
      </w:pPr>
      <w:r w:rsidRPr="008C29BD">
        <w:rPr>
          <w:rStyle w:val="Strong"/>
        </w:rPr>
        <w:lastRenderedPageBreak/>
        <w:t>Contracts Previously Delegated for Commissioner Approval</w:t>
      </w:r>
    </w:p>
    <w:p w14:paraId="197AFE6A" w14:textId="77777777" w:rsidR="004F7CD1" w:rsidRDefault="004F7CD1" w:rsidP="00C22EC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64"/>
        <w:gridCol w:w="2297"/>
        <w:gridCol w:w="1652"/>
        <w:gridCol w:w="1891"/>
        <w:gridCol w:w="1821"/>
        <w:gridCol w:w="2225"/>
      </w:tblGrid>
      <w:tr w:rsidR="00733B73" w14:paraId="37CE82CE" w14:textId="77777777" w:rsidTr="0032002E">
        <w:tc>
          <w:tcPr>
            <w:tcW w:w="1183" w:type="pct"/>
            <w:vAlign w:val="center"/>
          </w:tcPr>
          <w:p w14:paraId="7FD285AB" w14:textId="1BEBC5E3" w:rsidR="00C22EC5" w:rsidRPr="00082E6C" w:rsidRDefault="00C22EC5" w:rsidP="00082E6C">
            <w:pPr>
              <w:jc w:val="center"/>
              <w:rPr>
                <w:b/>
                <w:bCs/>
              </w:rPr>
            </w:pPr>
            <w:r w:rsidRPr="00082E6C">
              <w:rPr>
                <w:b/>
                <w:bCs/>
              </w:rPr>
              <w:t>Name of Charter School</w:t>
            </w:r>
          </w:p>
        </w:tc>
        <w:tc>
          <w:tcPr>
            <w:tcW w:w="887" w:type="pct"/>
            <w:vAlign w:val="center"/>
          </w:tcPr>
          <w:p w14:paraId="4A5EF5D2" w14:textId="097EB35E" w:rsidR="00C22EC5" w:rsidRPr="00082E6C" w:rsidRDefault="00C22EC5" w:rsidP="00082E6C">
            <w:pPr>
              <w:jc w:val="center"/>
              <w:rPr>
                <w:b/>
                <w:bCs/>
              </w:rPr>
            </w:pPr>
            <w:r w:rsidRPr="00082E6C">
              <w:rPr>
                <w:b/>
                <w:bCs/>
              </w:rPr>
              <w:t>Name of Management Organization</w:t>
            </w:r>
          </w:p>
        </w:tc>
        <w:tc>
          <w:tcPr>
            <w:tcW w:w="638" w:type="pct"/>
            <w:vAlign w:val="center"/>
          </w:tcPr>
          <w:p w14:paraId="38094724" w14:textId="75F7AC52" w:rsidR="00C22EC5" w:rsidRPr="00082E6C" w:rsidRDefault="00C22EC5" w:rsidP="00082E6C">
            <w:pPr>
              <w:jc w:val="center"/>
              <w:rPr>
                <w:b/>
                <w:bCs/>
              </w:rPr>
            </w:pPr>
            <w:r w:rsidRPr="00082E6C">
              <w:rPr>
                <w:b/>
                <w:bCs/>
              </w:rPr>
              <w:t>Contract Term</w:t>
            </w:r>
          </w:p>
        </w:tc>
        <w:tc>
          <w:tcPr>
            <w:tcW w:w="730" w:type="pct"/>
            <w:vAlign w:val="center"/>
          </w:tcPr>
          <w:p w14:paraId="5D18DAAE" w14:textId="79C22834" w:rsidR="00C60F48" w:rsidRDefault="00C60F48" w:rsidP="005A07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Board Vote to Delegate Authority</w:t>
            </w:r>
          </w:p>
        </w:tc>
        <w:tc>
          <w:tcPr>
            <w:tcW w:w="703" w:type="pct"/>
            <w:vAlign w:val="center"/>
          </w:tcPr>
          <w:p w14:paraId="56FAFF5A" w14:textId="08270C8B" w:rsidR="00C22EC5" w:rsidRPr="00082E6C" w:rsidRDefault="00C22EC5" w:rsidP="00082E6C">
            <w:pPr>
              <w:jc w:val="center"/>
              <w:rPr>
                <w:b/>
                <w:bCs/>
              </w:rPr>
            </w:pPr>
            <w:r w:rsidRPr="00082E6C">
              <w:rPr>
                <w:b/>
                <w:bCs/>
              </w:rPr>
              <w:t>Date of Commissioner</w:t>
            </w:r>
            <w:r w:rsidR="002170C8">
              <w:rPr>
                <w:b/>
                <w:bCs/>
              </w:rPr>
              <w:t xml:space="preserve"> </w:t>
            </w:r>
            <w:r w:rsidRPr="00082E6C">
              <w:rPr>
                <w:b/>
                <w:bCs/>
              </w:rPr>
              <w:t>Approval</w:t>
            </w:r>
          </w:p>
        </w:tc>
        <w:tc>
          <w:tcPr>
            <w:tcW w:w="859" w:type="pct"/>
            <w:vAlign w:val="center"/>
          </w:tcPr>
          <w:p w14:paraId="76230046" w14:textId="23DB5399" w:rsidR="00C22EC5" w:rsidRPr="00082E6C" w:rsidRDefault="00627468" w:rsidP="00082E6C">
            <w:pPr>
              <w:jc w:val="center"/>
              <w:rPr>
                <w:b/>
                <w:bCs/>
              </w:rPr>
            </w:pPr>
            <w:r w:rsidRPr="00082E6C">
              <w:rPr>
                <w:b/>
                <w:bCs/>
              </w:rPr>
              <w:t xml:space="preserve">Reason for </w:t>
            </w:r>
            <w:r w:rsidR="00C22EC5" w:rsidRPr="00082E6C">
              <w:rPr>
                <w:b/>
                <w:bCs/>
              </w:rPr>
              <w:t xml:space="preserve">New </w:t>
            </w:r>
            <w:r w:rsidRPr="00082E6C">
              <w:rPr>
                <w:b/>
                <w:bCs/>
              </w:rPr>
              <w:t>C</w:t>
            </w:r>
            <w:r w:rsidR="00C22EC5" w:rsidRPr="00082E6C">
              <w:rPr>
                <w:b/>
                <w:bCs/>
              </w:rPr>
              <w:t>ontr</w:t>
            </w:r>
            <w:r w:rsidRPr="00082E6C">
              <w:rPr>
                <w:b/>
                <w:bCs/>
              </w:rPr>
              <w:t>act</w:t>
            </w:r>
          </w:p>
        </w:tc>
      </w:tr>
      <w:tr w:rsidR="00733B73" w14:paraId="06272F6E" w14:textId="77777777" w:rsidTr="0032002E">
        <w:tc>
          <w:tcPr>
            <w:tcW w:w="1183" w:type="pct"/>
            <w:vAlign w:val="center"/>
          </w:tcPr>
          <w:p w14:paraId="2302C424" w14:textId="68F06A4E" w:rsidR="0016652A" w:rsidRDefault="0016652A" w:rsidP="008F297D">
            <w:pPr>
              <w:jc w:val="center"/>
            </w:pPr>
            <w:r>
              <w:t>W</w:t>
            </w:r>
            <w:r w:rsidR="00082E6C">
              <w:t xml:space="preserve">orcester </w:t>
            </w:r>
            <w:r>
              <w:t>C</w:t>
            </w:r>
            <w:r w:rsidR="00082E6C">
              <w:t xml:space="preserve">ultural </w:t>
            </w:r>
            <w:r>
              <w:t>A</w:t>
            </w:r>
            <w:r w:rsidR="00082E6C">
              <w:t xml:space="preserve">cademy </w:t>
            </w:r>
            <w:r w:rsidR="002170C8">
              <w:br/>
            </w:r>
            <w:r w:rsidR="00082E6C">
              <w:t>Charter Public School</w:t>
            </w:r>
          </w:p>
        </w:tc>
        <w:tc>
          <w:tcPr>
            <w:tcW w:w="887" w:type="pct"/>
            <w:vAlign w:val="center"/>
          </w:tcPr>
          <w:p w14:paraId="3C2B6FD8" w14:textId="7104F5C3" w:rsidR="0016652A" w:rsidRDefault="003F706B" w:rsidP="008F297D">
            <w:pPr>
              <w:jc w:val="center"/>
            </w:pPr>
            <w:r>
              <w:t>O</w:t>
            </w:r>
            <w:r w:rsidR="00082E6C">
              <w:t xml:space="preserve">ld </w:t>
            </w:r>
            <w:r>
              <w:t>S</w:t>
            </w:r>
            <w:r w:rsidR="00082E6C">
              <w:t xml:space="preserve">turbridge, </w:t>
            </w:r>
            <w:r>
              <w:t>I</w:t>
            </w:r>
            <w:r w:rsidR="00082E6C">
              <w:t>nc.</w:t>
            </w:r>
          </w:p>
        </w:tc>
        <w:tc>
          <w:tcPr>
            <w:tcW w:w="638" w:type="pct"/>
            <w:vAlign w:val="center"/>
          </w:tcPr>
          <w:p w14:paraId="696E9858" w14:textId="49165F91" w:rsidR="0016652A" w:rsidRDefault="003F706B" w:rsidP="00F84460">
            <w:pPr>
              <w:jc w:val="center"/>
            </w:pPr>
            <w:r>
              <w:t>2023-2028</w:t>
            </w:r>
          </w:p>
        </w:tc>
        <w:tc>
          <w:tcPr>
            <w:tcW w:w="730" w:type="pct"/>
            <w:vAlign w:val="center"/>
          </w:tcPr>
          <w:p w14:paraId="25BA5721" w14:textId="129B82A1" w:rsidR="00AA1BC6" w:rsidRDefault="00AA1BC6" w:rsidP="005A07D6">
            <w:pPr>
              <w:jc w:val="center"/>
            </w:pPr>
            <w:r>
              <w:t>5/23/2023</w:t>
            </w:r>
          </w:p>
        </w:tc>
        <w:tc>
          <w:tcPr>
            <w:tcW w:w="703" w:type="pct"/>
            <w:vAlign w:val="center"/>
          </w:tcPr>
          <w:p w14:paraId="52D750DE" w14:textId="1D7B7EC0" w:rsidR="0016652A" w:rsidRDefault="003F706B" w:rsidP="00F84460">
            <w:pPr>
              <w:jc w:val="center"/>
            </w:pPr>
            <w:r>
              <w:t>8/24/2023</w:t>
            </w:r>
          </w:p>
        </w:tc>
        <w:tc>
          <w:tcPr>
            <w:tcW w:w="859" w:type="pct"/>
            <w:vAlign w:val="center"/>
          </w:tcPr>
          <w:p w14:paraId="294639E1" w14:textId="7A740967" w:rsidR="0016652A" w:rsidRDefault="003F706B" w:rsidP="00F84460">
            <w:pPr>
              <w:jc w:val="center"/>
            </w:pPr>
            <w:r>
              <w:t>New school</w:t>
            </w:r>
          </w:p>
        </w:tc>
      </w:tr>
      <w:tr w:rsidR="00733B73" w14:paraId="36ABD520" w14:textId="77777777" w:rsidTr="0032002E">
        <w:tc>
          <w:tcPr>
            <w:tcW w:w="1183" w:type="pct"/>
            <w:vAlign w:val="center"/>
          </w:tcPr>
          <w:p w14:paraId="5FB0A154" w14:textId="0FF1D824" w:rsidR="00142275" w:rsidRDefault="00142275" w:rsidP="008F297D">
            <w:pPr>
              <w:jc w:val="center"/>
            </w:pPr>
            <w:r>
              <w:t xml:space="preserve">UP </w:t>
            </w:r>
            <w:r w:rsidR="00082E6C">
              <w:t xml:space="preserve">Academy Charter School of </w:t>
            </w:r>
            <w:r>
              <w:t>Dorchester</w:t>
            </w:r>
            <w:r w:rsidR="00C60F48">
              <w:t xml:space="preserve"> (Horace Mann)</w:t>
            </w:r>
          </w:p>
        </w:tc>
        <w:tc>
          <w:tcPr>
            <w:tcW w:w="887" w:type="pct"/>
            <w:vAlign w:val="center"/>
          </w:tcPr>
          <w:p w14:paraId="162A0C74" w14:textId="0ED9A056" w:rsidR="00142275" w:rsidRDefault="00142275" w:rsidP="008F297D">
            <w:pPr>
              <w:jc w:val="center"/>
            </w:pPr>
            <w:proofErr w:type="gramStart"/>
            <w:r>
              <w:t>UP</w:t>
            </w:r>
            <w:proofErr w:type="gramEnd"/>
            <w:r w:rsidR="009C0538">
              <w:t xml:space="preserve"> </w:t>
            </w:r>
            <w:r>
              <w:t>E</w:t>
            </w:r>
            <w:r w:rsidR="009C0538">
              <w:t xml:space="preserve">ducation </w:t>
            </w:r>
            <w:r>
              <w:t>N</w:t>
            </w:r>
            <w:r w:rsidR="009C0538">
              <w:t>etwork</w:t>
            </w:r>
          </w:p>
        </w:tc>
        <w:tc>
          <w:tcPr>
            <w:tcW w:w="638" w:type="pct"/>
            <w:vAlign w:val="center"/>
          </w:tcPr>
          <w:p w14:paraId="662C780F" w14:textId="394032F8" w:rsidR="00142275" w:rsidRDefault="00142275" w:rsidP="00F84460">
            <w:pPr>
              <w:jc w:val="center"/>
            </w:pPr>
            <w:r>
              <w:t>2023-2028</w:t>
            </w:r>
          </w:p>
        </w:tc>
        <w:tc>
          <w:tcPr>
            <w:tcW w:w="730" w:type="pct"/>
            <w:vAlign w:val="center"/>
          </w:tcPr>
          <w:p w14:paraId="137EA1C3" w14:textId="0C965042" w:rsidR="00AA1BC6" w:rsidRDefault="00AA1BC6" w:rsidP="005A07D6">
            <w:pPr>
              <w:jc w:val="center"/>
            </w:pPr>
            <w:r>
              <w:t>5/23/2023</w:t>
            </w:r>
          </w:p>
        </w:tc>
        <w:tc>
          <w:tcPr>
            <w:tcW w:w="703" w:type="pct"/>
            <w:vAlign w:val="center"/>
          </w:tcPr>
          <w:p w14:paraId="5306C0F3" w14:textId="051BB86B" w:rsidR="00142275" w:rsidRDefault="00142275" w:rsidP="00F84460">
            <w:pPr>
              <w:jc w:val="center"/>
            </w:pPr>
            <w:r>
              <w:t>6/17/2024</w:t>
            </w:r>
          </w:p>
        </w:tc>
        <w:tc>
          <w:tcPr>
            <w:tcW w:w="859" w:type="pct"/>
            <w:vAlign w:val="center"/>
          </w:tcPr>
          <w:p w14:paraId="4524FA87" w14:textId="1487E347" w:rsidR="00142275" w:rsidRDefault="00733B73" w:rsidP="00F84460">
            <w:pPr>
              <w:jc w:val="center"/>
            </w:pPr>
            <w:r>
              <w:t>Charter renewal</w:t>
            </w:r>
          </w:p>
        </w:tc>
      </w:tr>
      <w:tr w:rsidR="00733B73" w14:paraId="16D88C6B" w14:textId="77777777" w:rsidTr="0032002E">
        <w:tc>
          <w:tcPr>
            <w:tcW w:w="1183" w:type="pct"/>
            <w:vAlign w:val="center"/>
          </w:tcPr>
          <w:p w14:paraId="4638327B" w14:textId="185BE8AF" w:rsidR="0016652A" w:rsidRDefault="0016652A" w:rsidP="008F297D">
            <w:pPr>
              <w:jc w:val="center"/>
            </w:pPr>
            <w:r>
              <w:t>C</w:t>
            </w:r>
            <w:r w:rsidR="00082E6C">
              <w:t xml:space="preserve">ommunity </w:t>
            </w:r>
            <w:r>
              <w:t>D</w:t>
            </w:r>
            <w:r w:rsidR="00082E6C">
              <w:t>ay Charter Public School</w:t>
            </w:r>
          </w:p>
        </w:tc>
        <w:tc>
          <w:tcPr>
            <w:tcW w:w="887" w:type="pct"/>
            <w:vAlign w:val="center"/>
          </w:tcPr>
          <w:p w14:paraId="74F5816E" w14:textId="2689DAC2" w:rsidR="0016652A" w:rsidRDefault="003F706B" w:rsidP="008F297D">
            <w:pPr>
              <w:jc w:val="center"/>
            </w:pPr>
            <w:r>
              <w:t>T</w:t>
            </w:r>
            <w:r w:rsidR="009C0538">
              <w:t xml:space="preserve">he </w:t>
            </w:r>
            <w:r>
              <w:t>C</w:t>
            </w:r>
            <w:r w:rsidR="009C0538">
              <w:t xml:space="preserve">ommunity </w:t>
            </w:r>
            <w:r>
              <w:t>G</w:t>
            </w:r>
            <w:r w:rsidR="009C0538">
              <w:t>roup</w:t>
            </w:r>
          </w:p>
        </w:tc>
        <w:tc>
          <w:tcPr>
            <w:tcW w:w="638" w:type="pct"/>
            <w:vAlign w:val="center"/>
          </w:tcPr>
          <w:p w14:paraId="0973569F" w14:textId="0C9620BF" w:rsidR="0016652A" w:rsidRDefault="003F706B" w:rsidP="00F84460">
            <w:pPr>
              <w:jc w:val="center"/>
            </w:pPr>
            <w:r>
              <w:t>2023-2025</w:t>
            </w:r>
          </w:p>
        </w:tc>
        <w:tc>
          <w:tcPr>
            <w:tcW w:w="730" w:type="pct"/>
            <w:vAlign w:val="center"/>
          </w:tcPr>
          <w:p w14:paraId="2A71D169" w14:textId="74B3AD12" w:rsidR="003F6A72" w:rsidRDefault="003F6A72" w:rsidP="005A07D6">
            <w:pPr>
              <w:jc w:val="center"/>
            </w:pPr>
            <w:r>
              <w:t>8/15/2022</w:t>
            </w:r>
          </w:p>
        </w:tc>
        <w:tc>
          <w:tcPr>
            <w:tcW w:w="703" w:type="pct"/>
            <w:vAlign w:val="center"/>
          </w:tcPr>
          <w:p w14:paraId="28CEB667" w14:textId="5B42BDA2" w:rsidR="0016652A" w:rsidRDefault="003F706B" w:rsidP="00F84460">
            <w:pPr>
              <w:jc w:val="center"/>
            </w:pPr>
            <w:r>
              <w:t>12/16/2024</w:t>
            </w:r>
          </w:p>
        </w:tc>
        <w:tc>
          <w:tcPr>
            <w:tcW w:w="859" w:type="pct"/>
            <w:vAlign w:val="center"/>
          </w:tcPr>
          <w:p w14:paraId="1D386071" w14:textId="2BEE07E6" w:rsidR="0016652A" w:rsidRDefault="00733B73" w:rsidP="00F84460">
            <w:pPr>
              <w:jc w:val="center"/>
            </w:pPr>
            <w:r>
              <w:t>C</w:t>
            </w:r>
            <w:r w:rsidR="003F706B">
              <w:t>onsolidation</w:t>
            </w:r>
            <w:r>
              <w:t xml:space="preserve"> of charter school network</w:t>
            </w:r>
            <w:r w:rsidR="00037E12">
              <w:t xml:space="preserve"> operating with management contract</w:t>
            </w:r>
          </w:p>
        </w:tc>
      </w:tr>
      <w:tr w:rsidR="00733B73" w14:paraId="3B8A9986" w14:textId="77777777" w:rsidTr="0032002E">
        <w:tc>
          <w:tcPr>
            <w:tcW w:w="1183" w:type="pct"/>
            <w:vAlign w:val="center"/>
          </w:tcPr>
          <w:p w14:paraId="491DC01F" w14:textId="31BB8454" w:rsidR="0016652A" w:rsidRDefault="0016652A" w:rsidP="008F297D">
            <w:pPr>
              <w:jc w:val="center"/>
            </w:pPr>
            <w:r>
              <w:t>H</w:t>
            </w:r>
            <w:r w:rsidR="00082E6C">
              <w:t xml:space="preserve">olyoke </w:t>
            </w:r>
            <w:r>
              <w:t>C</w:t>
            </w:r>
            <w:r w:rsidR="00082E6C">
              <w:t xml:space="preserve">ommunity </w:t>
            </w:r>
            <w:r>
              <w:t>C</w:t>
            </w:r>
            <w:r w:rsidR="00082E6C">
              <w:t xml:space="preserve">harter </w:t>
            </w:r>
            <w:r>
              <w:t>S</w:t>
            </w:r>
            <w:r w:rsidR="00082E6C">
              <w:t>chool</w:t>
            </w:r>
          </w:p>
        </w:tc>
        <w:tc>
          <w:tcPr>
            <w:tcW w:w="887" w:type="pct"/>
            <w:vAlign w:val="center"/>
          </w:tcPr>
          <w:p w14:paraId="156030CB" w14:textId="451CA10E" w:rsidR="0016652A" w:rsidRDefault="003F706B" w:rsidP="008F297D">
            <w:pPr>
              <w:jc w:val="center"/>
            </w:pPr>
            <w:r>
              <w:t>S</w:t>
            </w:r>
            <w:r w:rsidR="002B06B7">
              <w:t xml:space="preserve">pringfield </w:t>
            </w:r>
            <w:r>
              <w:t>E</w:t>
            </w:r>
            <w:r w:rsidR="002B06B7">
              <w:t xml:space="preserve">ducation </w:t>
            </w:r>
            <w:r>
              <w:t>M</w:t>
            </w:r>
            <w:r w:rsidR="002B06B7">
              <w:t xml:space="preserve">anagement, LLC (SABIS </w:t>
            </w:r>
            <w:r w:rsidR="00F84460">
              <w:t>Educational Systems)</w:t>
            </w:r>
          </w:p>
        </w:tc>
        <w:tc>
          <w:tcPr>
            <w:tcW w:w="638" w:type="pct"/>
            <w:vAlign w:val="center"/>
          </w:tcPr>
          <w:p w14:paraId="263C92D2" w14:textId="78A49836" w:rsidR="0016652A" w:rsidRDefault="003F706B" w:rsidP="00F84460">
            <w:pPr>
              <w:jc w:val="center"/>
            </w:pPr>
            <w:r>
              <w:t>2020-2025</w:t>
            </w:r>
          </w:p>
        </w:tc>
        <w:tc>
          <w:tcPr>
            <w:tcW w:w="730" w:type="pct"/>
            <w:vAlign w:val="center"/>
          </w:tcPr>
          <w:p w14:paraId="60B6D648" w14:textId="2890EB26" w:rsidR="00556422" w:rsidRDefault="00556422" w:rsidP="005A07D6">
            <w:pPr>
              <w:jc w:val="center"/>
            </w:pPr>
            <w:r>
              <w:t>6/3</w:t>
            </w:r>
            <w:r w:rsidR="00E836F5">
              <w:t>0</w:t>
            </w:r>
            <w:r>
              <w:t>/2020</w:t>
            </w:r>
          </w:p>
        </w:tc>
        <w:tc>
          <w:tcPr>
            <w:tcW w:w="703" w:type="pct"/>
            <w:vAlign w:val="center"/>
          </w:tcPr>
          <w:p w14:paraId="7CD9492B" w14:textId="6C8FB8F1" w:rsidR="0016652A" w:rsidRDefault="003F706B" w:rsidP="00F84460">
            <w:pPr>
              <w:jc w:val="center"/>
            </w:pPr>
            <w:r>
              <w:t>12/16/2024</w:t>
            </w:r>
          </w:p>
        </w:tc>
        <w:tc>
          <w:tcPr>
            <w:tcW w:w="859" w:type="pct"/>
            <w:vAlign w:val="center"/>
          </w:tcPr>
          <w:p w14:paraId="36D8F061" w14:textId="5BD1EE53" w:rsidR="0016652A" w:rsidRDefault="00037E12" w:rsidP="00F84460">
            <w:pPr>
              <w:jc w:val="center"/>
            </w:pPr>
            <w:r>
              <w:t>Charter renewal</w:t>
            </w:r>
          </w:p>
        </w:tc>
      </w:tr>
      <w:tr w:rsidR="00136F2E" w14:paraId="70033B10" w14:textId="77777777" w:rsidTr="0032002E">
        <w:tc>
          <w:tcPr>
            <w:tcW w:w="1183" w:type="pct"/>
            <w:vAlign w:val="center"/>
          </w:tcPr>
          <w:p w14:paraId="221C32CB" w14:textId="1EBBFEFA" w:rsidR="00136F2E" w:rsidRDefault="00136F2E" w:rsidP="008F297D">
            <w:pPr>
              <w:jc w:val="center"/>
            </w:pPr>
            <w:r>
              <w:t>Excel Academy Charter School</w:t>
            </w:r>
          </w:p>
        </w:tc>
        <w:tc>
          <w:tcPr>
            <w:tcW w:w="887" w:type="pct"/>
            <w:vAlign w:val="center"/>
          </w:tcPr>
          <w:p w14:paraId="2ED55C7B" w14:textId="2D317BC3" w:rsidR="00136F2E" w:rsidRDefault="00136F2E" w:rsidP="008F297D">
            <w:pPr>
              <w:jc w:val="center"/>
            </w:pPr>
            <w:r>
              <w:t>Friends of Excel Academy Charter School, Inc.</w:t>
            </w:r>
          </w:p>
        </w:tc>
        <w:tc>
          <w:tcPr>
            <w:tcW w:w="638" w:type="pct"/>
            <w:vAlign w:val="center"/>
          </w:tcPr>
          <w:p w14:paraId="4A49A024" w14:textId="15AC4260" w:rsidR="00136F2E" w:rsidRDefault="00136F2E" w:rsidP="00136F2E">
            <w:pPr>
              <w:jc w:val="center"/>
            </w:pPr>
            <w:r>
              <w:t>2024-202</w:t>
            </w:r>
            <w:r w:rsidR="00470CCC">
              <w:t>8</w:t>
            </w:r>
          </w:p>
        </w:tc>
        <w:tc>
          <w:tcPr>
            <w:tcW w:w="730" w:type="pct"/>
            <w:vAlign w:val="center"/>
          </w:tcPr>
          <w:p w14:paraId="069E917E" w14:textId="2AF4899A" w:rsidR="00AA1BC6" w:rsidRDefault="00AA1BC6" w:rsidP="005A07D6">
            <w:pPr>
              <w:jc w:val="center"/>
            </w:pPr>
            <w:r>
              <w:t>5/23/2023</w:t>
            </w:r>
          </w:p>
        </w:tc>
        <w:tc>
          <w:tcPr>
            <w:tcW w:w="703" w:type="pct"/>
            <w:vAlign w:val="center"/>
          </w:tcPr>
          <w:p w14:paraId="05916D88" w14:textId="73B15043" w:rsidR="00136F2E" w:rsidRDefault="00136F2E" w:rsidP="00136F2E">
            <w:pPr>
              <w:jc w:val="center"/>
            </w:pPr>
            <w:r>
              <w:t>TBD</w:t>
            </w:r>
          </w:p>
        </w:tc>
        <w:tc>
          <w:tcPr>
            <w:tcW w:w="859" w:type="pct"/>
            <w:vAlign w:val="center"/>
          </w:tcPr>
          <w:p w14:paraId="3723B5D3" w14:textId="29A86656" w:rsidR="00136F2E" w:rsidRDefault="00A4707A" w:rsidP="00136F2E">
            <w:pPr>
              <w:jc w:val="center"/>
            </w:pPr>
            <w:r>
              <w:t>Charter renewal</w:t>
            </w:r>
          </w:p>
        </w:tc>
      </w:tr>
      <w:tr w:rsidR="00136F2E" w14:paraId="206B7102" w14:textId="77777777" w:rsidTr="0032002E">
        <w:tc>
          <w:tcPr>
            <w:tcW w:w="1183" w:type="pct"/>
            <w:vAlign w:val="center"/>
          </w:tcPr>
          <w:p w14:paraId="1093FC80" w14:textId="50129575" w:rsidR="00136F2E" w:rsidRDefault="00A53A8A" w:rsidP="008F297D">
            <w:pPr>
              <w:jc w:val="center"/>
            </w:pPr>
            <w:r>
              <w:t>Dudley</w:t>
            </w:r>
            <w:r w:rsidR="006710A9">
              <w:t xml:space="preserve"> </w:t>
            </w:r>
            <w:r w:rsidR="00366DCF">
              <w:t>Street Neighborhood Charter School</w:t>
            </w:r>
            <w:r w:rsidR="00C60F48">
              <w:t xml:space="preserve"> (Horace Mann)</w:t>
            </w:r>
          </w:p>
        </w:tc>
        <w:tc>
          <w:tcPr>
            <w:tcW w:w="887" w:type="pct"/>
            <w:vAlign w:val="center"/>
          </w:tcPr>
          <w:p w14:paraId="184A69C8" w14:textId="081E8276" w:rsidR="00136F2E" w:rsidRDefault="00181BBE" w:rsidP="008F297D">
            <w:pPr>
              <w:jc w:val="center"/>
            </w:pPr>
            <w:r>
              <w:t>Boston Plan for Excellence (</w:t>
            </w:r>
            <w:r w:rsidR="00366DCF">
              <w:t>BPE</w:t>
            </w:r>
            <w:r>
              <w:t>)</w:t>
            </w:r>
          </w:p>
        </w:tc>
        <w:tc>
          <w:tcPr>
            <w:tcW w:w="638" w:type="pct"/>
            <w:vAlign w:val="center"/>
          </w:tcPr>
          <w:p w14:paraId="79C8E8BB" w14:textId="7658AF35" w:rsidR="00136F2E" w:rsidRDefault="00A53A8A" w:rsidP="00F84460">
            <w:pPr>
              <w:jc w:val="center"/>
            </w:pPr>
            <w:r>
              <w:t>2023-2027</w:t>
            </w:r>
          </w:p>
        </w:tc>
        <w:tc>
          <w:tcPr>
            <w:tcW w:w="730" w:type="pct"/>
            <w:vAlign w:val="center"/>
          </w:tcPr>
          <w:p w14:paraId="4235D4A3" w14:textId="6C72C692" w:rsidR="003F6A72" w:rsidRDefault="003F6A72" w:rsidP="005A07D6">
            <w:pPr>
              <w:jc w:val="center"/>
            </w:pPr>
            <w:r>
              <w:t>8/15/2022</w:t>
            </w:r>
          </w:p>
        </w:tc>
        <w:tc>
          <w:tcPr>
            <w:tcW w:w="703" w:type="pct"/>
            <w:vAlign w:val="center"/>
          </w:tcPr>
          <w:p w14:paraId="2B954E4A" w14:textId="74611658" w:rsidR="00136F2E" w:rsidRDefault="006710A9" w:rsidP="00F84460">
            <w:pPr>
              <w:jc w:val="center"/>
            </w:pPr>
            <w:r>
              <w:t>TBD</w:t>
            </w:r>
          </w:p>
        </w:tc>
        <w:tc>
          <w:tcPr>
            <w:tcW w:w="859" w:type="pct"/>
            <w:vAlign w:val="center"/>
          </w:tcPr>
          <w:p w14:paraId="19E92635" w14:textId="1D455AF9" w:rsidR="00136F2E" w:rsidRDefault="006710A9" w:rsidP="00F84460">
            <w:pPr>
              <w:jc w:val="center"/>
            </w:pPr>
            <w:r>
              <w:t>Charter renewal</w:t>
            </w:r>
          </w:p>
        </w:tc>
      </w:tr>
      <w:tr w:rsidR="00136F2E" w14:paraId="2DBE756F" w14:textId="77777777" w:rsidTr="0032002E">
        <w:tc>
          <w:tcPr>
            <w:tcW w:w="1183" w:type="pct"/>
            <w:vAlign w:val="center"/>
          </w:tcPr>
          <w:p w14:paraId="5C0E1ACC" w14:textId="5EDB53A2" w:rsidR="00136F2E" w:rsidRDefault="002C2DE3" w:rsidP="008F297D">
            <w:pPr>
              <w:jc w:val="center"/>
            </w:pPr>
            <w:r>
              <w:t>Old Sturbridge Academy Charter Public School</w:t>
            </w:r>
          </w:p>
        </w:tc>
        <w:tc>
          <w:tcPr>
            <w:tcW w:w="887" w:type="pct"/>
            <w:vAlign w:val="center"/>
          </w:tcPr>
          <w:p w14:paraId="2426FD7F" w14:textId="50C4C19B" w:rsidR="00136F2E" w:rsidRDefault="002C2DE3" w:rsidP="008F297D">
            <w:pPr>
              <w:jc w:val="center"/>
            </w:pPr>
            <w:r>
              <w:t>Old Sturbridge, Inc.</w:t>
            </w:r>
          </w:p>
        </w:tc>
        <w:tc>
          <w:tcPr>
            <w:tcW w:w="638" w:type="pct"/>
            <w:vAlign w:val="center"/>
          </w:tcPr>
          <w:p w14:paraId="06D7AE82" w14:textId="74CFABEC" w:rsidR="00136F2E" w:rsidRDefault="002C2DE3" w:rsidP="00F84460">
            <w:pPr>
              <w:jc w:val="center"/>
            </w:pPr>
            <w:r>
              <w:t>2023-2027</w:t>
            </w:r>
          </w:p>
        </w:tc>
        <w:tc>
          <w:tcPr>
            <w:tcW w:w="730" w:type="pct"/>
            <w:vAlign w:val="center"/>
          </w:tcPr>
          <w:p w14:paraId="7FD14B6C" w14:textId="6B6E2288" w:rsidR="003F6A72" w:rsidRDefault="003F6A72" w:rsidP="005A07D6">
            <w:pPr>
              <w:jc w:val="center"/>
            </w:pPr>
            <w:r>
              <w:t>8/15/2022</w:t>
            </w:r>
          </w:p>
        </w:tc>
        <w:tc>
          <w:tcPr>
            <w:tcW w:w="703" w:type="pct"/>
            <w:vAlign w:val="center"/>
          </w:tcPr>
          <w:p w14:paraId="1B4E5BA3" w14:textId="4BA31F7C" w:rsidR="00136F2E" w:rsidRDefault="002C2DE3" w:rsidP="00F84460">
            <w:pPr>
              <w:jc w:val="center"/>
            </w:pPr>
            <w:r>
              <w:t>TBD</w:t>
            </w:r>
          </w:p>
        </w:tc>
        <w:tc>
          <w:tcPr>
            <w:tcW w:w="859" w:type="pct"/>
            <w:vAlign w:val="center"/>
          </w:tcPr>
          <w:p w14:paraId="281E4EB6" w14:textId="0F647CB1" w:rsidR="00136F2E" w:rsidRDefault="00E3450B" w:rsidP="00F84460">
            <w:pPr>
              <w:jc w:val="center"/>
            </w:pPr>
            <w:r>
              <w:t>Charter renewal</w:t>
            </w:r>
          </w:p>
        </w:tc>
      </w:tr>
      <w:bookmarkEnd w:id="4"/>
    </w:tbl>
    <w:p w14:paraId="14B27558" w14:textId="1FE3826B" w:rsidR="003D72C8" w:rsidRPr="00755187" w:rsidRDefault="003D72C8" w:rsidP="00CC1FDA"/>
    <w:sectPr w:rsidR="003D72C8" w:rsidRPr="00755187" w:rsidSect="00082E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4FC18" w14:textId="77777777" w:rsidR="00443739" w:rsidRDefault="00443739" w:rsidP="00ED5501">
      <w:r>
        <w:separator/>
      </w:r>
    </w:p>
  </w:endnote>
  <w:endnote w:type="continuationSeparator" w:id="0">
    <w:p w14:paraId="42FFAD0D" w14:textId="77777777" w:rsidR="00443739" w:rsidRDefault="00443739" w:rsidP="00ED5501">
      <w:r>
        <w:continuationSeparator/>
      </w:r>
    </w:p>
  </w:endnote>
  <w:endnote w:type="continuationNotice" w:id="1">
    <w:p w14:paraId="0FD572EC" w14:textId="77777777" w:rsidR="00443739" w:rsidRDefault="004437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C818" w14:textId="27232996" w:rsidR="00ED5501" w:rsidRPr="00ED5501" w:rsidRDefault="00ED5501" w:rsidP="00ED550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20D86E0" wp14:editId="313044CE">
          <wp:simplePos x="0" y="0"/>
          <wp:positionH relativeFrom="column">
            <wp:posOffset>-970915</wp:posOffset>
          </wp:positionH>
          <wp:positionV relativeFrom="paragraph">
            <wp:posOffset>-80645</wp:posOffset>
          </wp:positionV>
          <wp:extent cx="8080001" cy="528308"/>
          <wp:effectExtent l="0" t="0" r="0" b="0"/>
          <wp:wrapNone/>
          <wp:docPr id="2051122816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122816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0001" cy="52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660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8C50C" w14:textId="2FE857D8" w:rsidR="00E2551F" w:rsidRDefault="00E255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08F58ED5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FC8EE" w14:textId="77777777" w:rsidR="00443739" w:rsidRDefault="00443739" w:rsidP="00ED5501">
      <w:r>
        <w:separator/>
      </w:r>
    </w:p>
  </w:footnote>
  <w:footnote w:type="continuationSeparator" w:id="0">
    <w:p w14:paraId="5D7A91A3" w14:textId="77777777" w:rsidR="00443739" w:rsidRDefault="00443739" w:rsidP="00ED5501">
      <w:r>
        <w:continuationSeparator/>
      </w:r>
    </w:p>
  </w:footnote>
  <w:footnote w:type="continuationNotice" w:id="1">
    <w:p w14:paraId="14C2485A" w14:textId="77777777" w:rsidR="00443739" w:rsidRDefault="00443739"/>
  </w:footnote>
  <w:footnote w:id="2">
    <w:p w14:paraId="7261CBD4" w14:textId="14D8F56C" w:rsidR="00C32E25" w:rsidRDefault="00C32E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62D19" w:rsidRPr="00272C00">
        <w:rPr>
          <w:i/>
          <w:iCs/>
        </w:rPr>
        <w:t>See</w:t>
      </w:r>
      <w:r w:rsidR="00E62D19">
        <w:t xml:space="preserve"> </w:t>
      </w:r>
      <w:hyperlink r:id="rId1" w:tooltip="BESE May 2023 Regular Meeting Item 6: Delegation of Authority to Commissioner to Approve Contracts Proposed by Three Charter Schools" w:history="1">
        <w:r w:rsidR="00E62D19" w:rsidRPr="00A13945">
          <w:rPr>
            <w:rStyle w:val="Hyperlink"/>
          </w:rPr>
          <w:t>BESE May 2023 Regular Meeting Item 6: Delegation of Authority to Commissioner to Approve Contracts Proposed by Three Charter Schools</w:t>
        </w:r>
      </w:hyperlink>
      <w:r w:rsidR="00E62D19" w:rsidRPr="00A13945">
        <w:t xml:space="preserve">; </w:t>
      </w:r>
      <w:hyperlink r:id="rId2" w:tooltip="BESE August 2022 Special Meeting Item 4: Delegation of Authority to Commissioner to Approve Contracts Proposed by Four Charter Schools" w:history="1">
        <w:r w:rsidR="0037179C" w:rsidRPr="0037179C">
          <w:rPr>
            <w:rStyle w:val="Hyperlink"/>
          </w:rPr>
          <w:t>BESE August 2022 Special Meeting Item 4: Delegation of Authority to Commissioner to Approve Contracts Proposed by Four Charter Schools</w:t>
        </w:r>
      </w:hyperlink>
      <w:r w:rsidR="003273EE" w:rsidRPr="0037179C">
        <w:t xml:space="preserve">; and </w:t>
      </w:r>
      <w:hyperlink r:id="rId3" w:tooltip="BESE June 2020 Item 6: Summer and Mgmt Contract Delegation Vote Memo 6-18-20 final" w:history="1">
        <w:r w:rsidR="001D0161">
          <w:rPr>
            <w:rStyle w:val="Hyperlink"/>
          </w:rPr>
          <w:t>BESE June 2020 Regular Meeting Item 6: Summer and Management Contract Delegation of Authority to Commissioner</w:t>
        </w:r>
      </w:hyperlink>
      <w:r w:rsidR="00840DF1">
        <w:t>.</w:t>
      </w:r>
    </w:p>
  </w:footnote>
  <w:footnote w:id="3">
    <w:p w14:paraId="0B54BAFB" w14:textId="56EC2458" w:rsidR="003D46E3" w:rsidRDefault="003D46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7343D">
        <w:t xml:space="preserve">At its March </w:t>
      </w:r>
      <w:r w:rsidR="00613C1B">
        <w:t xml:space="preserve">2025 </w:t>
      </w:r>
      <w:r w:rsidR="00E7343D">
        <w:t>meeting, t</w:t>
      </w:r>
      <w:r>
        <w:t xml:space="preserve">he Board will consider </w:t>
      </w:r>
      <w:r w:rsidR="001A5492">
        <w:t xml:space="preserve">for approval </w:t>
      </w:r>
      <w:r w:rsidR="003A1AF4">
        <w:t xml:space="preserve">a management contract </w:t>
      </w:r>
      <w:r w:rsidR="00D22395">
        <w:t xml:space="preserve">for Roxbury Preparatory Charter School </w:t>
      </w:r>
      <w:r w:rsidR="00E7343D">
        <w:t>that has not been delegated to the Commissioner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5F23D89D">
          <wp:simplePos x="0" y="0"/>
          <wp:positionH relativeFrom="page">
            <wp:posOffset>0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96013962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13962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E5170" w14:textId="4215CAAC" w:rsidR="004873A1" w:rsidRDefault="004873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13F88"/>
    <w:rsid w:val="00032C6B"/>
    <w:rsid w:val="00037E12"/>
    <w:rsid w:val="00052299"/>
    <w:rsid w:val="000553B4"/>
    <w:rsid w:val="00055BAC"/>
    <w:rsid w:val="00072A71"/>
    <w:rsid w:val="00075DB3"/>
    <w:rsid w:val="00077581"/>
    <w:rsid w:val="00082E6C"/>
    <w:rsid w:val="00085C17"/>
    <w:rsid w:val="000A56C1"/>
    <w:rsid w:val="000A649D"/>
    <w:rsid w:val="000B180E"/>
    <w:rsid w:val="000B5B05"/>
    <w:rsid w:val="000C1623"/>
    <w:rsid w:val="000C684F"/>
    <w:rsid w:val="000D58AE"/>
    <w:rsid w:val="000D7344"/>
    <w:rsid w:val="000E5D6A"/>
    <w:rsid w:val="001065B5"/>
    <w:rsid w:val="00113C47"/>
    <w:rsid w:val="0012203F"/>
    <w:rsid w:val="00136F2E"/>
    <w:rsid w:val="00141ABD"/>
    <w:rsid w:val="00142275"/>
    <w:rsid w:val="0016652A"/>
    <w:rsid w:val="00181BBE"/>
    <w:rsid w:val="00190379"/>
    <w:rsid w:val="00190681"/>
    <w:rsid w:val="00192CBF"/>
    <w:rsid w:val="001A5492"/>
    <w:rsid w:val="001C1AE3"/>
    <w:rsid w:val="001D0161"/>
    <w:rsid w:val="001D42A7"/>
    <w:rsid w:val="001D69F2"/>
    <w:rsid w:val="0021630A"/>
    <w:rsid w:val="002170C8"/>
    <w:rsid w:val="0022100F"/>
    <w:rsid w:val="002238F3"/>
    <w:rsid w:val="0022456B"/>
    <w:rsid w:val="00230760"/>
    <w:rsid w:val="00247F65"/>
    <w:rsid w:val="00256EFF"/>
    <w:rsid w:val="00265996"/>
    <w:rsid w:val="00271833"/>
    <w:rsid w:val="00272C00"/>
    <w:rsid w:val="00282EF7"/>
    <w:rsid w:val="002862A7"/>
    <w:rsid w:val="00297EE7"/>
    <w:rsid w:val="002A6D58"/>
    <w:rsid w:val="002B06B7"/>
    <w:rsid w:val="002B280A"/>
    <w:rsid w:val="002B627A"/>
    <w:rsid w:val="002C2DE3"/>
    <w:rsid w:val="003152B7"/>
    <w:rsid w:val="00315D11"/>
    <w:rsid w:val="0032002E"/>
    <w:rsid w:val="003273EE"/>
    <w:rsid w:val="003333B7"/>
    <w:rsid w:val="0033502E"/>
    <w:rsid w:val="00336C61"/>
    <w:rsid w:val="00350FAF"/>
    <w:rsid w:val="00366DCF"/>
    <w:rsid w:val="0037179C"/>
    <w:rsid w:val="00371B4A"/>
    <w:rsid w:val="00383955"/>
    <w:rsid w:val="00394DED"/>
    <w:rsid w:val="00396D7B"/>
    <w:rsid w:val="00397D3A"/>
    <w:rsid w:val="003A1AF4"/>
    <w:rsid w:val="003A3862"/>
    <w:rsid w:val="003A7932"/>
    <w:rsid w:val="003B44A0"/>
    <w:rsid w:val="003D26F2"/>
    <w:rsid w:val="003D46E3"/>
    <w:rsid w:val="003D72C8"/>
    <w:rsid w:val="003E05EC"/>
    <w:rsid w:val="003F6A72"/>
    <w:rsid w:val="003F706B"/>
    <w:rsid w:val="00404BF6"/>
    <w:rsid w:val="004107BE"/>
    <w:rsid w:val="00443739"/>
    <w:rsid w:val="0045357E"/>
    <w:rsid w:val="004551BE"/>
    <w:rsid w:val="00456A62"/>
    <w:rsid w:val="00462327"/>
    <w:rsid w:val="00470CCC"/>
    <w:rsid w:val="004873A1"/>
    <w:rsid w:val="00487DB3"/>
    <w:rsid w:val="00496057"/>
    <w:rsid w:val="0049762E"/>
    <w:rsid w:val="004A3AF1"/>
    <w:rsid w:val="004B2C77"/>
    <w:rsid w:val="004C7A11"/>
    <w:rsid w:val="004D3177"/>
    <w:rsid w:val="004E429D"/>
    <w:rsid w:val="004E6A9B"/>
    <w:rsid w:val="004E7807"/>
    <w:rsid w:val="004F1887"/>
    <w:rsid w:val="004F7CD1"/>
    <w:rsid w:val="00532765"/>
    <w:rsid w:val="005345FA"/>
    <w:rsid w:val="00550582"/>
    <w:rsid w:val="00551790"/>
    <w:rsid w:val="00556422"/>
    <w:rsid w:val="00566BEC"/>
    <w:rsid w:val="00584D6E"/>
    <w:rsid w:val="0058716D"/>
    <w:rsid w:val="0059121A"/>
    <w:rsid w:val="00594A50"/>
    <w:rsid w:val="005A07D6"/>
    <w:rsid w:val="005A089B"/>
    <w:rsid w:val="00601112"/>
    <w:rsid w:val="00604D7F"/>
    <w:rsid w:val="00613C1B"/>
    <w:rsid w:val="00622C9F"/>
    <w:rsid w:val="00627468"/>
    <w:rsid w:val="006710A9"/>
    <w:rsid w:val="00681658"/>
    <w:rsid w:val="00683726"/>
    <w:rsid w:val="00694923"/>
    <w:rsid w:val="0069655F"/>
    <w:rsid w:val="00697EA9"/>
    <w:rsid w:val="006A61CE"/>
    <w:rsid w:val="006C180D"/>
    <w:rsid w:val="006C3F62"/>
    <w:rsid w:val="006C5BA2"/>
    <w:rsid w:val="006C7F2E"/>
    <w:rsid w:val="006D3FBB"/>
    <w:rsid w:val="006D746C"/>
    <w:rsid w:val="006F0986"/>
    <w:rsid w:val="006F254C"/>
    <w:rsid w:val="00711831"/>
    <w:rsid w:val="00733B73"/>
    <w:rsid w:val="00734436"/>
    <w:rsid w:val="00755187"/>
    <w:rsid w:val="007666DF"/>
    <w:rsid w:val="007769E8"/>
    <w:rsid w:val="0078181A"/>
    <w:rsid w:val="00781B81"/>
    <w:rsid w:val="00790A55"/>
    <w:rsid w:val="007A7664"/>
    <w:rsid w:val="007B15D3"/>
    <w:rsid w:val="007E6612"/>
    <w:rsid w:val="007F3C3C"/>
    <w:rsid w:val="007F6C99"/>
    <w:rsid w:val="00800C07"/>
    <w:rsid w:val="00804B5A"/>
    <w:rsid w:val="00820157"/>
    <w:rsid w:val="00826ABA"/>
    <w:rsid w:val="008324C1"/>
    <w:rsid w:val="00840DF1"/>
    <w:rsid w:val="00893771"/>
    <w:rsid w:val="008939A0"/>
    <w:rsid w:val="008C0036"/>
    <w:rsid w:val="008C29BD"/>
    <w:rsid w:val="008C3DE0"/>
    <w:rsid w:val="008D43D3"/>
    <w:rsid w:val="008E051C"/>
    <w:rsid w:val="008E0DA7"/>
    <w:rsid w:val="008F2677"/>
    <w:rsid w:val="008F297D"/>
    <w:rsid w:val="00914047"/>
    <w:rsid w:val="00923DD9"/>
    <w:rsid w:val="009327E5"/>
    <w:rsid w:val="00945C7D"/>
    <w:rsid w:val="00952989"/>
    <w:rsid w:val="009560A6"/>
    <w:rsid w:val="009A28ED"/>
    <w:rsid w:val="009A7841"/>
    <w:rsid w:val="009C0538"/>
    <w:rsid w:val="009E7F94"/>
    <w:rsid w:val="00A02F92"/>
    <w:rsid w:val="00A1123B"/>
    <w:rsid w:val="00A13945"/>
    <w:rsid w:val="00A14460"/>
    <w:rsid w:val="00A36561"/>
    <w:rsid w:val="00A466B1"/>
    <w:rsid w:val="00A4707A"/>
    <w:rsid w:val="00A53A8A"/>
    <w:rsid w:val="00A6610E"/>
    <w:rsid w:val="00A92047"/>
    <w:rsid w:val="00A9392D"/>
    <w:rsid w:val="00AA1BC6"/>
    <w:rsid w:val="00AB386D"/>
    <w:rsid w:val="00AF38A2"/>
    <w:rsid w:val="00B00A94"/>
    <w:rsid w:val="00B122B5"/>
    <w:rsid w:val="00B856A4"/>
    <w:rsid w:val="00B85C9C"/>
    <w:rsid w:val="00B91401"/>
    <w:rsid w:val="00B95566"/>
    <w:rsid w:val="00BA47E4"/>
    <w:rsid w:val="00BA5F66"/>
    <w:rsid w:val="00C01C9B"/>
    <w:rsid w:val="00C032D5"/>
    <w:rsid w:val="00C12ACD"/>
    <w:rsid w:val="00C201B2"/>
    <w:rsid w:val="00C22EC5"/>
    <w:rsid w:val="00C32ACF"/>
    <w:rsid w:val="00C32E25"/>
    <w:rsid w:val="00C44BAD"/>
    <w:rsid w:val="00C568C0"/>
    <w:rsid w:val="00C60E8C"/>
    <w:rsid w:val="00C60F48"/>
    <w:rsid w:val="00C75F92"/>
    <w:rsid w:val="00C77D0C"/>
    <w:rsid w:val="00C77E16"/>
    <w:rsid w:val="00CA7DA4"/>
    <w:rsid w:val="00CC1FDA"/>
    <w:rsid w:val="00CD25B8"/>
    <w:rsid w:val="00CD4113"/>
    <w:rsid w:val="00D03CE4"/>
    <w:rsid w:val="00D22395"/>
    <w:rsid w:val="00D23A59"/>
    <w:rsid w:val="00D24C64"/>
    <w:rsid w:val="00D263CD"/>
    <w:rsid w:val="00D42A1E"/>
    <w:rsid w:val="00D95730"/>
    <w:rsid w:val="00DA3253"/>
    <w:rsid w:val="00DC188A"/>
    <w:rsid w:val="00DC4B17"/>
    <w:rsid w:val="00DE45EC"/>
    <w:rsid w:val="00DF08CF"/>
    <w:rsid w:val="00DF74CD"/>
    <w:rsid w:val="00DF755A"/>
    <w:rsid w:val="00E24B80"/>
    <w:rsid w:val="00E2551F"/>
    <w:rsid w:val="00E26366"/>
    <w:rsid w:val="00E3450B"/>
    <w:rsid w:val="00E36955"/>
    <w:rsid w:val="00E3706A"/>
    <w:rsid w:val="00E50434"/>
    <w:rsid w:val="00E51041"/>
    <w:rsid w:val="00E55F2B"/>
    <w:rsid w:val="00E62D19"/>
    <w:rsid w:val="00E643CC"/>
    <w:rsid w:val="00E7259C"/>
    <w:rsid w:val="00E7343D"/>
    <w:rsid w:val="00E836F5"/>
    <w:rsid w:val="00E96BD6"/>
    <w:rsid w:val="00EA20F8"/>
    <w:rsid w:val="00EA7F0A"/>
    <w:rsid w:val="00EC0664"/>
    <w:rsid w:val="00EC5C9A"/>
    <w:rsid w:val="00ED0407"/>
    <w:rsid w:val="00ED2C62"/>
    <w:rsid w:val="00ED5501"/>
    <w:rsid w:val="00ED7039"/>
    <w:rsid w:val="00EF2B04"/>
    <w:rsid w:val="00EF42C6"/>
    <w:rsid w:val="00F04524"/>
    <w:rsid w:val="00F1128E"/>
    <w:rsid w:val="00F1446C"/>
    <w:rsid w:val="00F21CE7"/>
    <w:rsid w:val="00F34220"/>
    <w:rsid w:val="00F44CE4"/>
    <w:rsid w:val="00F46726"/>
    <w:rsid w:val="00F81EAE"/>
    <w:rsid w:val="00F84460"/>
    <w:rsid w:val="00F95670"/>
    <w:rsid w:val="00FA01C0"/>
    <w:rsid w:val="00FA3FF8"/>
    <w:rsid w:val="00FB070A"/>
    <w:rsid w:val="00FB7166"/>
    <w:rsid w:val="00FD06A7"/>
    <w:rsid w:val="04BBC905"/>
    <w:rsid w:val="10BC6790"/>
    <w:rsid w:val="1192965C"/>
    <w:rsid w:val="1DBC925E"/>
    <w:rsid w:val="3AF1EE06"/>
    <w:rsid w:val="58E598F1"/>
    <w:rsid w:val="5DB2FABA"/>
    <w:rsid w:val="7A16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70A2B330-C9B3-4DC7-BBE2-C717F898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paragraph" w:customStyle="1" w:styleId="paragraph">
    <w:name w:val="paragraph"/>
    <w:basedOn w:val="Normal"/>
    <w:rsid w:val="00B9556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zh-CN" w:bidi="th-TH"/>
      <w14:ligatures w14:val="none"/>
    </w:rPr>
  </w:style>
  <w:style w:type="character" w:customStyle="1" w:styleId="normaltextrun">
    <w:name w:val="normaltextrun"/>
    <w:basedOn w:val="DefaultParagraphFont"/>
    <w:rsid w:val="00B95566"/>
  </w:style>
  <w:style w:type="character" w:customStyle="1" w:styleId="eop">
    <w:name w:val="eop"/>
    <w:basedOn w:val="DefaultParagraphFont"/>
    <w:rsid w:val="00B95566"/>
  </w:style>
  <w:style w:type="paragraph" w:styleId="BodyTextIndent3">
    <w:name w:val="Body Text Indent 3"/>
    <w:basedOn w:val="Normal"/>
    <w:link w:val="BodyTextIndent3Char"/>
    <w:unhideWhenUsed/>
    <w:rsid w:val="00C22EC5"/>
    <w:pPr>
      <w:widowControl w:val="0"/>
      <w:spacing w:after="120"/>
      <w:ind w:left="360"/>
    </w:pPr>
    <w:rPr>
      <w:rFonts w:ascii="Times New Roman" w:eastAsia="Times New Roman" w:hAnsi="Times New Roman" w:cs="Times New Roman"/>
      <w:snapToGrid w:val="0"/>
      <w:kern w:val="0"/>
      <w:sz w:val="16"/>
      <w:szCs w:val="16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C22EC5"/>
    <w:rPr>
      <w:rFonts w:ascii="Times New Roman" w:eastAsia="Times New Roman" w:hAnsi="Times New Roman" w:cs="Times New Roman"/>
      <w:snapToGrid w:val="0"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39"/>
    <w:rsid w:val="00C22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2327"/>
  </w:style>
  <w:style w:type="character" w:styleId="CommentReference">
    <w:name w:val="annotation reference"/>
    <w:basedOn w:val="DefaultParagraphFont"/>
    <w:uiPriority w:val="99"/>
    <w:semiHidden/>
    <w:unhideWhenUsed/>
    <w:rsid w:val="00462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3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3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32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62327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6232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2E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2E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2E2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62D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oe.mass.edu/bese/docs/fy2020/2020-06/item6.docx" TargetMode="External"/><Relationship Id="rId2" Type="http://schemas.openxmlformats.org/officeDocument/2006/relationships/hyperlink" Target="https://www.doe.mass.edu/bese/docs/fy2023/2022-08/spec-item4.docx" TargetMode="External"/><Relationship Id="rId1" Type="http://schemas.openxmlformats.org/officeDocument/2006/relationships/hyperlink" Target="https://www.doe.mass.edu/bese/docs/fy2023/2023-05/item6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  <SharedWithUsers xmlns="7a12eb2f-f040-4639-9fb2-5a6588dc8035">
      <UserInfo>
        <DisplayName>Gaines, Paulajo (DESE)</DisplayName>
        <AccountId>362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671AC4-FEEB-4A09-8C8A-30D0681D1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C64CD0-6E98-4E44-BDA7-DCA2642942A4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4.xml><?xml version="1.0" encoding="utf-8"?>
<ds:datastoreItem xmlns:ds="http://schemas.openxmlformats.org/officeDocument/2006/customXml" ds:itemID="{AD6ADCD2-DD8C-47FA-81DA-CC382BF1D19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March 25, 2025 Regular Meeting Item 11: Charter Schools: Report on Approval of Management Contracts</vt:lpstr>
    </vt:vector>
  </TitlesOfParts>
  <Manager/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March 25, 2025 Regular Meeting Item 11: Charter Schools: Report on Approval of Management Contracts</dc:title>
  <dc:subject/>
  <dc:creator>DESE</dc:creator>
  <cp:keywords/>
  <dc:description/>
  <cp:lastModifiedBy>Zou, Dong (EOE)</cp:lastModifiedBy>
  <cp:revision>4</cp:revision>
  <cp:lastPrinted>2024-03-18T15:40:00Z</cp:lastPrinted>
  <dcterms:created xsi:type="dcterms:W3CDTF">2025-03-18T13:59:00Z</dcterms:created>
  <dcterms:modified xsi:type="dcterms:W3CDTF">2025-03-18T14:35:00Z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18 2025 12:00AM</vt:lpwstr>
  </property>
</Properties>
</file>