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2A9E" w14:textId="2BC9DED7" w:rsidR="0070218E" w:rsidRPr="004617D9" w:rsidRDefault="0046493C" w:rsidP="0070218E">
      <w:pPr>
        <w:jc w:val="center"/>
        <w:rPr>
          <w:rFonts w:cstheme="minorHAnsi"/>
          <w:b/>
          <w:bCs/>
          <w:color w:val="333333"/>
          <w:szCs w:val="24"/>
          <w:shd w:val="clear" w:color="auto" w:fill="FFFFFF"/>
        </w:rPr>
      </w:pPr>
      <w:r w:rsidRPr="0046493C">
        <w:rPr>
          <w:b/>
          <w:bCs/>
          <w:color w:val="333333"/>
          <w:shd w:val="clear" w:color="auto" w:fill="FFFFFF"/>
        </w:rPr>
        <w:t>Regulamentos sobre Licenciamento de Educadores e Aprovação de Programas de Preparação</w:t>
      </w:r>
    </w:p>
    <w:p w14:paraId="727D4EA2" w14:textId="043C0E4D" w:rsidR="0070218E" w:rsidRPr="004617D9" w:rsidRDefault="0070218E" w:rsidP="009958B6">
      <w:pPr>
        <w:jc w:val="center"/>
        <w:rPr>
          <w:rFonts w:cstheme="minorHAnsi"/>
          <w:b/>
          <w:bCs/>
          <w:szCs w:val="24"/>
        </w:rPr>
      </w:pPr>
      <w:r>
        <w:rPr>
          <w:b/>
        </w:rPr>
        <w:t xml:space="preserve"> 603 CMR 7.00</w:t>
      </w:r>
    </w:p>
    <w:p w14:paraId="665AE11B" w14:textId="44C8D3D1" w:rsidR="003E3C41" w:rsidRPr="004617D9" w:rsidRDefault="003E3C41" w:rsidP="003E3C41">
      <w:pPr>
        <w:rPr>
          <w:szCs w:val="24"/>
        </w:rPr>
      </w:pPr>
      <w:r>
        <w:t xml:space="preserve">O presente documento mostra as emendas propostas a 603 CMR 7.00 por meio de texto </w:t>
      </w:r>
      <w:r>
        <w:rPr>
          <w:strike/>
        </w:rPr>
        <w:t>riscado</w:t>
      </w:r>
      <w:r>
        <w:t xml:space="preserve"> (excluído) e texto </w:t>
      </w:r>
      <w:r>
        <w:rPr>
          <w:u w:val="single"/>
        </w:rPr>
        <w:t>sublinhado</w:t>
      </w:r>
      <w:r>
        <w:t xml:space="preserve"> (novo).</w:t>
      </w:r>
    </w:p>
    <w:p w14:paraId="2F327386" w14:textId="2F32333F" w:rsidR="009958B6" w:rsidRPr="004617D9" w:rsidRDefault="0070218E" w:rsidP="007E01A7">
      <w:pPr>
        <w:tabs>
          <w:tab w:val="num" w:pos="720"/>
        </w:tabs>
        <w:rPr>
          <w:szCs w:val="24"/>
        </w:rPr>
      </w:pPr>
      <w:r>
        <w:t xml:space="preserve">As emendas propostas tornariam </w:t>
      </w:r>
      <w:bookmarkStart w:id="0" w:name="_Hlk69473702"/>
      <w:r>
        <w:t>permanentes as opções de testes alternativos, criariam flexibilidade para a obtenção de uma Licença Inicial, possibilitando que os candidatos atendam a um requisito por meio da autorização de Imersão Protegida em Inglês (</w:t>
      </w:r>
      <w:proofErr w:type="spellStart"/>
      <w:r>
        <w:t>Sheltered</w:t>
      </w:r>
      <w:proofErr w:type="spellEnd"/>
      <w:r>
        <w:t xml:space="preserve"> </w:t>
      </w:r>
      <w:proofErr w:type="spellStart"/>
      <w:r>
        <w:t>English</w:t>
      </w:r>
      <w:proofErr w:type="spellEnd"/>
      <w:r>
        <w:t xml:space="preserve"> </w:t>
      </w:r>
      <w:proofErr w:type="spellStart"/>
      <w:r>
        <w:t>Immersion</w:t>
      </w:r>
      <w:proofErr w:type="spellEnd"/>
      <w:r>
        <w:t xml:space="preserve"> - SEI) ou da autorização de Educação Bilíngue, mudariam o nome e os níveis da licença de Ciências da Saúde/Família e do Consumidor para estarem em conformidade com as Estruturas Curriculares atualizadas de Saúde Integral e Educação Física, criariam uma nova autorização de Artes de Mídia, esclareceriam a data de validade mais recente para prorrogações de licenças de Emergência, ampliariam os cursos aceitáveis para os candidatos avançarem para uma licença Profissional e simplificariam e atualizariam outras referências nos regulamentos.</w:t>
      </w:r>
    </w:p>
    <w:bookmarkEnd w:id="0"/>
    <w:p w14:paraId="16CBCE7A" w14:textId="77777777" w:rsidR="0070218E" w:rsidRPr="004617D9" w:rsidRDefault="0070218E" w:rsidP="0070218E">
      <w:pPr>
        <w:rPr>
          <w:color w:val="000000" w:themeColor="text1"/>
        </w:rPr>
      </w:pPr>
      <w:r>
        <w:rPr>
          <w:color w:val="000000" w:themeColor="text1"/>
        </w:rPr>
        <w:t xml:space="preserve">Os regulamentos completos estão disponíveis em: </w:t>
      </w:r>
      <w:hyperlink r:id="rId11" w:history="1">
        <w:r>
          <w:rPr>
            <w:rStyle w:val="Hyperlink"/>
          </w:rPr>
          <w:t>https://www.doe.mass.edu/lawsregs/603cmr7.html</w:t>
        </w:r>
      </w:hyperlink>
    </w:p>
    <w:p w14:paraId="23BCDD43" w14:textId="77777777" w:rsidR="0070218E" w:rsidRPr="004617D9" w:rsidRDefault="0070218E" w:rsidP="0070218E"/>
    <w:p w14:paraId="1F811CFF" w14:textId="23567835" w:rsidR="0070218E" w:rsidRPr="004617D9" w:rsidRDefault="0070218E" w:rsidP="0070218E">
      <w:pPr>
        <w:rPr>
          <w:b/>
          <w:bCs/>
          <w:szCs w:val="24"/>
        </w:rPr>
      </w:pPr>
      <w:r>
        <w:rPr>
          <w:b/>
        </w:rPr>
        <w:t xml:space="preserve">Apresentado ao Conselho de Educação Fundamental e Secundária para ação inicial: </w:t>
      </w:r>
      <w:r w:rsidR="00771D88" w:rsidRPr="00771D88">
        <w:rPr>
          <w:b/>
        </w:rPr>
        <w:t>25 de fevereiro de 2025</w:t>
      </w:r>
    </w:p>
    <w:p w14:paraId="37422B51" w14:textId="61971714" w:rsidR="0070218E" w:rsidRPr="004617D9" w:rsidRDefault="0070218E" w:rsidP="0070218E">
      <w:pPr>
        <w:rPr>
          <w:b/>
          <w:bCs/>
        </w:rPr>
      </w:pPr>
      <w:r>
        <w:rPr>
          <w:b/>
        </w:rPr>
        <w:t>Período de consulta pública: até 4 de abril</w:t>
      </w:r>
      <w:r w:rsidR="00680873">
        <w:rPr>
          <w:b/>
        </w:rPr>
        <w:t xml:space="preserve"> de</w:t>
      </w:r>
      <w:r>
        <w:rPr>
          <w:b/>
        </w:rPr>
        <w:t xml:space="preserve"> 2025</w:t>
      </w:r>
    </w:p>
    <w:p w14:paraId="0084A39D" w14:textId="10A033AD" w:rsidR="0070218E" w:rsidRPr="004617D9" w:rsidRDefault="0070218E" w:rsidP="0070218E">
      <w:pPr>
        <w:rPr>
          <w:b/>
          <w:bCs/>
        </w:rPr>
      </w:pPr>
      <w:r>
        <w:rPr>
          <w:b/>
        </w:rPr>
        <w:t>Previsão da ação final do Conselho de Educação Fundamental e Secundária: 20 de maio de 2025</w:t>
      </w:r>
    </w:p>
    <w:p w14:paraId="2C0FAA5E" w14:textId="77777777" w:rsidR="009D52C1" w:rsidRPr="004617D9" w:rsidRDefault="009D52C1" w:rsidP="009D52C1">
      <w:pPr>
        <w:spacing w:after="0" w:line="240" w:lineRule="auto"/>
        <w:rPr>
          <w:rFonts w:eastAsia="Times New Roman" w:cs="Times New Roman"/>
          <w:kern w:val="0"/>
          <w:sz w:val="24"/>
          <w:szCs w:val="24"/>
          <w14:ligatures w14:val="none"/>
        </w:rPr>
      </w:pPr>
      <w:r>
        <w:rPr>
          <w:color w:val="212529"/>
          <w:sz w:val="24"/>
        </w:rPr>
        <w:br/>
      </w:r>
    </w:p>
    <w:p w14:paraId="72D3C21D" w14:textId="77777777" w:rsidR="009D52C1" w:rsidRPr="004617D9" w:rsidRDefault="00000000" w:rsidP="009D52C1">
      <w:pPr>
        <w:spacing w:after="0" w:line="240" w:lineRule="auto"/>
        <w:rPr>
          <w:rFonts w:eastAsia="Times New Roman" w:cs="Segoe UI"/>
          <w:kern w:val="0"/>
          <w:sz w:val="24"/>
          <w:szCs w:val="24"/>
          <w14:ligatures w14:val="none"/>
        </w:rPr>
      </w:pPr>
      <w:r>
        <w:rPr>
          <w:color w:val="2B579A"/>
          <w:sz w:val="24"/>
          <w:shd w:val="clear" w:color="auto" w:fill="E6E6E6"/>
        </w:rPr>
        <w:pict w14:anchorId="7472DB8C">
          <v:rect id="_x0000_i1025" style="width:0;height:0" o:hrstd="t" o:hrnoshade="t" o:hr="t" fillcolor="#212529" stroked="f"/>
        </w:pict>
      </w:r>
    </w:p>
    <w:p w14:paraId="6BDFC7C6" w14:textId="6F2F1E0C" w:rsidR="6C2126FF" w:rsidRPr="004617D9" w:rsidRDefault="6C2126FF" w:rsidP="6C2126FF">
      <w:pPr>
        <w:shd w:val="clear" w:color="auto" w:fill="FFFFFF" w:themeFill="background1"/>
        <w:spacing w:beforeAutospacing="1" w:afterAutospacing="1" w:line="240" w:lineRule="auto"/>
        <w:outlineLvl w:val="2"/>
        <w:rPr>
          <w:rFonts w:eastAsia="Times New Roman" w:cs="Segoe UI"/>
          <w:color w:val="444444"/>
          <w:sz w:val="27"/>
          <w:szCs w:val="27"/>
        </w:rPr>
      </w:pPr>
    </w:p>
    <w:p w14:paraId="5BA10E8F"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7.02: Definições</w:t>
      </w:r>
    </w:p>
    <w:p w14:paraId="4CB868A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Conforme utilizado em 603 CMR 7.00(11), os seguintes termos terão os seguintes significados:</w:t>
      </w:r>
    </w:p>
    <w:p w14:paraId="69A3E185" w14:textId="23EF7714" w:rsidR="008E630C" w:rsidRPr="004617D9" w:rsidRDefault="008E630C"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w:t>
      </w:r>
    </w:p>
    <w:p w14:paraId="27C4D36E" w14:textId="5D136629" w:rsidR="5A1280B5" w:rsidRPr="004617D9" w:rsidRDefault="021EFA7F" w:rsidP="28BF4D3B">
      <w:pPr>
        <w:shd w:val="clear" w:color="auto" w:fill="FFFFFF" w:themeFill="background1"/>
        <w:spacing w:afterAutospacing="1" w:line="240" w:lineRule="auto"/>
        <w:rPr>
          <w:rFonts w:eastAsia="Times New Roman" w:cs="Segoe UI"/>
          <w:color w:val="212529"/>
          <w:sz w:val="24"/>
          <w:szCs w:val="24"/>
          <w:u w:val="single"/>
        </w:rPr>
      </w:pPr>
      <w:r>
        <w:rPr>
          <w:b/>
          <w:color w:val="212529"/>
          <w:sz w:val="24"/>
          <w:u w:val="single"/>
        </w:rPr>
        <w:t>Avaliação alternativa:</w:t>
      </w:r>
      <w:r>
        <w:rPr>
          <w:color w:val="212529"/>
          <w:sz w:val="24"/>
          <w:u w:val="single"/>
        </w:rPr>
        <w:t xml:space="preserve"> Uma avaliação alternativa para as habilidades de comunicação e alfabetização e para o conhecimento das disciplinas dos MTEL, que tenha sido aprovada pelo Comissário com base nas Diretrizes emitidas pelo Departamento. Uma avaliação alternativa aprovada pode ser usada por um candidato à licença de educador para atender aos requisitos de licença.</w:t>
      </w:r>
    </w:p>
    <w:p w14:paraId="3C6D1FF0" w14:textId="77777777" w:rsidR="00637E54" w:rsidRPr="004617D9" w:rsidRDefault="00637E54"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lastRenderedPageBreak/>
        <w:t>…</w:t>
      </w:r>
    </w:p>
    <w:p w14:paraId="18C74E5A" w14:textId="0AF38CCC" w:rsidR="009D52C1" w:rsidRPr="004617D9" w:rsidRDefault="009D52C1" w:rsidP="009D52C1">
      <w:pPr>
        <w:shd w:val="clear" w:color="auto" w:fill="FFFFFF"/>
        <w:spacing w:after="100" w:afterAutospacing="1" w:line="240" w:lineRule="auto"/>
        <w:rPr>
          <w:rFonts w:eastAsia="Times New Roman" w:cs="Segoe UI"/>
          <w:strike/>
          <w:color w:val="212529"/>
          <w:kern w:val="0"/>
          <w:sz w:val="24"/>
          <w:szCs w:val="24"/>
          <w14:ligatures w14:val="none"/>
        </w:rPr>
      </w:pPr>
      <w:r>
        <w:rPr>
          <w:b/>
          <w:strike/>
          <w:color w:val="212529"/>
          <w:sz w:val="24"/>
        </w:rPr>
        <w:t>Programa de Avaliação de Desempenho:</w:t>
      </w:r>
      <w:r>
        <w:rPr>
          <w:strike/>
          <w:color w:val="212529"/>
          <w:sz w:val="24"/>
        </w:rPr>
        <w:t> Um Programa de Avaliação de Desempenho patrocinado pelo Departamento para a licença Profissional que inclui uma série de seminários e uma avaliação de desempenho.</w:t>
      </w:r>
    </w:p>
    <w:p w14:paraId="79128D6B" w14:textId="67C35213" w:rsidR="00904D14" w:rsidRPr="004617D9" w:rsidRDefault="00904D14" w:rsidP="28BF4D3B">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w:t>
      </w:r>
    </w:p>
    <w:p w14:paraId="43CCAFC9" w14:textId="0B9C8E9D" w:rsidR="009D52C1" w:rsidRPr="004617D9" w:rsidRDefault="009D52C1" w:rsidP="28BF4D3B">
      <w:pPr>
        <w:shd w:val="clear" w:color="auto" w:fill="FFFFFF" w:themeFill="background1"/>
        <w:spacing w:after="100" w:afterAutospacing="1" w:line="240" w:lineRule="auto"/>
        <w:rPr>
          <w:rFonts w:eastAsia="Times New Roman" w:cs="Segoe UI"/>
          <w:strike/>
          <w:color w:val="212529"/>
          <w:sz w:val="24"/>
          <w:szCs w:val="24"/>
        </w:rPr>
      </w:pPr>
      <w:r>
        <w:rPr>
          <w:b/>
          <w:color w:val="212529"/>
          <w:sz w:val="24"/>
        </w:rPr>
        <w:t>Professor substituto temporário:</w:t>
      </w:r>
      <w:r>
        <w:rPr>
          <w:color w:val="212529"/>
          <w:sz w:val="24"/>
        </w:rPr>
        <w:t xml:space="preserve"> Um educador empregado temporariamente por menos de 90 dias letivos consecutivos na mesma função, para substituir um educador regularmente empregado que esteja ausente. Qualquer educador empregado temporariamente por mais de 90 dias letivos consecutivos na mesma função deve ser licenciado para a função ou estar trabalhando </w:t>
      </w:r>
      <w:r w:rsidR="000F7EC4">
        <w:rPr>
          <w:color w:val="212529"/>
          <w:sz w:val="24"/>
        </w:rPr>
        <w:t>com</w:t>
      </w:r>
      <w:r>
        <w:rPr>
          <w:color w:val="212529"/>
          <w:sz w:val="24"/>
        </w:rPr>
        <w:t xml:space="preserve"> uma isenção por dificuldades. </w:t>
      </w:r>
      <w:r>
        <w:rPr>
          <w:strike/>
          <w:color w:val="212529"/>
          <w:sz w:val="24"/>
        </w:rPr>
        <w:t>Além disso, como resultado do surto do novo coronavírus de 2019, também conhecido como COVID-19, durante os anos letivos de 2020-2021, 2021-2022 e 2022-2023, um educador com diploma de bacharel pode ser empregado como professor substituto temporário por até um ano letivo completo na mesma função, exceto em uma função que exija qualquer uma das seguintes licenças: Professor de Deficiências Moderadas, Professor de Deficiências Graves, Professor de Surdos e Deficientes Auditivos (ASL/TC), Professor de Surdos e Deficientes Auditivos (Oral/Aural), Professor de Deficientes Visuais, Professor de Distúrbios da Fala, Linguagem e Audição ou Inglês como Segunda Língua, para substituir um educador regularmente empregado que esteja ausente. O serviço de um funcionário como professor substituto temporário não será contado como serviço para a aquisição do status de professor profissional ou outros direitos nos termos da seção 41 do capítulo 71 das Leis Gerais; entretanto, se o funcionário possuir uma licença em outra área ou nível durante o tempo empregado como substituto temporário e obtiver uma licença de emergência, temporária, inicial, provisória ou profissional na área e nível apropriados até 30 de junho de 2023 e continuar a atuar como professor com o mesmo empregador com uma licença por mais dois anos consecutivos, o ano inteiro de serviço como substituto temporário será contado como serviço para o status de professor profissional.</w:t>
      </w:r>
    </w:p>
    <w:p w14:paraId="5EEE69B1" w14:textId="4A5B3549" w:rsidR="00904D14" w:rsidRPr="004617D9" w:rsidRDefault="00904D14" w:rsidP="28BF4D3B">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w:t>
      </w:r>
    </w:p>
    <w:p w14:paraId="3600C1A1"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7.04: Tipos de licenças de educadores, requisitos para licenciamento, licenças emitidas e requisitos para experiência prática</w:t>
      </w:r>
    </w:p>
    <w:p w14:paraId="5611182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(1) </w:t>
      </w:r>
      <w:r>
        <w:rPr>
          <w:b/>
          <w:color w:val="212529"/>
          <w:sz w:val="24"/>
        </w:rPr>
        <w:t>Tipos de licenças</w:t>
      </w:r>
      <w:r>
        <w:rPr>
          <w:color w:val="212529"/>
          <w:sz w:val="24"/>
        </w:rPr>
        <w:t>.</w:t>
      </w:r>
    </w:p>
    <w:p w14:paraId="68D861C3"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(a) Provisória</w:t>
      </w:r>
    </w:p>
    <w:p w14:paraId="502B6EA0"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(b) Inicial</w:t>
      </w:r>
    </w:p>
    <w:p w14:paraId="2D3FC279"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(c) Profissional</w:t>
      </w:r>
    </w:p>
    <w:p w14:paraId="02146757"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lastRenderedPageBreak/>
        <w:t>(d) Temporária</w:t>
      </w:r>
    </w:p>
    <w:p w14:paraId="63CD1DBD"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(e) Cônjuge de militar</w:t>
      </w:r>
    </w:p>
    <w:p w14:paraId="4EFAD126"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(2) </w:t>
      </w:r>
      <w:r>
        <w:rPr>
          <w:b/>
          <w:color w:val="212529"/>
          <w:sz w:val="24"/>
        </w:rPr>
        <w:t>Requisitos para a licença de professor</w:t>
      </w:r>
      <w:r>
        <w:rPr>
          <w:color w:val="212529"/>
          <w:sz w:val="24"/>
        </w:rPr>
        <w:t>.</w:t>
      </w:r>
    </w:p>
    <w:p w14:paraId="07368875"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t>(a) </w:t>
      </w:r>
      <w:r>
        <w:rPr>
          <w:b/>
          <w:color w:val="212529"/>
          <w:sz w:val="24"/>
        </w:rPr>
        <w:t>Provisória</w:t>
      </w:r>
      <w:r>
        <w:rPr>
          <w:color w:val="212529"/>
          <w:sz w:val="24"/>
        </w:rPr>
        <w:t>. Disponível apenas para licenças nos termos de 603 CMR 7.04 (3) (a)</w:t>
      </w:r>
    </w:p>
    <w:p w14:paraId="521DA853"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diploma de bacharel.</w:t>
      </w:r>
    </w:p>
    <w:p w14:paraId="56CF5E5A"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Pontuação de aprovação no teste de Habilidades de Comunicação e Alfabetização.</w:t>
      </w:r>
    </w:p>
    <w:p w14:paraId="6C63999B"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Pontuação de aprovação no(s) teste(s) de conhecimento sobre o tema apropriado(s) para a licença pretendida, com base nos requisitos de conhecimento sobre o tema estabelecidos em 603 CMR 7.06, quando disponível.</w:t>
      </w:r>
    </w:p>
    <w:p w14:paraId="4408B343"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Análise de competência para candidatos que buscam as seguintes licenças:</w:t>
      </w:r>
    </w:p>
    <w:p w14:paraId="1CD1F72B"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Professor de alunos com deficiências moderadas, professor de alunos com deficiências graves, professor de surdos e deficientes auditivos e professor de deficientes visuais.</w:t>
      </w:r>
    </w:p>
    <w:p w14:paraId="3E0400B1"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Áreas para as quais não há disponibilidade de teste de conhecimento sobre o tema.</w:t>
      </w:r>
    </w:p>
    <w:p w14:paraId="3A9B587F"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Requisitos adicionais para as licenças de educação infantil, ensino fundamental, professor de alunos com deficiências moderadas, professor de surdos e deficientes auditivos (Oral/Aural) e professor de deficientes visuais:</w:t>
      </w:r>
    </w:p>
    <w:p w14:paraId="749EE3F0"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Seminários ou cursos sobre, ou conhecimento comprovado de, maneiras de preparar e manter alunos com deficiência em salas de aula gerais; por exemplo, uso de estratégias de aprendizagem e de princípios de gestão comportamental.</w:t>
      </w:r>
    </w:p>
    <w:p w14:paraId="0E9B6C4C"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Pontuação de aprovação no teste Fundamentos da Leitura.</w:t>
      </w:r>
    </w:p>
    <w:p w14:paraId="7B9647B1"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Requisitos adicionais para as licenças de professor de alunos com deficiências graves e professor de surdos e deficientes auditivos (Língua de Sinais Americana/Comunicação Total): Seminários ou cursos sobre, ou conhecimento comprovado de, maneiras de preparar e manter alunos com deficiência em salas de aula gerais; por exemplo, uso de estratégias de aprendizagem e de princípios de gestão comportamental.</w:t>
      </w:r>
    </w:p>
    <w:p w14:paraId="4BCE27EA" w14:textId="732CA90E"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 xml:space="preserve">Comprovação de caráter moral </w:t>
      </w:r>
      <w:r w:rsidR="0067110C" w:rsidRPr="0067110C">
        <w:rPr>
          <w:color w:val="212529"/>
          <w:sz w:val="24"/>
        </w:rPr>
        <w:t>íntegro</w:t>
      </w:r>
      <w:r>
        <w:rPr>
          <w:color w:val="212529"/>
          <w:sz w:val="24"/>
        </w:rPr>
        <w:t>.</w:t>
      </w:r>
    </w:p>
    <w:p w14:paraId="3EDE2BF3"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t>(b) </w:t>
      </w:r>
      <w:r>
        <w:rPr>
          <w:b/>
          <w:color w:val="212529"/>
          <w:sz w:val="24"/>
        </w:rPr>
        <w:t>Inicial</w:t>
      </w:r>
    </w:p>
    <w:p w14:paraId="6C48F15A"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diploma de bacharel.</w:t>
      </w:r>
    </w:p>
    <w:p w14:paraId="455FEF00"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Pontuação de aprovação no teste de Habilidades de Comunicação e Alfabetização.</w:t>
      </w:r>
    </w:p>
    <w:p w14:paraId="0C609CA8"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lastRenderedPageBreak/>
        <w:t>Pontuação de aprovação no(s) teste(s) de conhecimento sobre o tema apropriado(s) para a licença pretendida, com base nos requisitos de conhecimento sobre o tema estabelecidos nas Diretrizes de Conhecimento sobre o Tema. Quando não houver nenhum teste definido, a conclusão de um programa aprovado atenderá a esse requisito.</w:t>
      </w:r>
    </w:p>
    <w:p w14:paraId="7166A1B6"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Conclusão de uma via aprovada para a licença inicial pretendida, conforme estabelecido em 603 CMR 7.05.</w:t>
      </w:r>
    </w:p>
    <w:p w14:paraId="0956A44E" w14:textId="099AD7F0"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u w:val="single"/>
          <w14:ligatures w14:val="none"/>
        </w:rPr>
      </w:pPr>
      <w:r>
        <w:rPr>
          <w:color w:val="212529"/>
          <w:sz w:val="24"/>
        </w:rPr>
        <w:t xml:space="preserve">No caso de professores das principais disciplinas acadêmicas, possuir uma Autorização de Professor de SEI ou Autorização de Educação Bilíngue. </w:t>
      </w:r>
    </w:p>
    <w:p w14:paraId="37791365" w14:textId="5B780D1C"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 xml:space="preserve">Comprovação de caráter moral </w:t>
      </w:r>
      <w:r w:rsidR="0067110C" w:rsidRPr="0067110C">
        <w:rPr>
          <w:color w:val="212529"/>
          <w:sz w:val="24"/>
        </w:rPr>
        <w:t>íntegro</w:t>
      </w:r>
      <w:r>
        <w:rPr>
          <w:color w:val="212529"/>
          <w:sz w:val="24"/>
        </w:rPr>
        <w:t>.</w:t>
      </w:r>
    </w:p>
    <w:p w14:paraId="3AE9D226"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t>(c) </w:t>
      </w:r>
      <w:r>
        <w:rPr>
          <w:b/>
          <w:color w:val="212529"/>
          <w:sz w:val="24"/>
        </w:rPr>
        <w:t>Profissional</w:t>
      </w:r>
    </w:p>
    <w:p w14:paraId="372FC815"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uma licença inicial na mesma área da licença profissional pretendida.</w:t>
      </w:r>
    </w:p>
    <w:p w14:paraId="3F1BA406"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Conclusão de um programa de admissão de um ano com um orientador e pelo menos 50 horas de experiência com orientação após o ano de admissão.</w:t>
      </w:r>
    </w:p>
    <w:p w14:paraId="22703E37"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Pelo menos três anos completos de emprego com a licença inicial.</w:t>
      </w:r>
    </w:p>
    <w:p w14:paraId="470F9B1F"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Conclusão de um dos itens a seguir:</w:t>
      </w:r>
    </w:p>
    <w:p w14:paraId="3CBED79E" w14:textId="77777777" w:rsidR="009D52C1" w:rsidRPr="004617D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Um programa de licenciamento aprovado para a licença Profissional pretendida, conforme estabelecido nas Diretrizes para Aprovação de Programas.</w:t>
      </w:r>
    </w:p>
    <w:p w14:paraId="00629CB2" w14:textId="77777777" w:rsidR="009D52C1" w:rsidRPr="004617D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Um programa destinado à elegibilidade para o status de professor mestre, como os patrocinados pelo Conselho Nacional de Padrões de Ensino Profissional e outros aceitos pelo Comissário.</w:t>
      </w:r>
    </w:p>
    <w:p w14:paraId="62221966" w14:textId="4A08B96C" w:rsidR="009D52C1" w:rsidRPr="004617D9" w:rsidRDefault="009D52C1" w:rsidP="00F7163D">
      <w:pPr>
        <w:numPr>
          <w:ilvl w:val="2"/>
          <w:numId w:val="10"/>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 xml:space="preserve">No caso de pessoas que tenham concluído um mestrado ou curso superior ou outro programa de pós-graduação avançado em uma faculdade ou universidade credenciada, pelo menos 12 créditos de cursos de nível de pós-graduação, cada um deles incluindo conhecimento sobre o tema, </w:t>
      </w:r>
      <w:r>
        <w:rPr>
          <w:strike/>
          <w:color w:val="212529"/>
          <w:sz w:val="24"/>
        </w:rPr>
        <w:t>ou</w:t>
      </w:r>
      <w:r>
        <w:rPr>
          <w:color w:val="212529"/>
          <w:sz w:val="24"/>
        </w:rPr>
        <w:t xml:space="preserve"> pedagogia baseada no conhecimento sobre o tema da licença Profissional pretendida, </w:t>
      </w:r>
      <w:r>
        <w:rPr>
          <w:color w:val="212529"/>
          <w:sz w:val="24"/>
          <w:u w:val="single"/>
        </w:rPr>
        <w:t>ou os Padrões Profissionais para Professores descritos nas Diretrizes para os Padrões Profissionais para Professores.  Pelo menos seis dos 12 créditos de disciplinas de nível de pós-graduação devem abordar o conhecimento sobre o tema da licença pretendida e</w:t>
      </w:r>
      <w:r>
        <w:rPr>
          <w:color w:val="212529"/>
          <w:sz w:val="24"/>
        </w:rPr>
        <w:t xml:space="preserve"> podem incluir créditos obtidos antes da solicitação da licença.</w:t>
      </w:r>
    </w:p>
    <w:p w14:paraId="51355BDC"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Requisito adicional para a licença de professor de surdos e deficientes auditivos (Língua de Sinais Americana/Comunicação Total): Pontuação de aprovação em um teste de proficiência em língua de sinais aprovado pelo Departamento.</w:t>
      </w:r>
    </w:p>
    <w:p w14:paraId="0711EE2D" w14:textId="77777777" w:rsidR="009D52C1" w:rsidRPr="004617D9" w:rsidRDefault="009D52C1" w:rsidP="009D52C1">
      <w:pPr>
        <w:shd w:val="clear" w:color="auto" w:fill="FFFFFF"/>
        <w:spacing w:beforeAutospacing="1" w:after="0" w:afterAutospacing="1" w:line="240" w:lineRule="auto"/>
        <w:ind w:left="720"/>
        <w:rPr>
          <w:rFonts w:eastAsia="Times New Roman" w:cs="Segoe UI"/>
          <w:color w:val="212529"/>
          <w:kern w:val="0"/>
          <w:sz w:val="24"/>
          <w:szCs w:val="24"/>
          <w14:ligatures w14:val="none"/>
        </w:rPr>
      </w:pPr>
    </w:p>
    <w:p w14:paraId="55EAF35D"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lastRenderedPageBreak/>
        <w:t>(d) </w:t>
      </w:r>
      <w:r>
        <w:rPr>
          <w:b/>
          <w:color w:val="212529"/>
          <w:sz w:val="24"/>
        </w:rPr>
        <w:t>Temporária</w:t>
      </w:r>
    </w:p>
    <w:p w14:paraId="31870769"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diploma de bacharel.</w:t>
      </w:r>
    </w:p>
    <w:p w14:paraId="24340BB5"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uma licença ou certificado de educador válido de outro estado ou jurisdição.</w:t>
      </w:r>
    </w:p>
    <w:p w14:paraId="7BB1D9F2"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Pelo menos três anos de emprego com a licença ou certificado válido.</w:t>
      </w:r>
    </w:p>
    <w:p w14:paraId="710305C8"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Não ter sido reprovado em nenhuma parte dos testes de licenciamento aplicáveis exigidos nos termos de 603 CMR 7.04 (2) (a) 2. e 3.</w:t>
      </w:r>
    </w:p>
    <w:p w14:paraId="0B3C9396" w14:textId="1052E791"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 xml:space="preserve">Comprovação de caráter moral </w:t>
      </w:r>
      <w:r w:rsidR="0067110C" w:rsidRPr="0067110C">
        <w:rPr>
          <w:color w:val="212529"/>
          <w:sz w:val="24"/>
        </w:rPr>
        <w:t>íntegro</w:t>
      </w:r>
      <w:r>
        <w:rPr>
          <w:color w:val="212529"/>
          <w:sz w:val="24"/>
        </w:rPr>
        <w:t>.</w:t>
      </w:r>
    </w:p>
    <w:p w14:paraId="2DF69EA3"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t>(e) </w:t>
      </w:r>
      <w:r>
        <w:rPr>
          <w:b/>
          <w:color w:val="212529"/>
          <w:sz w:val="24"/>
        </w:rPr>
        <w:t>Cônjuge militar</w:t>
      </w:r>
    </w:p>
    <w:p w14:paraId="69308F15"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diploma de bacharel.</w:t>
      </w:r>
    </w:p>
    <w:p w14:paraId="06EDF77E"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Cônjuge militar, conforme definido em 603 CMR 7.02</w:t>
      </w:r>
    </w:p>
    <w:p w14:paraId="723C4E99"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uma licença/certificado de educador válido emitido por um estado.</w:t>
      </w:r>
    </w:p>
    <w:p w14:paraId="0EA03BC5" w14:textId="77777777" w:rsidR="009D52C1" w:rsidRPr="004617D9" w:rsidRDefault="009D52C1" w:rsidP="00F7163D">
      <w:pPr>
        <w:numPr>
          <w:ilvl w:val="1"/>
          <w:numId w:val="12"/>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Requisitos de teste para a licença pretendida ainda não atendidos.</w:t>
      </w:r>
    </w:p>
    <w:p w14:paraId="0C3DE865" w14:textId="4781CDDC"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 xml:space="preserve">Comprovação de caráter moral </w:t>
      </w:r>
      <w:r w:rsidR="0067110C" w:rsidRPr="0067110C">
        <w:rPr>
          <w:color w:val="212529"/>
          <w:sz w:val="24"/>
        </w:rPr>
        <w:t>íntegro</w:t>
      </w:r>
      <w:r>
        <w:rPr>
          <w:color w:val="212529"/>
          <w:sz w:val="24"/>
        </w:rPr>
        <w:t>.</w:t>
      </w:r>
    </w:p>
    <w:p w14:paraId="3E0910D5" w14:textId="356FDED4" w:rsidR="009D52C1" w:rsidRPr="004617D9" w:rsidRDefault="075AF496" w:rsidP="667878A7">
      <w:pPr>
        <w:shd w:val="clear" w:color="auto" w:fill="FFFFFF" w:themeFill="background1"/>
        <w:spacing w:after="100" w:afterAutospacing="1" w:line="240" w:lineRule="auto"/>
        <w:ind w:left="720"/>
        <w:rPr>
          <w:rFonts w:eastAsia="Times New Roman" w:cs="Segoe UI"/>
          <w:strike/>
          <w:color w:val="212529"/>
          <w:sz w:val="24"/>
          <w:szCs w:val="24"/>
        </w:rPr>
      </w:pPr>
      <w:r>
        <w:rPr>
          <w:color w:val="212529"/>
          <w:sz w:val="24"/>
        </w:rPr>
        <w:t>(f) </w:t>
      </w:r>
      <w:r>
        <w:rPr>
          <w:b/>
          <w:color w:val="212529"/>
          <w:sz w:val="24"/>
          <w:u w:val="single"/>
        </w:rPr>
        <w:t xml:space="preserve"> </w:t>
      </w:r>
      <w:r>
        <w:rPr>
          <w:b/>
          <w:strike/>
          <w:color w:val="212529"/>
          <w:sz w:val="24"/>
        </w:rPr>
        <w:t>Piloto</w:t>
      </w:r>
      <w:r>
        <w:rPr>
          <w:color w:val="212529"/>
          <w:sz w:val="24"/>
        </w:rPr>
        <w:t xml:space="preserve"> </w:t>
      </w:r>
      <w:r>
        <w:rPr>
          <w:b/>
          <w:bCs/>
          <w:color w:val="212529"/>
          <w:sz w:val="24"/>
          <w:u w:val="single"/>
        </w:rPr>
        <w:t>Opções</w:t>
      </w:r>
      <w:r>
        <w:rPr>
          <w:color w:val="212529"/>
          <w:sz w:val="24"/>
        </w:rPr>
        <w:t xml:space="preserve"> </w:t>
      </w:r>
      <w:r>
        <w:rPr>
          <w:b/>
          <w:bCs/>
          <w:color w:val="212529"/>
          <w:sz w:val="24"/>
        </w:rPr>
        <w:t>de</w:t>
      </w:r>
      <w:r>
        <w:rPr>
          <w:color w:val="212529"/>
          <w:sz w:val="24"/>
        </w:rPr>
        <w:t xml:space="preserve"> </w:t>
      </w:r>
      <w:r>
        <w:rPr>
          <w:b/>
          <w:color w:val="212529"/>
          <w:sz w:val="24"/>
        </w:rPr>
        <w:t>avaliações alternativa</w:t>
      </w:r>
      <w:r>
        <w:rPr>
          <w:b/>
          <w:bCs/>
          <w:color w:val="212529"/>
          <w:sz w:val="24"/>
        </w:rPr>
        <w:t>s</w:t>
      </w:r>
      <w:r>
        <w:rPr>
          <w:color w:val="212529"/>
          <w:sz w:val="24"/>
        </w:rPr>
        <w:br/>
      </w:r>
      <w:r>
        <w:rPr>
          <w:strike/>
          <w:color w:val="212529"/>
          <w:sz w:val="24"/>
        </w:rPr>
        <w:t>O Departamento poderá realizar um piloto de avaliações alternativas identificadas ou desenvolvidas para atender aos requisitos de 603 CMR 7.04 (2) (a) (2) e (3), e 603 CMR 7.04 (2) (b) (2) e (3), e 603 CMR 1.06 (4) (a). Qualquer avaliação alternativa identificada ou desenvolvida para essa finalidade será determinada pelo Comissário como sendo comparável ao teste de Habilidades de Comunicação e Alfabetização dos MTEL ou ao teste de conhecimento sobre o tema. O período do piloto de avaliação alternativa continuará até 30 de junho de 2025</w:t>
      </w:r>
      <w:r>
        <w:rPr>
          <w:color w:val="212529"/>
          <w:sz w:val="24"/>
        </w:rPr>
        <w:t>.</w:t>
      </w:r>
      <w:r>
        <w:rPr>
          <w:color w:val="212529"/>
          <w:sz w:val="24"/>
          <w:u w:val="single"/>
        </w:rPr>
        <w:t>Qualquer candidato aprovado em uma avaliação alternativa aprovada pelo Comissário como comparável ao teste de Habilidades de Comunicação e Alfabetização dos MTEL ou a um teste de conhecimento sobre o tema será considerado como tendo atendido aos requisitos de 603 CMR 7.04 (2) (a) (2), ou (a) (3), ou 603 CMR 7.04 (2) (b) (2) ou (b) (3), ou 603 CMR 1.06 (4) (a), conforme aplicável.</w:t>
      </w:r>
      <w:r>
        <w:rPr>
          <w:color w:val="212529"/>
          <w:sz w:val="24"/>
        </w:rPr>
        <w:t xml:space="preserve"> </w:t>
      </w:r>
      <w:r>
        <w:rPr>
          <w:strike/>
          <w:color w:val="212529"/>
          <w:sz w:val="24"/>
        </w:rPr>
        <w:t>Durante o período do piloto de avaliação alternativa, o</w:t>
      </w:r>
      <w:r>
        <w:rPr>
          <w:color w:val="212529"/>
          <w:sz w:val="24"/>
        </w:rPr>
        <w:t xml:space="preserve"> </w:t>
      </w:r>
      <w:proofErr w:type="spellStart"/>
      <w:r>
        <w:rPr>
          <w:color w:val="212529"/>
          <w:sz w:val="24"/>
          <w:u w:val="single"/>
        </w:rPr>
        <w:t>O</w:t>
      </w:r>
      <w:proofErr w:type="spellEnd"/>
      <w:r>
        <w:rPr>
          <w:color w:val="212529"/>
          <w:sz w:val="24"/>
        </w:rPr>
        <w:t xml:space="preserve"> Comissário informará </w:t>
      </w:r>
      <w:r>
        <w:rPr>
          <w:color w:val="212529"/>
          <w:sz w:val="24"/>
          <w:u w:val="single"/>
        </w:rPr>
        <w:t>publicamente</w:t>
      </w:r>
      <w:r>
        <w:rPr>
          <w:color w:val="212529"/>
          <w:sz w:val="24"/>
        </w:rPr>
        <w:t xml:space="preserve"> ao </w:t>
      </w:r>
      <w:r>
        <w:rPr>
          <w:strike/>
          <w:color w:val="212529"/>
          <w:sz w:val="24"/>
        </w:rPr>
        <w:t>Conselho</w:t>
      </w:r>
      <w:r>
        <w:rPr>
          <w:color w:val="212529"/>
          <w:sz w:val="24"/>
        </w:rPr>
        <w:t xml:space="preserve">, pelo menos uma vez por ano, os </w:t>
      </w:r>
      <w:r>
        <w:rPr>
          <w:color w:val="212529"/>
          <w:sz w:val="24"/>
          <w:u w:val="single"/>
        </w:rPr>
        <w:t>dados</w:t>
      </w:r>
      <w:r>
        <w:rPr>
          <w:color w:val="212529"/>
          <w:sz w:val="24"/>
        </w:rPr>
        <w:t xml:space="preserve"> de </w:t>
      </w:r>
      <w:r>
        <w:rPr>
          <w:color w:val="212529"/>
          <w:sz w:val="24"/>
          <w:u w:val="single"/>
        </w:rPr>
        <w:t>todas</w:t>
      </w:r>
      <w:r>
        <w:rPr>
          <w:color w:val="212529"/>
          <w:sz w:val="24"/>
        </w:rPr>
        <w:t xml:space="preserve"> as avaliações alternativas </w:t>
      </w:r>
      <w:r>
        <w:rPr>
          <w:color w:val="212529"/>
          <w:sz w:val="24"/>
          <w:u w:val="single"/>
        </w:rPr>
        <w:t>aprovadas</w:t>
      </w:r>
      <w:r>
        <w:rPr>
          <w:color w:val="212529"/>
          <w:sz w:val="24"/>
        </w:rPr>
        <w:t xml:space="preserve">, incluindo o número de candidatos que fizeram as avaliações alternativas </w:t>
      </w:r>
      <w:r>
        <w:rPr>
          <w:color w:val="212529"/>
          <w:sz w:val="24"/>
          <w:u w:val="single"/>
        </w:rPr>
        <w:t>e as taxas de aprovação nas avaliações</w:t>
      </w:r>
      <w:r>
        <w:rPr>
          <w:color w:val="212529"/>
          <w:sz w:val="24"/>
        </w:rPr>
        <w:t>.</w:t>
      </w:r>
      <w:r>
        <w:rPr>
          <w:color w:val="212529"/>
          <w:sz w:val="24"/>
          <w:u w:val="single"/>
        </w:rPr>
        <w:t xml:space="preserve"> O Departamento emitirá Diretrizes para a aprovação e sustentabilidade de todas as opções alternativas de </w:t>
      </w:r>
      <w:proofErr w:type="gramStart"/>
      <w:r>
        <w:rPr>
          <w:color w:val="212529"/>
          <w:sz w:val="24"/>
          <w:u w:val="single"/>
        </w:rPr>
        <w:t>avaliação.</w:t>
      </w:r>
      <w:r>
        <w:rPr>
          <w:strike/>
          <w:color w:val="212529"/>
          <w:sz w:val="24"/>
          <w:u w:val="single"/>
        </w:rPr>
        <w:t>.</w:t>
      </w:r>
      <w:proofErr w:type="gramEnd"/>
      <w:r>
        <w:rPr>
          <w:strike/>
          <w:color w:val="212529"/>
          <w:sz w:val="24"/>
        </w:rPr>
        <w:t xml:space="preserve"> qualquer informação avaliativa sobre esses candidatos, padrões de emprego e feedback de distritos escolares e programas de preparação de educadores. Antes de fazer qualquer recomendação após a conclusão do piloto, o Comissário deverá realizar ou contratar uma avaliação do piloto de avaliação alternativa.</w:t>
      </w:r>
    </w:p>
    <w:p w14:paraId="489C0840" w14:textId="77777777" w:rsidR="00282081" w:rsidRPr="004617D9" w:rsidRDefault="00282081" w:rsidP="667878A7">
      <w:pPr>
        <w:shd w:val="clear" w:color="auto" w:fill="FFFFFF" w:themeFill="background1"/>
        <w:spacing w:after="100" w:afterAutospacing="1" w:line="240" w:lineRule="auto"/>
        <w:ind w:left="720"/>
        <w:rPr>
          <w:rFonts w:eastAsia="Times New Roman" w:cs="Segoe UI"/>
          <w:strike/>
          <w:color w:val="212529"/>
          <w:kern w:val="0"/>
          <w:sz w:val="24"/>
          <w:szCs w:val="24"/>
          <w14:ligatures w14:val="none"/>
        </w:rPr>
      </w:pPr>
    </w:p>
    <w:p w14:paraId="7CD7804F"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lastRenderedPageBreak/>
        <w:t xml:space="preserve">(3) </w:t>
      </w:r>
      <w:r>
        <w:rPr>
          <w:b/>
          <w:color w:val="212529"/>
          <w:sz w:val="24"/>
        </w:rPr>
        <w:t>Licenças emitidas</w:t>
      </w:r>
      <w:r>
        <w:rPr>
          <w:color w:val="212529"/>
          <w:sz w:val="24"/>
        </w:rPr>
        <w:t>. As licenças a seguir serão emitidas e serão válidas para contratação nas séries indicadas:</w:t>
      </w:r>
    </w:p>
    <w:p w14:paraId="72625B18" w14:textId="77777777" w:rsidR="009D52C1" w:rsidRPr="004617D9" w:rsidRDefault="009D52C1" w:rsidP="000430FF">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t xml:space="preserve">(a) </w:t>
      </w:r>
      <w:r>
        <w:rPr>
          <w:b/>
          <w:bCs/>
          <w:color w:val="212529"/>
          <w:sz w:val="24"/>
        </w:rPr>
        <w:t>Licenças e níveis de professores</w:t>
      </w:r>
    </w:p>
    <w:p w14:paraId="14B32690" w14:textId="542789AD" w:rsidR="009D52C1" w:rsidRPr="004617D9" w:rsidRDefault="1909305B" w:rsidP="00F7163D">
      <w:pPr>
        <w:pStyle w:val="ListParagraph"/>
        <w:numPr>
          <w:ilvl w:val="0"/>
          <w:numId w:val="13"/>
        </w:num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u w:val="single"/>
        </w:rPr>
        <w:t>Saúde Integral</w:t>
      </w:r>
      <w:r>
        <w:rPr>
          <w:strike/>
          <w:color w:val="212529"/>
          <w:sz w:val="24"/>
        </w:rPr>
        <w:t xml:space="preserve">/Ciências da Família e do Consumidor Todos </w:t>
      </w:r>
      <w:proofErr w:type="spellStart"/>
      <w:r>
        <w:rPr>
          <w:color w:val="212529"/>
          <w:sz w:val="24"/>
          <w:u w:val="single"/>
        </w:rPr>
        <w:t>Pré</w:t>
      </w:r>
      <w:proofErr w:type="spellEnd"/>
      <w:r>
        <w:rPr>
          <w:color w:val="212529"/>
          <w:sz w:val="24"/>
          <w:u w:val="single"/>
        </w:rPr>
        <w:t>-K–8ª série; 5ª–12ª</w:t>
      </w:r>
      <w:r w:rsidR="001F6542" w:rsidRPr="001F6542">
        <w:rPr>
          <w:color w:val="212529"/>
          <w:sz w:val="24"/>
          <w:u w:val="single"/>
        </w:rPr>
        <w:t xml:space="preserve"> </w:t>
      </w:r>
      <w:r w:rsidR="001F6542">
        <w:rPr>
          <w:color w:val="212529"/>
          <w:sz w:val="24"/>
          <w:u w:val="single"/>
        </w:rPr>
        <w:t>séries</w:t>
      </w:r>
    </w:p>
    <w:p w14:paraId="582A833C" w14:textId="1F455819" w:rsidR="00ED57A3" w:rsidRPr="004617D9" w:rsidRDefault="00ED57A3" w:rsidP="00ED57A3">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w:t>
      </w:r>
    </w:p>
    <w:p w14:paraId="0DE7B62E" w14:textId="67D368D3" w:rsidR="009D52C1" w:rsidRPr="004617D9" w:rsidRDefault="0028208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 xml:space="preserve"> (5) </w:t>
      </w:r>
      <w:r>
        <w:rPr>
          <w:b/>
          <w:color w:val="212529"/>
          <w:sz w:val="24"/>
        </w:rPr>
        <w:t>Autorizações emitidas</w:t>
      </w:r>
      <w:r>
        <w:rPr>
          <w:color w:val="212529"/>
          <w:sz w:val="24"/>
        </w:rPr>
        <w:t>:</w:t>
      </w:r>
    </w:p>
    <w:p w14:paraId="0D44AEE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 xml:space="preserve">(a) Professor de Imersão Protegida em </w:t>
      </w:r>
      <w:proofErr w:type="gramStart"/>
      <w:r>
        <w:rPr>
          <w:color w:val="212529"/>
          <w:sz w:val="24"/>
        </w:rPr>
        <w:t>Inglês</w:t>
      </w:r>
      <w:proofErr w:type="gramEnd"/>
    </w:p>
    <w:p w14:paraId="1EF74DA8"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 xml:space="preserve">(b) Administrador de Imersão Protegida em </w:t>
      </w:r>
      <w:proofErr w:type="gramStart"/>
      <w:r>
        <w:rPr>
          <w:color w:val="212529"/>
          <w:sz w:val="24"/>
        </w:rPr>
        <w:t>Inglês</w:t>
      </w:r>
      <w:proofErr w:type="gramEnd"/>
    </w:p>
    <w:p w14:paraId="106AE92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(c) Educação Bilíngue</w:t>
      </w:r>
    </w:p>
    <w:p w14:paraId="707FE6DE"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(d) Especialista em Transição</w:t>
      </w:r>
    </w:p>
    <w:p w14:paraId="75C8C117"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(e) Autismo</w:t>
      </w:r>
    </w:p>
    <w:p w14:paraId="31A485A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(f) Academicamente Avançado</w:t>
      </w:r>
    </w:p>
    <w:p w14:paraId="667D054B" w14:textId="477A6459" w:rsidR="00E83846" w:rsidRPr="004617D9" w:rsidRDefault="00E83846"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Pr>
          <w:color w:val="212529"/>
          <w:sz w:val="24"/>
          <w:u w:val="single"/>
        </w:rPr>
        <w:t>(g) Artes de Mídia</w:t>
      </w:r>
    </w:p>
    <w:p w14:paraId="0FA8C3C5"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7.05: Vias para licenças iniciais de professor e professor especialista</w:t>
      </w:r>
    </w:p>
    <w:p w14:paraId="586B1D74"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 xml:space="preserve">(1) </w:t>
      </w:r>
      <w:r>
        <w:rPr>
          <w:b/>
          <w:bCs/>
          <w:color w:val="212529"/>
          <w:sz w:val="24"/>
        </w:rPr>
        <w:t>Via Um</w:t>
      </w:r>
      <w:r>
        <w:rPr>
          <w:color w:val="212529"/>
          <w:sz w:val="24"/>
        </w:rPr>
        <w:t>: destina-se a candidatos a professores que concluem um programa de preparação aprovado em Massachusetts, conforme estabelecido em 7.03. Os candidatos a professores que buscam licenciamento pela Via Um deverão atender aos seguintes requisitos:</w:t>
      </w:r>
    </w:p>
    <w:p w14:paraId="2055D08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(a) Diploma de bacharel.</w:t>
      </w:r>
    </w:p>
    <w:p w14:paraId="172D4EF1"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(b) Conclusão de um programa aprovado, conforme estabelecido em 7.03.</w:t>
      </w:r>
    </w:p>
    <w:p w14:paraId="403A381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(c) Pontuação de aprovação no teste de Habilidades de Comunicação e Alfabetização.</w:t>
      </w:r>
    </w:p>
    <w:p w14:paraId="14876BB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(d) Pontuação de aprovação no(s) teste(s) de conhecimento sobre o tema apropriado(s) para a licença pretendida, com base nos requisitos de conhecimento sobre o tema estabelecidos nas Diretrizes de Conhecimento sobre o Tema.</w:t>
      </w:r>
    </w:p>
    <w:p w14:paraId="2A3CAB71" w14:textId="5301565D"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Pr>
          <w:color w:val="212529"/>
          <w:sz w:val="24"/>
        </w:rPr>
        <w:lastRenderedPageBreak/>
        <w:t xml:space="preserve">(e) No caso de professores das principais disciplinas acadêmicas, possuir uma Autorização de Professor de SEI </w:t>
      </w:r>
      <w:r>
        <w:rPr>
          <w:color w:val="212529"/>
          <w:sz w:val="24"/>
          <w:u w:val="single"/>
        </w:rPr>
        <w:t>ou Autorização de Educação Bilíngue</w:t>
      </w:r>
      <w:r>
        <w:rPr>
          <w:color w:val="212529"/>
          <w:sz w:val="24"/>
        </w:rPr>
        <w:t>.</w:t>
      </w:r>
    </w:p>
    <w:p w14:paraId="7489E4F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 xml:space="preserve">(2) </w:t>
      </w:r>
      <w:r>
        <w:rPr>
          <w:b/>
          <w:bCs/>
          <w:color w:val="212529"/>
          <w:sz w:val="24"/>
        </w:rPr>
        <w:t>Via</w:t>
      </w:r>
      <w:r>
        <w:rPr>
          <w:b/>
          <w:color w:val="212529"/>
          <w:sz w:val="24"/>
        </w:rPr>
        <w:t xml:space="preserve"> Dois:</w:t>
      </w:r>
      <w:r>
        <w:rPr>
          <w:color w:val="212529"/>
          <w:sz w:val="24"/>
        </w:rPr>
        <w:t xml:space="preserve"> trata-se do processo do Programa de Avaliação de Desempenho para Licenciamento Inicial (Performance Review </w:t>
      </w:r>
      <w:proofErr w:type="spellStart"/>
      <w:r>
        <w:rPr>
          <w:color w:val="212529"/>
          <w:sz w:val="24"/>
        </w:rPr>
        <w:t>Program</w:t>
      </w:r>
      <w:proofErr w:type="spellEnd"/>
      <w:r>
        <w:rPr>
          <w:color w:val="212529"/>
          <w:sz w:val="24"/>
        </w:rPr>
        <w:t xml:space="preserve"> for </w:t>
      </w:r>
      <w:proofErr w:type="spellStart"/>
      <w:r>
        <w:rPr>
          <w:color w:val="212529"/>
          <w:sz w:val="24"/>
        </w:rPr>
        <w:t>Initial</w:t>
      </w:r>
      <w:proofErr w:type="spellEnd"/>
      <w:r>
        <w:rPr>
          <w:color w:val="212529"/>
          <w:sz w:val="24"/>
        </w:rPr>
        <w:t xml:space="preserve"> </w:t>
      </w:r>
      <w:proofErr w:type="spellStart"/>
      <w:r>
        <w:rPr>
          <w:color w:val="212529"/>
          <w:sz w:val="24"/>
        </w:rPr>
        <w:t>Licensure</w:t>
      </w:r>
      <w:proofErr w:type="spellEnd"/>
      <w:r>
        <w:rPr>
          <w:color w:val="212529"/>
          <w:sz w:val="24"/>
        </w:rPr>
        <w:t xml:space="preserve"> - PRPIL) para candidatos a professores que possuem uma licença Provisória e são contratados como professores com registro. O processo do PRPIL é feito por meio de um prestador aprovado pelo Departamento. Os candidatos que buscam licenciamento pela Via Dois deverão atender aos seguintes requisitos de elegibilidade:</w:t>
      </w:r>
    </w:p>
    <w:p w14:paraId="6921CC8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(a) Possuir uma licença provisória na área e no nível da licença pretendida. Consulte 603 CMR 7.04 (3) (a).</w:t>
      </w:r>
    </w:p>
    <w:p w14:paraId="50B0D13A"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(b) Pelo menos três anos completos de emprego na função de uma licença Provisória emitida nos termos de 603 CMR 7.04(3)(a).</w:t>
      </w:r>
    </w:p>
    <w:p w14:paraId="2A578B0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(c) Documentação de seminários, cursos e experiência relevantes para os Padrões Profissionais para Professores previstos em 603 7.08 (1) a (3).</w:t>
      </w:r>
    </w:p>
    <w:p w14:paraId="7B7CF656"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(d) Uma recomendação do diretor, superintendente ou superintendente assistente da escola/distrito atual onde o candidato está empregado com a licença provisória na função da licença pretendida.</w:t>
      </w:r>
    </w:p>
    <w:p w14:paraId="040331F0"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(e) Conclusão de um programa de admissão e orientação, conforme estabelecido em 603 CMR 7.12.</w:t>
      </w:r>
    </w:p>
    <w:p w14:paraId="099F7EDC" w14:textId="1889EA71"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Pr>
          <w:color w:val="212529"/>
          <w:sz w:val="24"/>
        </w:rPr>
        <w:t>(f) No caso de professores das principais disciplinas acadêmicas, possuir uma Autorização de Professor de SEI ou Autorização de Educação Bilíngue.</w:t>
      </w:r>
    </w:p>
    <w:p w14:paraId="46D27A04"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(3) </w:t>
      </w:r>
      <w:r>
        <w:rPr>
          <w:b/>
          <w:color w:val="212529"/>
          <w:sz w:val="24"/>
        </w:rPr>
        <w:t>Via Três</w:t>
      </w:r>
      <w:r>
        <w:rPr>
          <w:color w:val="212529"/>
          <w:sz w:val="24"/>
        </w:rPr>
        <w:t>: destina-se a candidatos de fora de Massachusetts. Os candidatos que buscam licenciamento pela Via Três deverão atender aos seguintes requisitos:</w:t>
      </w:r>
    </w:p>
    <w:p w14:paraId="139FB8DB" w14:textId="77777777" w:rsidR="009D52C1" w:rsidRPr="004617D9" w:rsidRDefault="009D52C1" w:rsidP="000430FF">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t>(a) Comprovação de um dos itens a seguir:</w:t>
      </w:r>
    </w:p>
    <w:p w14:paraId="71837562" w14:textId="2D46AF10"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Conclusão de um programa de preparação de educadores aprovado pelo estado em um estado com o qual Massachusetts tenha assinado o Acordo Interestadual</w:t>
      </w:r>
      <w:r w:rsidR="00E830C3">
        <w:rPr>
          <w:color w:val="212529"/>
          <w:sz w:val="24"/>
        </w:rPr>
        <w:t xml:space="preserve"> da</w:t>
      </w:r>
      <w:r>
        <w:rPr>
          <w:color w:val="212529"/>
          <w:sz w:val="24"/>
        </w:rPr>
        <w:t xml:space="preserve"> NASDTEC ou outro acordo aceito pelo Comissário.</w:t>
      </w:r>
    </w:p>
    <w:p w14:paraId="5B3B29E9" w14:textId="77777777"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Conclusão de um programa de preparação de educadores patrocinado por uma faculdade ou universidade fora de Massachusetts que tenha sido credenciada por uma organização nacional aceita pelo Comissário.</w:t>
      </w:r>
    </w:p>
    <w:p w14:paraId="07C3AC7C" w14:textId="6414E49C"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Possuir o equivalente a pelo menos uma licença/certificado inicial emitido por um estado com o qual Massachusetts tenha assinado o Acordo Interestadual</w:t>
      </w:r>
      <w:r w:rsidR="00E830C3">
        <w:rPr>
          <w:color w:val="212529"/>
          <w:sz w:val="24"/>
        </w:rPr>
        <w:t xml:space="preserve"> da</w:t>
      </w:r>
      <w:r>
        <w:rPr>
          <w:color w:val="212529"/>
          <w:sz w:val="24"/>
        </w:rPr>
        <w:t xml:space="preserve"> NASDTEC ou outro acordo aceito pelo Comissário.</w:t>
      </w:r>
    </w:p>
    <w:p w14:paraId="7D19B6DB" w14:textId="3FB9893B"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lastRenderedPageBreak/>
        <w:t>No caso de educadores formados fora dos Estados Unidos, conclusão de um Painel de Revisão em conformidade com as diretrizes do Departamento.</w:t>
      </w:r>
    </w:p>
    <w:p w14:paraId="5E88F33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(b) Pontuação de aprovação no teste de Habilidades de Comunicação e Alfabetização.</w:t>
      </w:r>
    </w:p>
    <w:p w14:paraId="46E717A3"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(c) Pontuação de aprovação no(s) teste(s) de conhecimento sobre o tema apropriado(s) para a licença pretendida, quando disponível, com base nos requisitos de conhecimento sobre o tema estabelecidos nas Diretrizes de Conhecimento sobre o Tema.</w:t>
      </w:r>
    </w:p>
    <w:p w14:paraId="2A82AAD2" w14:textId="1A8B8681"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Pr>
          <w:color w:val="212529"/>
          <w:sz w:val="24"/>
        </w:rPr>
        <w:t xml:space="preserve">(d) No caso de professores das principais disciplinas acadêmicas, possuir uma Autorização de Professor de SEI </w:t>
      </w:r>
      <w:r>
        <w:rPr>
          <w:color w:val="212529"/>
          <w:sz w:val="24"/>
          <w:u w:val="single"/>
        </w:rPr>
        <w:t>ou Autorização de Educação Bilíngue</w:t>
      </w:r>
      <w:r>
        <w:rPr>
          <w:color w:val="212529"/>
          <w:sz w:val="24"/>
        </w:rPr>
        <w:t>.</w:t>
      </w:r>
    </w:p>
    <w:p w14:paraId="12985658" w14:textId="6197D565" w:rsidR="00A97068" w:rsidRPr="004617D9" w:rsidRDefault="00A97068" w:rsidP="00A97068">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w:t>
      </w:r>
    </w:p>
    <w:p w14:paraId="4BA8CDB5"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7.14: Autorizações</w:t>
      </w:r>
    </w:p>
    <w:p w14:paraId="25E879CA"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Salvo indicação em contrário em 603 CMR 7.00 ou 603 CMR 14.00, os regulamentos 603 CMR 7.00 não exigem que uma pessoa busque ou obtenha uma autorização. As autorizações emitidas pelo Departamento nos termos de 603 CMR 7.14 não constituem licenças de educador nos termos de 603 CMR 7.04(1).</w:t>
      </w:r>
    </w:p>
    <w:p w14:paraId="423BB8C6" w14:textId="3EB594B2" w:rsidR="00A97068" w:rsidRPr="004617D9" w:rsidRDefault="00A97068"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w:t>
      </w:r>
    </w:p>
    <w:p w14:paraId="5049A973" w14:textId="3ABC774C" w:rsidR="009D52C1" w:rsidRPr="004617D9" w:rsidRDefault="4F913EC9" w:rsidP="3CEAA2FE">
      <w:pPr>
        <w:spacing w:after="0" w:line="240" w:lineRule="auto"/>
        <w:rPr>
          <w:rFonts w:eastAsia="Calibri" w:cs="Calibri"/>
          <w:color w:val="000000" w:themeColor="text1"/>
          <w:kern w:val="0"/>
          <w:sz w:val="24"/>
          <w:szCs w:val="24"/>
          <w:u w:val="single"/>
          <w14:ligatures w14:val="none"/>
        </w:rPr>
      </w:pPr>
      <w:r>
        <w:rPr>
          <w:color w:val="000000" w:themeColor="text1"/>
          <w:sz w:val="24"/>
          <w:u w:val="single"/>
        </w:rPr>
        <w:t>(7) Autorização de Artes de Mídia</w:t>
      </w:r>
    </w:p>
    <w:p w14:paraId="591F9A33" w14:textId="20115E6A" w:rsidR="009D52C1" w:rsidRPr="004617D9" w:rsidRDefault="4F913EC9" w:rsidP="00F7163D">
      <w:pPr>
        <w:pStyle w:val="ListParagraph"/>
        <w:numPr>
          <w:ilvl w:val="0"/>
          <w:numId w:val="3"/>
        </w:numPr>
        <w:spacing w:after="0" w:line="240" w:lineRule="auto"/>
        <w:rPr>
          <w:rFonts w:eastAsia="Calibri" w:cs="Calibri"/>
          <w:color w:val="000000" w:themeColor="text1"/>
          <w:kern w:val="0"/>
          <w:sz w:val="24"/>
          <w:szCs w:val="24"/>
          <w:u w:val="single"/>
          <w14:ligatures w14:val="none"/>
        </w:rPr>
      </w:pPr>
      <w:r>
        <w:rPr>
          <w:color w:val="000000" w:themeColor="text1"/>
          <w:sz w:val="24"/>
          <w:u w:val="single"/>
        </w:rPr>
        <w:t>A autorização de Artes de Mídia deve ser concedida a educadores que atendam a todos os requisitos a seguir:</w:t>
      </w:r>
    </w:p>
    <w:p w14:paraId="7E641FC0" w14:textId="7281228A"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u w:val="single"/>
          <w14:ligatures w14:val="none"/>
        </w:rPr>
      </w:pPr>
      <w:r>
        <w:rPr>
          <w:color w:val="000000" w:themeColor="text1"/>
          <w:u w:val="single"/>
        </w:rPr>
        <w:t>Pré-requisitos de licença e experiência:  Mínimo de 2 anos de experiência em uma das seguintes licenças:</w:t>
      </w:r>
    </w:p>
    <w:p w14:paraId="6AA6867E" w14:textId="6B644A82"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Pr>
          <w:color w:val="000000" w:themeColor="text1"/>
          <w:u w:val="single"/>
        </w:rPr>
        <w:t>Licença inicial ou profissional como professor de Dança, Música, Vocal/Instrumental/Geral, Teatro, Artes Visuais, Supervisor/Diretor de Artes Básicas, Tecnologia Instrucional, Alfabetização Digital/Ciência da Computação, Tecnologia/Engenharia ou Biblioteca</w:t>
      </w:r>
    </w:p>
    <w:p w14:paraId="4DF355FF" w14:textId="3E57C773"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Pr>
          <w:color w:val="000000" w:themeColor="text1"/>
          <w:u w:val="single"/>
        </w:rPr>
        <w:t>Teste de competência de professores técnicos de educação profissional: Design e Comunicação Visual, Comunicação Gráfica, Telecomunicações ou Marketing</w:t>
      </w:r>
    </w:p>
    <w:p w14:paraId="42B25CC2" w14:textId="15B9D8BB"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u w:val="single"/>
          <w14:ligatures w14:val="none"/>
        </w:rPr>
      </w:pPr>
      <w:r>
        <w:rPr>
          <w:color w:val="000000" w:themeColor="text1"/>
          <w:u w:val="single"/>
        </w:rPr>
        <w:t>Comprovação dos requisitos de conhecimento e habilidades sobre o tema estabelecidos em 603 CMR 7.14 (7)(b), por meio de uma das seguintes opções:</w:t>
      </w:r>
    </w:p>
    <w:p w14:paraId="4678855C" w14:textId="31C63295"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Pr>
          <w:color w:val="000000" w:themeColor="text1"/>
          <w:u w:val="single"/>
        </w:rPr>
        <w:t>Conclusão bem-sucedida de um curso específico de Artes de Mídia aprovado pelo Departamento. O Departamento deverá emitir diretrizes para reger a aprovação desse curso.</w:t>
      </w:r>
    </w:p>
    <w:p w14:paraId="1969BE95" w14:textId="1AFCCAA0"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Pr>
          <w:color w:val="000000" w:themeColor="text1"/>
          <w:u w:val="single"/>
        </w:rPr>
        <w:t>Uma pontuação de aprovação em um teste aceito pelo Departamento</w:t>
      </w:r>
    </w:p>
    <w:p w14:paraId="7A067173" w14:textId="6CF5B047"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sz w:val="24"/>
          <w:szCs w:val="24"/>
          <w:u w:val="single"/>
          <w14:ligatures w14:val="none"/>
        </w:rPr>
      </w:pPr>
      <w:r>
        <w:rPr>
          <w:color w:val="000000" w:themeColor="text1"/>
          <w:u w:val="single"/>
        </w:rPr>
        <w:t xml:space="preserve">Conclusão de 75 horas de experiência prática que inclua o ensino de artes de mídia para alunos do </w:t>
      </w:r>
      <w:proofErr w:type="spellStart"/>
      <w:r>
        <w:rPr>
          <w:color w:val="000000" w:themeColor="text1"/>
          <w:u w:val="single"/>
        </w:rPr>
        <w:t>PreK</w:t>
      </w:r>
      <w:proofErr w:type="spellEnd"/>
      <w:r>
        <w:rPr>
          <w:color w:val="000000" w:themeColor="text1"/>
          <w:u w:val="single"/>
        </w:rPr>
        <w:t>–12ª série</w:t>
      </w:r>
    </w:p>
    <w:p w14:paraId="72E44D11" w14:textId="6DD5FD58" w:rsidR="009D52C1" w:rsidRPr="004617D9" w:rsidRDefault="4F913EC9" w:rsidP="00EA783A">
      <w:pPr>
        <w:pStyle w:val="ListParagraph"/>
        <w:spacing w:after="0" w:line="240" w:lineRule="auto"/>
        <w:ind w:left="1080"/>
        <w:rPr>
          <w:rFonts w:eastAsia="Calibri" w:cs="Calibri"/>
          <w:color w:val="000000" w:themeColor="text1"/>
          <w:kern w:val="0"/>
          <w:u w:val="single"/>
          <w14:ligatures w14:val="none"/>
        </w:rPr>
      </w:pPr>
      <w:r>
        <w:rPr>
          <w:color w:val="000000" w:themeColor="text1"/>
          <w:u w:val="single"/>
        </w:rPr>
        <w:lastRenderedPageBreak/>
        <w:t xml:space="preserve"> (b) Conhecimento sobre o tema: </w:t>
      </w:r>
    </w:p>
    <w:p w14:paraId="61F987E3" w14:textId="56213EC4"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 xml:space="preserve">Aperfeiçoar conceitos e conteúdo para apoiar uma ideia central, concentrando-se em um elemento específico, como interatividade, temporalidade ou heterogeneidade. </w:t>
      </w:r>
    </w:p>
    <w:p w14:paraId="25BE184B" w14:textId="7E99398B"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 xml:space="preserve">Explicar como usar técnicas específicas para estimular, expressar ou comunicar ideias em um trabalho de artes de mídia ou em um conjunto de trabalhos desse tipo. </w:t>
      </w:r>
    </w:p>
    <w:p w14:paraId="308BE7C8" w14:textId="32F3E05B"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 xml:space="preserve">Modificar uma obra de arte de mídia para esclarecer sua intenção artística, apresentando diferentes estilos/gêneros e pontos de vista e antevendo as respostas dos espectadores. </w:t>
      </w:r>
    </w:p>
    <w:p w14:paraId="4806E1C5" w14:textId="20B0989A"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 xml:space="preserve">Identificar maneiras pelas quais um trabalho de mídia contemporâneo ultrapassa os limites de um gênero e de uma disciplina. </w:t>
      </w:r>
    </w:p>
    <w:p w14:paraId="7B37F216" w14:textId="28DAC747"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 xml:space="preserve">Comparar e contrastar os elementos artísticos que tornam as artes de mídia únicas em relação a outras disciplinas artísticas. </w:t>
      </w:r>
    </w:p>
    <w:p w14:paraId="667D8C43" w14:textId="130ADF22"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Identificar como o preconceito, a cultura e o privilégio podem afetar os critérios usados para avaliar o</w:t>
      </w:r>
      <w:r w:rsidR="0030535C">
        <w:rPr>
          <w:color w:val="000000" w:themeColor="text1"/>
          <w:u w:val="single"/>
        </w:rPr>
        <w:t>b</w:t>
      </w:r>
      <w:r>
        <w:rPr>
          <w:color w:val="000000" w:themeColor="text1"/>
          <w:u w:val="single"/>
        </w:rPr>
        <w:t xml:space="preserve">ras de arte de mídia. </w:t>
      </w:r>
    </w:p>
    <w:p w14:paraId="62B424A0" w14:textId="34467B87"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 xml:space="preserve">Explicar o desenvolvimento de uma visão estética e estilo pessoal como um artista de mídia e como isso é representado em uma obra. </w:t>
      </w:r>
    </w:p>
    <w:p w14:paraId="2D37CA93" w14:textId="7DE73338"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Pr>
          <w:color w:val="000000" w:themeColor="text1"/>
          <w:u w:val="single"/>
        </w:rPr>
        <w:t xml:space="preserve">Identificar as conexões entre o contexto histórico e cultural e a definição de elementos estilísticos de obras de arte de várias mídias. </w:t>
      </w:r>
    </w:p>
    <w:p w14:paraId="4F6DD9E1" w14:textId="2AABC128" w:rsidR="009D52C1" w:rsidRPr="004617D9" w:rsidRDefault="4F913EC9" w:rsidP="00EA783A">
      <w:pPr>
        <w:spacing w:after="0" w:line="240" w:lineRule="auto"/>
        <w:rPr>
          <w:rFonts w:eastAsia="Calibri" w:cs="Calibri"/>
          <w:color w:val="000000" w:themeColor="text1"/>
          <w:kern w:val="0"/>
          <w:sz w:val="24"/>
          <w:szCs w:val="24"/>
          <w:u w:val="single"/>
          <w14:ligatures w14:val="none"/>
        </w:rPr>
      </w:pPr>
      <w:r>
        <w:rPr>
          <w:color w:val="000000" w:themeColor="text1"/>
          <w:sz w:val="24"/>
          <w:u w:val="single"/>
        </w:rPr>
        <w:t xml:space="preserve"> </w:t>
      </w:r>
    </w:p>
    <w:p w14:paraId="13227883" w14:textId="164573A2" w:rsidR="009D52C1" w:rsidRPr="004617D9" w:rsidRDefault="4F913EC9" w:rsidP="00EA783A">
      <w:pPr>
        <w:spacing w:after="0" w:line="240" w:lineRule="auto"/>
        <w:ind w:left="720"/>
        <w:rPr>
          <w:rFonts w:eastAsia="Calibri" w:cs="Calibri"/>
          <w:color w:val="000000" w:themeColor="text1"/>
          <w:kern w:val="0"/>
          <w:u w:val="single"/>
          <w14:ligatures w14:val="none"/>
        </w:rPr>
      </w:pPr>
      <w:r>
        <w:rPr>
          <w:color w:val="000000" w:themeColor="text1"/>
          <w:u w:val="single"/>
        </w:rPr>
        <w:t>(c) Um candidato que tenha sido formado fora de Massachusetts não precisará cumprir os requisitos estabelecidos em 603 CMR 7.14(7)(a)2–3 se puder fornecer documentação de um dos seguintes itens:</w:t>
      </w:r>
    </w:p>
    <w:p w14:paraId="7920DF47" w14:textId="1E47F11D" w:rsidR="009D52C1" w:rsidRPr="004617D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u w:val="single"/>
          <w14:ligatures w14:val="none"/>
        </w:rPr>
      </w:pPr>
      <w:r>
        <w:rPr>
          <w:color w:val="000000" w:themeColor="text1"/>
          <w:u w:val="single"/>
        </w:rPr>
        <w:t>Conclusão de um programa de preparação de educadores que inclua o equivalente ao curso de estudo aprovado pelo Departamento e que seja aprovado pelo estado de acordo com o Acordo Interestadual da Associação Nacional de Diretores Estaduais de Educação e Certificação de Professores (</w:t>
      </w:r>
      <w:proofErr w:type="spellStart"/>
      <w:r>
        <w:rPr>
          <w:color w:val="000000" w:themeColor="text1"/>
          <w:u w:val="single"/>
        </w:rPr>
        <w:t>National</w:t>
      </w:r>
      <w:proofErr w:type="spellEnd"/>
      <w:r>
        <w:rPr>
          <w:color w:val="000000" w:themeColor="text1"/>
          <w:u w:val="single"/>
        </w:rPr>
        <w:t xml:space="preserve"> </w:t>
      </w:r>
      <w:proofErr w:type="spellStart"/>
      <w:r>
        <w:rPr>
          <w:color w:val="000000" w:themeColor="text1"/>
          <w:u w:val="single"/>
        </w:rPr>
        <w:t>Association</w:t>
      </w:r>
      <w:proofErr w:type="spellEnd"/>
      <w:r>
        <w:rPr>
          <w:color w:val="000000" w:themeColor="text1"/>
          <w:u w:val="single"/>
        </w:rPr>
        <w:t xml:space="preserve"> of </w:t>
      </w:r>
      <w:proofErr w:type="spellStart"/>
      <w:r>
        <w:rPr>
          <w:color w:val="000000" w:themeColor="text1"/>
          <w:u w:val="single"/>
        </w:rPr>
        <w:t>State</w:t>
      </w:r>
      <w:proofErr w:type="spellEnd"/>
      <w:r>
        <w:rPr>
          <w:color w:val="000000" w:themeColor="text1"/>
          <w:u w:val="single"/>
        </w:rPr>
        <w:t xml:space="preserve"> </w:t>
      </w:r>
      <w:proofErr w:type="spellStart"/>
      <w:r>
        <w:rPr>
          <w:color w:val="000000" w:themeColor="text1"/>
          <w:u w:val="single"/>
        </w:rPr>
        <w:t>Directors</w:t>
      </w:r>
      <w:proofErr w:type="spellEnd"/>
      <w:r>
        <w:rPr>
          <w:color w:val="000000" w:themeColor="text1"/>
          <w:u w:val="single"/>
        </w:rPr>
        <w:t xml:space="preserve"> of </w:t>
      </w:r>
      <w:proofErr w:type="spellStart"/>
      <w:r>
        <w:rPr>
          <w:color w:val="000000" w:themeColor="text1"/>
          <w:u w:val="single"/>
        </w:rPr>
        <w:t>Teacher</w:t>
      </w:r>
      <w:proofErr w:type="spellEnd"/>
      <w:r>
        <w:rPr>
          <w:color w:val="000000" w:themeColor="text1"/>
          <w:u w:val="single"/>
        </w:rPr>
        <w:t xml:space="preserve"> Education and </w:t>
      </w:r>
      <w:proofErr w:type="spellStart"/>
      <w:r>
        <w:rPr>
          <w:color w:val="000000" w:themeColor="text1"/>
          <w:u w:val="single"/>
        </w:rPr>
        <w:t>Certification</w:t>
      </w:r>
      <w:proofErr w:type="spellEnd"/>
      <w:r>
        <w:rPr>
          <w:color w:val="000000" w:themeColor="text1"/>
          <w:u w:val="single"/>
        </w:rPr>
        <w:t xml:space="preserve"> - NASDTEC) ou que tenha sido credenciado por uma organização nacional aceita pelo Comissário.</w:t>
      </w:r>
    </w:p>
    <w:p w14:paraId="092D7E28" w14:textId="3375A594" w:rsidR="009D52C1" w:rsidRPr="004617D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u w:val="single"/>
          <w14:ligatures w14:val="none"/>
        </w:rPr>
      </w:pPr>
      <w:r>
        <w:rPr>
          <w:color w:val="000000" w:themeColor="text1"/>
          <w:u w:val="single"/>
        </w:rPr>
        <w:t xml:space="preserve">Possuir uma licença/certificado/autorização de outro estado que seja comparável à Autorização de Artes de Mídia emitida por um estado com o qual Massachusetts tenha assinado o Acordo Interestadual </w:t>
      </w:r>
      <w:r w:rsidR="003F73FD">
        <w:rPr>
          <w:color w:val="000000" w:themeColor="text1"/>
          <w:u w:val="single"/>
        </w:rPr>
        <w:t xml:space="preserve">da </w:t>
      </w:r>
      <w:r>
        <w:rPr>
          <w:color w:val="000000" w:themeColor="text1"/>
          <w:u w:val="single"/>
        </w:rPr>
        <w:t>NASDTEC ou outro acordo aceito pelo Comissário.</w:t>
      </w:r>
    </w:p>
    <w:p w14:paraId="1459F90B" w14:textId="0CA0C9DA" w:rsidR="009D52C1" w:rsidRPr="004617D9" w:rsidRDefault="009D52C1" w:rsidP="3CEAA2FE">
      <w:pPr>
        <w:spacing w:line="240" w:lineRule="auto"/>
        <w:ind w:left="720"/>
        <w:rPr>
          <w:rFonts w:eastAsia="Calibri" w:cs="Calibri"/>
          <w:color w:val="000000" w:themeColor="text1"/>
          <w:kern w:val="0"/>
          <w:u w:val="single"/>
          <w14:ligatures w14:val="none"/>
        </w:rPr>
      </w:pPr>
    </w:p>
    <w:p w14:paraId="5B7B44C0" w14:textId="467C5C58" w:rsidR="009D52C1" w:rsidRPr="004617D9" w:rsidRDefault="4F913EC9" w:rsidP="3CEAA2FE">
      <w:pPr>
        <w:spacing w:line="240" w:lineRule="auto"/>
        <w:ind w:left="720"/>
        <w:rPr>
          <w:rFonts w:eastAsia="Calibri" w:cs="Calibri"/>
          <w:color w:val="000000" w:themeColor="text1"/>
          <w:kern w:val="0"/>
          <w:u w:val="single"/>
          <w14:ligatures w14:val="none"/>
        </w:rPr>
      </w:pPr>
      <w:r>
        <w:rPr>
          <w:color w:val="000000" w:themeColor="text1"/>
          <w:u w:val="single"/>
        </w:rPr>
        <w:t>(d) Renovação. A Autorização de Artes de Mídia será válida por cinco anos e poderá ser renovada por períodos sucessivos de cinco anos após a conclusão bem-sucedida de 30 pontos de desenvolvimento profissional (</w:t>
      </w:r>
      <w:proofErr w:type="spellStart"/>
      <w:r>
        <w:rPr>
          <w:color w:val="000000" w:themeColor="text1"/>
          <w:u w:val="single"/>
        </w:rPr>
        <w:t>PDPs</w:t>
      </w:r>
      <w:proofErr w:type="spellEnd"/>
      <w:r>
        <w:rPr>
          <w:color w:val="000000" w:themeColor="text1"/>
          <w:u w:val="single"/>
        </w:rPr>
        <w:t xml:space="preserve">) na matéria relacionada a 603 CMR 7.14(7)(b). Os 30 </w:t>
      </w:r>
      <w:proofErr w:type="spellStart"/>
      <w:r>
        <w:rPr>
          <w:color w:val="000000" w:themeColor="text1"/>
          <w:u w:val="single"/>
        </w:rPr>
        <w:t>PDPs</w:t>
      </w:r>
      <w:proofErr w:type="spellEnd"/>
      <w:r>
        <w:rPr>
          <w:color w:val="000000" w:themeColor="text1"/>
          <w:u w:val="single"/>
        </w:rPr>
        <w:t xml:space="preserve"> podem ser incluídos no número total de </w:t>
      </w:r>
      <w:proofErr w:type="spellStart"/>
      <w:r>
        <w:rPr>
          <w:color w:val="000000" w:themeColor="text1"/>
          <w:u w:val="single"/>
        </w:rPr>
        <w:t>PDPs</w:t>
      </w:r>
      <w:proofErr w:type="spellEnd"/>
      <w:r>
        <w:rPr>
          <w:color w:val="000000" w:themeColor="text1"/>
          <w:u w:val="single"/>
        </w:rPr>
        <w:t xml:space="preserve"> necessários para a renovação da licença nos termos de 603 CMR 44.06: </w:t>
      </w:r>
      <w:r>
        <w:rPr>
          <w:i/>
          <w:color w:val="000000" w:themeColor="text1"/>
          <w:u w:val="single"/>
        </w:rPr>
        <w:t>Renovação da Licença de Educador</w:t>
      </w:r>
      <w:r>
        <w:rPr>
          <w:color w:val="000000" w:themeColor="text1"/>
          <w:u w:val="single"/>
        </w:rPr>
        <w:t>.</w:t>
      </w:r>
    </w:p>
    <w:p w14:paraId="25C8B204" w14:textId="13DD3DC6" w:rsidR="3CEAA2FE" w:rsidRPr="004617D9" w:rsidRDefault="3CEAA2FE" w:rsidP="3CEAA2FE">
      <w:pPr>
        <w:shd w:val="clear" w:color="auto" w:fill="FFFFFF" w:themeFill="background1"/>
        <w:spacing w:afterAutospacing="1" w:line="240" w:lineRule="auto"/>
        <w:rPr>
          <w:rFonts w:eastAsia="Times New Roman" w:cs="Segoe UI"/>
          <w:color w:val="212529"/>
          <w:sz w:val="24"/>
          <w:szCs w:val="24"/>
        </w:rPr>
      </w:pPr>
    </w:p>
    <w:p w14:paraId="30B0A094"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7.15: Disposições gerais</w:t>
      </w:r>
    </w:p>
    <w:p w14:paraId="131A1021" w14:textId="4E4049D1" w:rsidR="00A97068" w:rsidRPr="004617D9" w:rsidRDefault="00A97068"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w:t>
      </w:r>
    </w:p>
    <w:p w14:paraId="030D10D5" w14:textId="652725F4"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p>
    <w:p w14:paraId="274B5E4C"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(2) </w:t>
      </w:r>
      <w:r>
        <w:rPr>
          <w:b/>
          <w:color w:val="212529"/>
          <w:sz w:val="24"/>
        </w:rPr>
        <w:t>Licenças adicionais</w:t>
      </w:r>
      <w:r>
        <w:rPr>
          <w:color w:val="212529"/>
          <w:sz w:val="24"/>
        </w:rPr>
        <w:t>. Educadores licenciados podem obter licenças adicionais da seguinte forma:</w:t>
      </w:r>
    </w:p>
    <w:p w14:paraId="116D55D1" w14:textId="77777777" w:rsidR="009D52C1" w:rsidRPr="004617D9" w:rsidRDefault="009D52C1" w:rsidP="009902E7">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Pr>
          <w:color w:val="212529"/>
          <w:sz w:val="24"/>
        </w:rPr>
        <w:t xml:space="preserve">(a) </w:t>
      </w:r>
      <w:r>
        <w:rPr>
          <w:b/>
          <w:bCs/>
          <w:color w:val="212529"/>
          <w:sz w:val="24"/>
        </w:rPr>
        <w:t>Nova área</w:t>
      </w:r>
      <w:r>
        <w:rPr>
          <w:color w:val="212529"/>
          <w:sz w:val="24"/>
        </w:rPr>
        <w:t xml:space="preserve"> (disponível apenas para licenças nos termos de 603 CMR 7.04 (3) (a)):</w:t>
      </w:r>
    </w:p>
    <w:p w14:paraId="2A81F2FE"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Professores que possuem uma licença Inicial ou Profissional em uma área podem obter uma licença do mesmo tipo e no mesmo nível em uma nova área, exceto conforme previsto em 603 CMR 7.15 (2) (a) 2. e 3., ao:</w:t>
      </w:r>
    </w:p>
    <w:p w14:paraId="5653B95D" w14:textId="77777777" w:rsidR="009D52C1" w:rsidRPr="004617D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Obter uma pontuação de aprovação no(s) teste(s) de conhecimento sobre o tema apropriado(s) dos MTEL, ou</w:t>
      </w:r>
    </w:p>
    <w:p w14:paraId="64FAFC60" w14:textId="77777777" w:rsidR="009D52C1" w:rsidRPr="004617D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Ser aprovado em uma análise de competência para as licenças para as quais não há teste de conhecimento sobre o tema.</w:t>
      </w:r>
    </w:p>
    <w:p w14:paraId="0BB0D5AE"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Requisitos adicionais para obter uma licença como professor da primeira infância, de inglês como segunda língua ou do ensino fundamental: conclusão de um estágio ou prática equivalente de 150 horas na função da licença pretendida em uma sala de aula apropriada.</w:t>
      </w:r>
    </w:p>
    <w:p w14:paraId="364F45EB"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Os requisitos adicionais para obter uma licença como professor de alunos com deficiências moderadas, professor de alunos com deficiências graves, professor de surdos e deficientes auditivos ou professor de deficientes visuais são a conclusão de ambos:</w:t>
      </w:r>
    </w:p>
    <w:p w14:paraId="2E1BC1F5" w14:textId="5999DBF5" w:rsidR="00DD59A6" w:rsidRPr="004617D9" w:rsidRDefault="00C52E82" w:rsidP="00C52E82">
      <w:pPr>
        <w:shd w:val="clear" w:color="auto" w:fill="FFFFFF"/>
        <w:spacing w:before="100" w:beforeAutospacing="1" w:after="100" w:afterAutospacing="1" w:line="240" w:lineRule="auto"/>
        <w:ind w:left="1440" w:firstLine="360"/>
        <w:rPr>
          <w:rFonts w:eastAsia="Times New Roman" w:cs="Segoe UI"/>
          <w:color w:val="212529"/>
          <w:kern w:val="0"/>
          <w:sz w:val="24"/>
          <w:szCs w:val="24"/>
          <w14:ligatures w14:val="none"/>
        </w:rPr>
      </w:pPr>
      <w:r>
        <w:rPr>
          <w:strike/>
          <w:color w:val="212529"/>
          <w:sz w:val="24"/>
        </w:rPr>
        <w:t xml:space="preserve">1. </w:t>
      </w:r>
      <w:r>
        <w:rPr>
          <w:color w:val="212529"/>
          <w:sz w:val="24"/>
        </w:rPr>
        <w:t>a. Uma análise de competências e</w:t>
      </w:r>
    </w:p>
    <w:p w14:paraId="617B57EF" w14:textId="16FA44F4" w:rsidR="009D52C1" w:rsidRPr="004617D9" w:rsidRDefault="00C52E82" w:rsidP="00C52E82">
      <w:pPr>
        <w:shd w:val="clear" w:color="auto" w:fill="FFFFFF" w:themeFill="background1"/>
        <w:spacing w:before="100" w:beforeAutospacing="1" w:after="100" w:afterAutospacing="1" w:line="240" w:lineRule="auto"/>
        <w:ind w:left="1800"/>
        <w:rPr>
          <w:rFonts w:eastAsia="Times New Roman" w:cs="Segoe UI"/>
          <w:color w:val="212529"/>
          <w:kern w:val="0"/>
          <w:sz w:val="24"/>
          <w:szCs w:val="24"/>
          <w14:ligatures w14:val="none"/>
        </w:rPr>
      </w:pPr>
      <w:r>
        <w:rPr>
          <w:strike/>
          <w:color w:val="212529"/>
          <w:sz w:val="24"/>
        </w:rPr>
        <w:t>2.</w:t>
      </w:r>
      <w:r>
        <w:rPr>
          <w:color w:val="212529"/>
          <w:sz w:val="24"/>
        </w:rPr>
        <w:t xml:space="preserve"> b. Um estágio ou prática equivalente de 150 horas na função da licença pretendida em uma sala de aula apropriada.</w:t>
      </w:r>
    </w:p>
    <w:p w14:paraId="7A8163BC" w14:textId="75209B87" w:rsidR="00953A7A" w:rsidRPr="004617D9" w:rsidRDefault="00953A7A" w:rsidP="00953A7A">
      <w:p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w:t>
      </w:r>
    </w:p>
    <w:p w14:paraId="1CF3A312"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(9) </w:t>
      </w:r>
      <w:r>
        <w:rPr>
          <w:b/>
          <w:bCs/>
          <w:color w:val="212529"/>
          <w:sz w:val="24"/>
        </w:rPr>
        <w:t>Disposições gerais para emprego.</w:t>
      </w:r>
    </w:p>
    <w:p w14:paraId="49C3A389" w14:textId="3AF3D5B5" w:rsidR="009D52C1" w:rsidRPr="004617D9" w:rsidRDefault="009D52C1" w:rsidP="000531F9">
      <w:pPr>
        <w:shd w:val="clear" w:color="auto" w:fill="FFFFFF" w:themeFill="background1"/>
        <w:spacing w:after="100" w:afterAutospacing="1" w:line="240" w:lineRule="auto"/>
        <w:ind w:left="720"/>
        <w:rPr>
          <w:rFonts w:eastAsia="Times New Roman" w:cs="Segoe UI"/>
          <w:strike/>
          <w:color w:val="212529"/>
          <w:kern w:val="0"/>
          <w:sz w:val="24"/>
          <w:szCs w:val="24"/>
          <w14:ligatures w14:val="none"/>
        </w:rPr>
      </w:pPr>
      <w:r>
        <w:rPr>
          <w:color w:val="212529"/>
          <w:sz w:val="24"/>
        </w:rPr>
        <w:t xml:space="preserve">(a) </w:t>
      </w:r>
      <w:r>
        <w:rPr>
          <w:b/>
          <w:bCs/>
          <w:color w:val="212529"/>
          <w:sz w:val="24"/>
        </w:rPr>
        <w:t>Emprego legal.</w:t>
      </w:r>
      <w:r>
        <w:rPr>
          <w:color w:val="212529"/>
          <w:sz w:val="24"/>
        </w:rPr>
        <w:t xml:space="preserve"> Para ser elegível para emprego em um distrito escolar em qualquer cargo abrangido por uma licença emitida nos termos de 603 CMR 7.00, a pessoa deve ter recebido uma licença do Comissário que seja apropriada para a função. Uma pessoa que possua uma licença pode ser empregada por no máximo 20% do seu tempo em uma função ou em um nível para o qual não possua uma licença.</w:t>
      </w:r>
      <w:r>
        <w:rPr>
          <w:strike/>
          <w:color w:val="212529"/>
          <w:sz w:val="24"/>
        </w:rPr>
        <w:t xml:space="preserve"> Além disso, como resultado do surto do novo coronavírus de 2019, também conhecido como COVID-19, durante os anos letivos de 2020-2021, 2021-2022 e 2022-2023, uma pessoa que possua uma licença pode ser empregada por no máximo 50% do seu tempo em uma função ou em um nível para o qual não possua uma licença, exceto em uma função que exija qualquer uma das seguintes licenças: Professor de Deficiências Moderadas, Professor de Deficiências Graves, Professor de Surdos e Deficientes Auditivos (ASL/TC), Professor de Surdos e </w:t>
      </w:r>
      <w:r>
        <w:rPr>
          <w:strike/>
          <w:color w:val="212529"/>
          <w:sz w:val="24"/>
        </w:rPr>
        <w:lastRenderedPageBreak/>
        <w:t>Deficientes Auditivos (Oral/Aural), Professor de Deficientes Visuais, Professor de Distúrbios da Fala, Linguagem e Audição, enfermeiro escolar ou Inglês como segunda Língua. A atribuição fora da licença do educador em até 50% do tempo durante os anos letivos de 2020-2021, 2021-2022 e 2022-2023 não impedirá que os anos letivos de 2020-2021, 2021-2022 e 2022-2023 sejam contabilizados como serviço para o Status de Professor Profissional.</w:t>
      </w:r>
    </w:p>
    <w:p w14:paraId="4C56739B"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(14) </w:t>
      </w:r>
      <w:r>
        <w:rPr>
          <w:b/>
          <w:color w:val="212529"/>
          <w:sz w:val="24"/>
        </w:rPr>
        <w:t>Implementação</w:t>
      </w:r>
      <w:r>
        <w:rPr>
          <w:color w:val="212529"/>
          <w:sz w:val="24"/>
        </w:rPr>
        <w:t>.</w:t>
      </w:r>
    </w:p>
    <w:p w14:paraId="2B9DE989" w14:textId="77777777"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(a) Entre 7 de março de 2009 e 30 de junho de 2012, os candidatos às seguintes licenças provisórias ou iniciais que obtiverem uma pontuação escalonada de pelo menos 227-239 na parte de Matemática do teste do Currículo Geral: Ensino Fundamental, Professor de Alunos com Deficiências Moderadas, Professor de Alunos com Deficiências Graves, Professor de Surdos e Deficientes Auditivos e Professor de Deficientes Visuais serão considerados aprovados na parte de Matemática do teste do Currículo Geral. Todos os candidatos licenciados de acordo com essa disposição devem obter uma pontuação escalonada de 240 ou superior na parte de Matemática do teste do Currículo Geral para serem elegíveis para a próxima etapa do licenciamento ou para prorrogarem sua licença inicial.</w:t>
      </w:r>
    </w:p>
    <w:p w14:paraId="6414F9A5" w14:textId="03143C11" w:rsidR="009D52C1" w:rsidRPr="004617D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Pr>
          <w:strike/>
          <w:color w:val="212529"/>
          <w:sz w:val="24"/>
        </w:rPr>
        <w:t>(b) Aqueles que se candidatarem e cumprirem todos os requisitos para a licença de Professor de Alunos com Deficiências Moderadas antes de 31 de agosto de 2012 poderão se qualificar para uma licença inicial ou provisória cumprindo os requisitos previstos em 603 CMR 7.06 (25), em vigor antes de 1º de julho de 2011.</w:t>
      </w:r>
    </w:p>
    <w:p w14:paraId="243BCABE" w14:textId="68321B0F" w:rsidR="009D52C1" w:rsidRPr="004617D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Pr>
          <w:strike/>
          <w:color w:val="212529"/>
          <w:sz w:val="24"/>
        </w:rPr>
        <w:t>(c) Aqueles que se candidatarem e cumprirem todos os requisitos para a licença de Professor de Alunos com Deficiências Graves antes de 31 de agosto de 2012 poderão se qualificar para uma licença inicial ou provisória cumprindo os requisitos previstos em 603 CMR 7.06 (26), em vigor antes de 1º de julho de 2011.</w:t>
      </w:r>
    </w:p>
    <w:p w14:paraId="65065A46"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Pr>
          <w:strike/>
          <w:color w:val="212529"/>
          <w:sz w:val="24"/>
        </w:rPr>
        <w:t>(d) Aqueles que se candidatarem e cumprirem todos os requisitos para a licença de Administrador, conforme estabelecido em 603 CMR 7.09, até 31 de dezembro de 2013, poderão se qualificar para uma licença cumprindo os requisitos previstos em 603 CMR 7.09 e 7.10, em vigor antes de 1º de janeiro de 2012.</w:t>
      </w:r>
    </w:p>
    <w:p w14:paraId="3FC20992"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Pr>
          <w:strike/>
          <w:color w:val="212529"/>
          <w:sz w:val="24"/>
        </w:rPr>
        <w:t>(e) Aqueles que se candidatarem e cumprirem todos os requisitos para a licença Inicial antes de 1º de julho de 2014 poderão se qualificar para essa licença cumprindo os requisitos previstos em 603 CMR 7.00, em vigor antes de 1º de agosto de 2012.</w:t>
      </w:r>
    </w:p>
    <w:p w14:paraId="11F5ED39"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Pr>
          <w:strike/>
          <w:color w:val="212529"/>
          <w:sz w:val="24"/>
        </w:rPr>
        <w:t>(f) Aqueles que se candidatarem e cumprirem todos os requisitos para a licença de Professor antes de 1º de julho de 2016 poderão se qualificar para uma licença cumprindo os requisitos previstos em 603 CMR 7.08, em vigor antes de 1º de fevereiro de 2014.</w:t>
      </w:r>
    </w:p>
    <w:p w14:paraId="229A6C9D" w14:textId="41A297D6"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w:t>
      </w:r>
      <w:proofErr w:type="spellStart"/>
      <w:r>
        <w:rPr>
          <w:strike/>
          <w:color w:val="212529"/>
          <w:sz w:val="24"/>
        </w:rPr>
        <w:t>g</w:t>
      </w:r>
      <w:r>
        <w:rPr>
          <w:color w:val="212529"/>
          <w:sz w:val="24"/>
          <w:u w:val="single"/>
        </w:rPr>
        <w:t>b</w:t>
      </w:r>
      <w:proofErr w:type="spellEnd"/>
      <w:r>
        <w:rPr>
          <w:color w:val="212529"/>
          <w:sz w:val="24"/>
        </w:rPr>
        <w:t>) A partir de 1º de julho de 2019, aqueles que possuírem mais de uma licença provisória não terão mais de cinco anos totais de empregos em potencial com as licenças provisórias.</w:t>
      </w:r>
    </w:p>
    <w:p w14:paraId="194592C3" w14:textId="58EFC603"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lastRenderedPageBreak/>
        <w:t>(</w:t>
      </w:r>
      <w:r>
        <w:rPr>
          <w:strike/>
          <w:color w:val="212529"/>
          <w:sz w:val="24"/>
        </w:rPr>
        <w:t>h</w:t>
      </w:r>
      <w:r>
        <w:rPr>
          <w:color w:val="212529"/>
          <w:sz w:val="24"/>
        </w:rPr>
        <w:t xml:space="preserve"> </w:t>
      </w:r>
      <w:r>
        <w:rPr>
          <w:color w:val="212529"/>
          <w:sz w:val="24"/>
          <w:u w:val="single"/>
        </w:rPr>
        <w:t>c</w:t>
      </w:r>
      <w:r>
        <w:rPr>
          <w:color w:val="212529"/>
          <w:sz w:val="24"/>
        </w:rPr>
        <w:t>) Aqueles que se candidatarem e cumprirem todos os requisitos de licenciamento antes de 1º de julho de 2019 poderão se qualificar para essa licença cumprindo os requisitos previstos em 603 CMR 7.00, em vigor antes de 27 de junho de 2017.</w:t>
      </w:r>
    </w:p>
    <w:p w14:paraId="1D1C0082" w14:textId="2CCFF3CA" w:rsidR="009D52C1" w:rsidRPr="004617D9" w:rsidRDefault="009D52C1" w:rsidP="0065357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strike/>
          <w:color w:val="212529"/>
          <w:sz w:val="24"/>
        </w:rPr>
        <w:t>(I</w:t>
      </w:r>
      <w:r>
        <w:rPr>
          <w:color w:val="212529"/>
          <w:sz w:val="24"/>
        </w:rPr>
        <w:t xml:space="preserve"> </w:t>
      </w:r>
      <w:r>
        <w:rPr>
          <w:color w:val="212529"/>
          <w:sz w:val="24"/>
          <w:u w:val="single"/>
        </w:rPr>
        <w:t>d</w:t>
      </w:r>
      <w:r>
        <w:rPr>
          <w:color w:val="212529"/>
          <w:sz w:val="24"/>
        </w:rPr>
        <w:t>) Aqueles que se candidatarem até 17 de março de 2023 e cumprirem todos os requisitos de licenciamento até 17 de março de 2025 poderão se qualificar para essa licença cumprindo os requisitos previstos em 603 CMR 7.00 que estavam em vigor em 1º de fevereiro de 2023.</w:t>
      </w:r>
    </w:p>
    <w:p w14:paraId="5DEC9267" w14:textId="234BBD52" w:rsidR="62B17A75" w:rsidRPr="004617D9" w:rsidRDefault="1CD55665" w:rsidP="76FCCA31">
      <w:pPr>
        <w:shd w:val="clear" w:color="auto" w:fill="FFFFFF" w:themeFill="background1"/>
        <w:spacing w:afterAutospacing="1" w:line="240" w:lineRule="auto"/>
        <w:ind w:left="720"/>
        <w:rPr>
          <w:rFonts w:eastAsia="Times New Roman" w:cs="Segoe UI"/>
          <w:color w:val="212529"/>
          <w:sz w:val="24"/>
          <w:szCs w:val="24"/>
          <w:u w:val="single"/>
        </w:rPr>
      </w:pPr>
      <w:r>
        <w:rPr>
          <w:color w:val="212529"/>
          <w:sz w:val="24"/>
          <w:u w:val="single"/>
        </w:rPr>
        <w:t>(</w:t>
      </w:r>
      <w:r>
        <w:rPr>
          <w:color w:val="212529"/>
          <w:sz w:val="24"/>
          <w:u w:val="single"/>
          <w:shd w:val="clear" w:color="auto" w:fill="E6E6E6"/>
        </w:rPr>
        <w:t>e)</w:t>
      </w:r>
      <w:r>
        <w:rPr>
          <w:color w:val="212529"/>
          <w:sz w:val="24"/>
          <w:u w:val="single"/>
        </w:rPr>
        <w:t xml:space="preserve"> As licenças emergenciais não podem ser prorrogadas para além de 30 de junho de 2027.  </w:t>
      </w:r>
    </w:p>
    <w:p w14:paraId="523EFE74" w14:textId="1CF6E72D" w:rsidR="62B17A75" w:rsidRPr="004617D9" w:rsidRDefault="62B17A75" w:rsidP="68DAC721">
      <w:pPr>
        <w:shd w:val="clear" w:color="auto" w:fill="FFFFFF" w:themeFill="background1"/>
        <w:spacing w:afterAutospacing="1" w:line="240" w:lineRule="auto"/>
        <w:ind w:left="720"/>
        <w:rPr>
          <w:rFonts w:eastAsia="Times New Roman" w:cs="Segoe UI"/>
          <w:b/>
          <w:bCs/>
          <w:color w:val="212529"/>
          <w:sz w:val="24"/>
          <w:szCs w:val="24"/>
        </w:rPr>
      </w:pPr>
    </w:p>
    <w:p w14:paraId="564C4182" w14:textId="7FFC4DC5" w:rsidR="009D52C1" w:rsidRPr="004617D9" w:rsidRDefault="009D52C1" w:rsidP="4EBACA9A">
      <w:pPr>
        <w:shd w:val="clear" w:color="auto" w:fill="FFFFFF" w:themeFill="background1"/>
        <w:spacing w:afterAutospacing="1" w:line="240" w:lineRule="auto"/>
        <w:ind w:left="720"/>
        <w:rPr>
          <w:rFonts w:eastAsia="Times New Roman" w:cs="Segoe UI"/>
          <w:color w:val="212529"/>
          <w:kern w:val="0"/>
          <w:sz w:val="24"/>
          <w:szCs w:val="24"/>
          <w14:ligatures w14:val="none"/>
        </w:rPr>
      </w:pPr>
      <w:r>
        <w:rPr>
          <w:b/>
          <w:color w:val="212529"/>
          <w:sz w:val="24"/>
        </w:rPr>
        <w:t>Autoridade reguladora:</w:t>
      </w:r>
      <w:r>
        <w:rPr>
          <w:color w:val="212529"/>
          <w:sz w:val="24"/>
        </w:rPr>
        <w:br/>
        <w:t>M.G.L. c. 69, § 1B; c. 69, §§ 1J and 1K, conforme emenda de St. 2010; c. 12, § 3; c. 71, § 38G, conforme emenda de St. 2022, c. 154, § 10; c. 71, 38G ½; c. 71A, § 10; c. 76, § 19.</w:t>
      </w:r>
    </w:p>
    <w:p w14:paraId="467A009A" w14:textId="77777777" w:rsidR="009D52C1" w:rsidRPr="004617D9" w:rsidRDefault="00000000" w:rsidP="009D52C1">
      <w:pPr>
        <w:spacing w:after="0" w:line="240" w:lineRule="auto"/>
        <w:rPr>
          <w:rFonts w:eastAsia="Times New Roman" w:cs="Segoe UI"/>
          <w:kern w:val="0"/>
          <w:sz w:val="24"/>
          <w:szCs w:val="24"/>
          <w14:ligatures w14:val="none"/>
        </w:rPr>
      </w:pPr>
      <w:r>
        <w:rPr>
          <w:color w:val="2B579A"/>
          <w:sz w:val="24"/>
          <w:shd w:val="clear" w:color="auto" w:fill="E6E6E6"/>
        </w:rPr>
        <w:pict w14:anchorId="755D8902">
          <v:rect id="_x0000_i1026" style="width:0;height:0" o:hrstd="t" o:hrnoshade="t" o:hr="t" fillcolor="#212529" stroked="f"/>
        </w:pict>
      </w:r>
    </w:p>
    <w:p w14:paraId="6C353250" w14:textId="77777777" w:rsidR="005772EC" w:rsidRPr="004617D9" w:rsidRDefault="005772EC"/>
    <w:sectPr w:rsidR="005772EC" w:rsidRPr="004617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A820" w14:textId="77777777" w:rsidR="009A79EE" w:rsidRDefault="009A79EE" w:rsidP="005F5AC9">
      <w:pPr>
        <w:spacing w:after="0" w:line="240" w:lineRule="auto"/>
      </w:pPr>
      <w:r>
        <w:separator/>
      </w:r>
    </w:p>
  </w:endnote>
  <w:endnote w:type="continuationSeparator" w:id="0">
    <w:p w14:paraId="2255AA7E" w14:textId="77777777" w:rsidR="009A79EE" w:rsidRDefault="009A79EE" w:rsidP="005F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89C1" w14:textId="77777777" w:rsidR="009A79EE" w:rsidRDefault="009A79EE" w:rsidP="005F5AC9">
      <w:pPr>
        <w:spacing w:after="0" w:line="240" w:lineRule="auto"/>
      </w:pPr>
      <w:r>
        <w:separator/>
      </w:r>
    </w:p>
  </w:footnote>
  <w:footnote w:type="continuationSeparator" w:id="0">
    <w:p w14:paraId="4AAABF96" w14:textId="77777777" w:rsidR="009A79EE" w:rsidRDefault="009A79EE" w:rsidP="005F5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E54"/>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53980"/>
    <w:multiLevelType w:val="multilevel"/>
    <w:tmpl w:val="44468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ind w:left="3420" w:hanging="360"/>
      </w:pPr>
      <w:rPr>
        <w:rFonts w:asciiTheme="minorHAnsi" w:eastAsiaTheme="minorHAnsi" w:hAnsiTheme="minorHAnsi" w:cstheme="minorBidi" w:hint="default"/>
        <w:color w:val="auto"/>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1859F"/>
    <w:multiLevelType w:val="hybridMultilevel"/>
    <w:tmpl w:val="03566DBE"/>
    <w:lvl w:ilvl="0" w:tplc="7DB6368C">
      <w:start w:val="1"/>
      <w:numFmt w:val="decimal"/>
      <w:lvlText w:val="%1."/>
      <w:lvlJc w:val="left"/>
      <w:pPr>
        <w:ind w:left="720" w:hanging="360"/>
      </w:pPr>
    </w:lvl>
    <w:lvl w:ilvl="1" w:tplc="26E6AD64">
      <w:start w:val="1"/>
      <w:numFmt w:val="decimal"/>
      <w:lvlText w:val="%2."/>
      <w:lvlJc w:val="left"/>
      <w:pPr>
        <w:ind w:left="1440" w:hanging="360"/>
      </w:pPr>
    </w:lvl>
    <w:lvl w:ilvl="2" w:tplc="79F4FA4A">
      <w:start w:val="1"/>
      <w:numFmt w:val="lowerRoman"/>
      <w:lvlText w:val="%3."/>
      <w:lvlJc w:val="right"/>
      <w:pPr>
        <w:ind w:left="2160" w:hanging="180"/>
      </w:pPr>
    </w:lvl>
    <w:lvl w:ilvl="3" w:tplc="6F8A65D0">
      <w:start w:val="1"/>
      <w:numFmt w:val="decimal"/>
      <w:lvlText w:val="%4."/>
      <w:lvlJc w:val="left"/>
      <w:pPr>
        <w:ind w:left="2880" w:hanging="360"/>
      </w:pPr>
    </w:lvl>
    <w:lvl w:ilvl="4" w:tplc="6554D378">
      <w:start w:val="1"/>
      <w:numFmt w:val="lowerLetter"/>
      <w:lvlText w:val="%5."/>
      <w:lvlJc w:val="left"/>
      <w:pPr>
        <w:ind w:left="3600" w:hanging="360"/>
      </w:pPr>
    </w:lvl>
    <w:lvl w:ilvl="5" w:tplc="3C6EC39E">
      <w:start w:val="1"/>
      <w:numFmt w:val="lowerRoman"/>
      <w:lvlText w:val="%6."/>
      <w:lvlJc w:val="right"/>
      <w:pPr>
        <w:ind w:left="4320" w:hanging="180"/>
      </w:pPr>
    </w:lvl>
    <w:lvl w:ilvl="6" w:tplc="10305624">
      <w:start w:val="1"/>
      <w:numFmt w:val="decimal"/>
      <w:lvlText w:val="%7."/>
      <w:lvlJc w:val="left"/>
      <w:pPr>
        <w:ind w:left="5040" w:hanging="360"/>
      </w:pPr>
    </w:lvl>
    <w:lvl w:ilvl="7" w:tplc="2C3ECAEA">
      <w:start w:val="1"/>
      <w:numFmt w:val="lowerLetter"/>
      <w:lvlText w:val="%8."/>
      <w:lvlJc w:val="left"/>
      <w:pPr>
        <w:ind w:left="5760" w:hanging="360"/>
      </w:pPr>
    </w:lvl>
    <w:lvl w:ilvl="8" w:tplc="2B1ACCEA">
      <w:start w:val="1"/>
      <w:numFmt w:val="lowerRoman"/>
      <w:lvlText w:val="%9."/>
      <w:lvlJc w:val="right"/>
      <w:pPr>
        <w:ind w:left="6480" w:hanging="180"/>
      </w:pPr>
    </w:lvl>
  </w:abstractNum>
  <w:abstractNum w:abstractNumId="3" w15:restartNumberingAfterBreak="0">
    <w:nsid w:val="2BA04E6D"/>
    <w:multiLevelType w:val="hybridMultilevel"/>
    <w:tmpl w:val="E4DEDE9A"/>
    <w:lvl w:ilvl="0" w:tplc="6162700C">
      <w:start w:val="12"/>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2C665A"/>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62F9F"/>
    <w:multiLevelType w:val="hybridMultilevel"/>
    <w:tmpl w:val="E4460108"/>
    <w:lvl w:ilvl="0" w:tplc="CD525A46">
      <w:start w:val="1"/>
      <w:numFmt w:val="lowerLetter"/>
      <w:lvlText w:val="(%1)"/>
      <w:lvlJc w:val="left"/>
      <w:pPr>
        <w:ind w:left="720" w:hanging="360"/>
      </w:pPr>
    </w:lvl>
    <w:lvl w:ilvl="1" w:tplc="A9D856B8">
      <w:start w:val="1"/>
      <w:numFmt w:val="lowerLetter"/>
      <w:lvlText w:val="%2."/>
      <w:lvlJc w:val="left"/>
      <w:pPr>
        <w:ind w:left="1440" w:hanging="360"/>
      </w:pPr>
    </w:lvl>
    <w:lvl w:ilvl="2" w:tplc="56AEAFBC">
      <w:start w:val="1"/>
      <w:numFmt w:val="lowerRoman"/>
      <w:lvlText w:val="%3."/>
      <w:lvlJc w:val="right"/>
      <w:pPr>
        <w:ind w:left="2160" w:hanging="180"/>
      </w:pPr>
    </w:lvl>
    <w:lvl w:ilvl="3" w:tplc="6DDC1BA8">
      <w:start w:val="1"/>
      <w:numFmt w:val="decimal"/>
      <w:lvlText w:val="%4."/>
      <w:lvlJc w:val="left"/>
      <w:pPr>
        <w:ind w:left="2880" w:hanging="360"/>
      </w:pPr>
    </w:lvl>
    <w:lvl w:ilvl="4" w:tplc="68C4A462">
      <w:start w:val="1"/>
      <w:numFmt w:val="lowerLetter"/>
      <w:lvlText w:val="%5."/>
      <w:lvlJc w:val="left"/>
      <w:pPr>
        <w:ind w:left="3600" w:hanging="360"/>
      </w:pPr>
    </w:lvl>
    <w:lvl w:ilvl="5" w:tplc="C6B00C42">
      <w:start w:val="1"/>
      <w:numFmt w:val="lowerRoman"/>
      <w:lvlText w:val="%6."/>
      <w:lvlJc w:val="right"/>
      <w:pPr>
        <w:ind w:left="4320" w:hanging="180"/>
      </w:pPr>
    </w:lvl>
    <w:lvl w:ilvl="6" w:tplc="86A0075E">
      <w:start w:val="1"/>
      <w:numFmt w:val="decimal"/>
      <w:lvlText w:val="%7."/>
      <w:lvlJc w:val="left"/>
      <w:pPr>
        <w:ind w:left="5040" w:hanging="360"/>
      </w:pPr>
    </w:lvl>
    <w:lvl w:ilvl="7" w:tplc="F642DDA4">
      <w:start w:val="1"/>
      <w:numFmt w:val="lowerLetter"/>
      <w:lvlText w:val="%8."/>
      <w:lvlJc w:val="left"/>
      <w:pPr>
        <w:ind w:left="5760" w:hanging="360"/>
      </w:pPr>
    </w:lvl>
    <w:lvl w:ilvl="8" w:tplc="5DAE7132">
      <w:start w:val="1"/>
      <w:numFmt w:val="lowerRoman"/>
      <w:lvlText w:val="%9."/>
      <w:lvlJc w:val="right"/>
      <w:pPr>
        <w:ind w:left="6480" w:hanging="180"/>
      </w:pPr>
    </w:lvl>
  </w:abstractNum>
  <w:abstractNum w:abstractNumId="6" w15:restartNumberingAfterBreak="0">
    <w:nsid w:val="3F915E53"/>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1E4CC"/>
    <w:multiLevelType w:val="hybridMultilevel"/>
    <w:tmpl w:val="4844C674"/>
    <w:lvl w:ilvl="0" w:tplc="F692DA80">
      <w:start w:val="1"/>
      <w:numFmt w:val="decimal"/>
      <w:lvlText w:val="%1."/>
      <w:lvlJc w:val="left"/>
      <w:pPr>
        <w:ind w:left="720" w:hanging="360"/>
      </w:pPr>
    </w:lvl>
    <w:lvl w:ilvl="1" w:tplc="EAC09022">
      <w:start w:val="1"/>
      <w:numFmt w:val="lowerLetter"/>
      <w:lvlText w:val="%2."/>
      <w:lvlJc w:val="left"/>
      <w:pPr>
        <w:ind w:left="1440" w:hanging="360"/>
      </w:pPr>
    </w:lvl>
    <w:lvl w:ilvl="2" w:tplc="0814664C">
      <w:start w:val="1"/>
      <w:numFmt w:val="lowerRoman"/>
      <w:lvlText w:val="%3."/>
      <w:lvlJc w:val="right"/>
      <w:pPr>
        <w:ind w:left="2160" w:hanging="180"/>
      </w:pPr>
    </w:lvl>
    <w:lvl w:ilvl="3" w:tplc="08CCE11E">
      <w:start w:val="1"/>
      <w:numFmt w:val="decimal"/>
      <w:lvlText w:val="%4."/>
      <w:lvlJc w:val="left"/>
      <w:pPr>
        <w:ind w:left="2880" w:hanging="360"/>
      </w:pPr>
    </w:lvl>
    <w:lvl w:ilvl="4" w:tplc="C3FE7692">
      <w:start w:val="1"/>
      <w:numFmt w:val="lowerLetter"/>
      <w:lvlText w:val="%5."/>
      <w:lvlJc w:val="left"/>
      <w:pPr>
        <w:ind w:left="3600" w:hanging="360"/>
      </w:pPr>
    </w:lvl>
    <w:lvl w:ilvl="5" w:tplc="1E3EA022">
      <w:start w:val="1"/>
      <w:numFmt w:val="lowerRoman"/>
      <w:lvlText w:val="%6."/>
      <w:lvlJc w:val="right"/>
      <w:pPr>
        <w:ind w:left="4320" w:hanging="180"/>
      </w:pPr>
    </w:lvl>
    <w:lvl w:ilvl="6" w:tplc="CD06DCEC">
      <w:start w:val="1"/>
      <w:numFmt w:val="decimal"/>
      <w:lvlText w:val="%7."/>
      <w:lvlJc w:val="left"/>
      <w:pPr>
        <w:ind w:left="5040" w:hanging="360"/>
      </w:pPr>
    </w:lvl>
    <w:lvl w:ilvl="7" w:tplc="C8F015D4">
      <w:start w:val="1"/>
      <w:numFmt w:val="lowerLetter"/>
      <w:lvlText w:val="%8."/>
      <w:lvlJc w:val="left"/>
      <w:pPr>
        <w:ind w:left="5760" w:hanging="360"/>
      </w:pPr>
    </w:lvl>
    <w:lvl w:ilvl="8" w:tplc="E0FCD5A2">
      <w:start w:val="1"/>
      <w:numFmt w:val="lowerRoman"/>
      <w:lvlText w:val="%9."/>
      <w:lvlJc w:val="right"/>
      <w:pPr>
        <w:ind w:left="6480" w:hanging="180"/>
      </w:pPr>
    </w:lvl>
  </w:abstractNum>
  <w:abstractNum w:abstractNumId="8" w15:restartNumberingAfterBreak="0">
    <w:nsid w:val="4E8059B2"/>
    <w:multiLevelType w:val="multilevel"/>
    <w:tmpl w:val="7D9C6A50"/>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9" w15:restartNumberingAfterBreak="0">
    <w:nsid w:val="541A3DA5"/>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833EE"/>
    <w:multiLevelType w:val="multilevel"/>
    <w:tmpl w:val="DCC4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CF6546"/>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587993"/>
    <w:multiLevelType w:val="multilevel"/>
    <w:tmpl w:val="865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66706">
    <w:abstractNumId w:val="2"/>
  </w:num>
  <w:num w:numId="2" w16cid:durableId="2052218429">
    <w:abstractNumId w:val="7"/>
  </w:num>
  <w:num w:numId="3" w16cid:durableId="597566515">
    <w:abstractNumId w:val="5"/>
  </w:num>
  <w:num w:numId="4" w16cid:durableId="2053842716">
    <w:abstractNumId w:val="8"/>
  </w:num>
  <w:num w:numId="5" w16cid:durableId="1926956693">
    <w:abstractNumId w:val="11"/>
  </w:num>
  <w:num w:numId="6" w16cid:durableId="1765222125">
    <w:abstractNumId w:val="10"/>
  </w:num>
  <w:num w:numId="7" w16cid:durableId="1068461552">
    <w:abstractNumId w:val="1"/>
  </w:num>
  <w:num w:numId="8" w16cid:durableId="724598732">
    <w:abstractNumId w:val="12"/>
  </w:num>
  <w:num w:numId="9" w16cid:durableId="347873179">
    <w:abstractNumId w:val="9"/>
  </w:num>
  <w:num w:numId="10" w16cid:durableId="1423381193">
    <w:abstractNumId w:val="6"/>
  </w:num>
  <w:num w:numId="11" w16cid:durableId="1772580468">
    <w:abstractNumId w:val="4"/>
  </w:num>
  <w:num w:numId="12" w16cid:durableId="1879975890">
    <w:abstractNumId w:val="0"/>
  </w:num>
  <w:num w:numId="13" w16cid:durableId="2673962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C1"/>
    <w:rsid w:val="00000439"/>
    <w:rsid w:val="00003322"/>
    <w:rsid w:val="00004413"/>
    <w:rsid w:val="00007921"/>
    <w:rsid w:val="000162D2"/>
    <w:rsid w:val="000329D5"/>
    <w:rsid w:val="00033CC3"/>
    <w:rsid w:val="00036E90"/>
    <w:rsid w:val="00037607"/>
    <w:rsid w:val="000419A0"/>
    <w:rsid w:val="00042627"/>
    <w:rsid w:val="000430FF"/>
    <w:rsid w:val="00052763"/>
    <w:rsid w:val="000531F9"/>
    <w:rsid w:val="00064277"/>
    <w:rsid w:val="00064351"/>
    <w:rsid w:val="00064EFD"/>
    <w:rsid w:val="00073B9F"/>
    <w:rsid w:val="00077047"/>
    <w:rsid w:val="00090E82"/>
    <w:rsid w:val="00093AFB"/>
    <w:rsid w:val="000959CD"/>
    <w:rsid w:val="000970E6"/>
    <w:rsid w:val="000A3B20"/>
    <w:rsid w:val="000A3C83"/>
    <w:rsid w:val="000A46B4"/>
    <w:rsid w:val="000A58DF"/>
    <w:rsid w:val="000B492B"/>
    <w:rsid w:val="000B7BE5"/>
    <w:rsid w:val="000D5032"/>
    <w:rsid w:val="000D53CD"/>
    <w:rsid w:val="000D6AE9"/>
    <w:rsid w:val="000D7A15"/>
    <w:rsid w:val="000F11B2"/>
    <w:rsid w:val="000F6695"/>
    <w:rsid w:val="000F6BA0"/>
    <w:rsid w:val="000F6E26"/>
    <w:rsid w:val="000F7A86"/>
    <w:rsid w:val="000F7EC4"/>
    <w:rsid w:val="001004A8"/>
    <w:rsid w:val="00105B59"/>
    <w:rsid w:val="00116CEB"/>
    <w:rsid w:val="001216D7"/>
    <w:rsid w:val="00124450"/>
    <w:rsid w:val="00130C56"/>
    <w:rsid w:val="0014107B"/>
    <w:rsid w:val="00145ECB"/>
    <w:rsid w:val="001461E1"/>
    <w:rsid w:val="00151435"/>
    <w:rsid w:val="00151DC9"/>
    <w:rsid w:val="001537B8"/>
    <w:rsid w:val="00154E3A"/>
    <w:rsid w:val="001656B0"/>
    <w:rsid w:val="00170A62"/>
    <w:rsid w:val="00172424"/>
    <w:rsid w:val="00172D3E"/>
    <w:rsid w:val="00182545"/>
    <w:rsid w:val="001849FA"/>
    <w:rsid w:val="00186611"/>
    <w:rsid w:val="00190889"/>
    <w:rsid w:val="001A1E18"/>
    <w:rsid w:val="001A58D7"/>
    <w:rsid w:val="001B663C"/>
    <w:rsid w:val="001C42DD"/>
    <w:rsid w:val="001E1DF3"/>
    <w:rsid w:val="001E280A"/>
    <w:rsid w:val="001E518D"/>
    <w:rsid w:val="001E7C7D"/>
    <w:rsid w:val="001F1468"/>
    <w:rsid w:val="001F6542"/>
    <w:rsid w:val="00200B6E"/>
    <w:rsid w:val="00200C88"/>
    <w:rsid w:val="002012C1"/>
    <w:rsid w:val="00201B9A"/>
    <w:rsid w:val="002035D4"/>
    <w:rsid w:val="002110D5"/>
    <w:rsid w:val="00213645"/>
    <w:rsid w:val="0021553D"/>
    <w:rsid w:val="00215830"/>
    <w:rsid w:val="00223AE7"/>
    <w:rsid w:val="00223AF6"/>
    <w:rsid w:val="00224BB0"/>
    <w:rsid w:val="0022709B"/>
    <w:rsid w:val="002327E9"/>
    <w:rsid w:val="00232960"/>
    <w:rsid w:val="00234454"/>
    <w:rsid w:val="00237721"/>
    <w:rsid w:val="00245611"/>
    <w:rsid w:val="00251AC9"/>
    <w:rsid w:val="00252592"/>
    <w:rsid w:val="00254EC6"/>
    <w:rsid w:val="0026112E"/>
    <w:rsid w:val="0026403E"/>
    <w:rsid w:val="00264D83"/>
    <w:rsid w:val="00265C93"/>
    <w:rsid w:val="00270B98"/>
    <w:rsid w:val="00274214"/>
    <w:rsid w:val="002774BA"/>
    <w:rsid w:val="00280D5C"/>
    <w:rsid w:val="00280E2F"/>
    <w:rsid w:val="00281537"/>
    <w:rsid w:val="00282081"/>
    <w:rsid w:val="002847EB"/>
    <w:rsid w:val="00290EAD"/>
    <w:rsid w:val="00291DDF"/>
    <w:rsid w:val="002924BE"/>
    <w:rsid w:val="00293CE5"/>
    <w:rsid w:val="002949CD"/>
    <w:rsid w:val="002A2B9C"/>
    <w:rsid w:val="002A6762"/>
    <w:rsid w:val="002A7485"/>
    <w:rsid w:val="002B35B3"/>
    <w:rsid w:val="002B7489"/>
    <w:rsid w:val="002D111A"/>
    <w:rsid w:val="002E019C"/>
    <w:rsid w:val="002E44C5"/>
    <w:rsid w:val="002E73C2"/>
    <w:rsid w:val="002F1835"/>
    <w:rsid w:val="002F3358"/>
    <w:rsid w:val="002F7C05"/>
    <w:rsid w:val="00301B81"/>
    <w:rsid w:val="0030535C"/>
    <w:rsid w:val="00315C59"/>
    <w:rsid w:val="00321471"/>
    <w:rsid w:val="00330CEB"/>
    <w:rsid w:val="003321E3"/>
    <w:rsid w:val="0034245B"/>
    <w:rsid w:val="003607BB"/>
    <w:rsid w:val="003703BD"/>
    <w:rsid w:val="00370C66"/>
    <w:rsid w:val="003833D6"/>
    <w:rsid w:val="00393511"/>
    <w:rsid w:val="003A376D"/>
    <w:rsid w:val="003A47D3"/>
    <w:rsid w:val="003B6545"/>
    <w:rsid w:val="003C274D"/>
    <w:rsid w:val="003E3C41"/>
    <w:rsid w:val="003F1F96"/>
    <w:rsid w:val="003F66F9"/>
    <w:rsid w:val="003F73FD"/>
    <w:rsid w:val="004068BA"/>
    <w:rsid w:val="00407C1A"/>
    <w:rsid w:val="00410033"/>
    <w:rsid w:val="0041050F"/>
    <w:rsid w:val="004146D5"/>
    <w:rsid w:val="0041622A"/>
    <w:rsid w:val="004262DC"/>
    <w:rsid w:val="00426879"/>
    <w:rsid w:val="004317B7"/>
    <w:rsid w:val="00441841"/>
    <w:rsid w:val="004442DF"/>
    <w:rsid w:val="004445C2"/>
    <w:rsid w:val="00447364"/>
    <w:rsid w:val="004477F3"/>
    <w:rsid w:val="00454622"/>
    <w:rsid w:val="00460E07"/>
    <w:rsid w:val="004617D9"/>
    <w:rsid w:val="0046307E"/>
    <w:rsid w:val="0046493C"/>
    <w:rsid w:val="0046612C"/>
    <w:rsid w:val="0046634D"/>
    <w:rsid w:val="004674F6"/>
    <w:rsid w:val="00472422"/>
    <w:rsid w:val="00475F6D"/>
    <w:rsid w:val="0048299F"/>
    <w:rsid w:val="00492827"/>
    <w:rsid w:val="00496183"/>
    <w:rsid w:val="00497B0E"/>
    <w:rsid w:val="004A394B"/>
    <w:rsid w:val="004A3EA2"/>
    <w:rsid w:val="004A414C"/>
    <w:rsid w:val="004B1122"/>
    <w:rsid w:val="004B2AEB"/>
    <w:rsid w:val="004B3431"/>
    <w:rsid w:val="004C5C0B"/>
    <w:rsid w:val="004C6770"/>
    <w:rsid w:val="004C72C9"/>
    <w:rsid w:val="004C7B7D"/>
    <w:rsid w:val="004D045A"/>
    <w:rsid w:val="004D0927"/>
    <w:rsid w:val="004D3B48"/>
    <w:rsid w:val="004E26AE"/>
    <w:rsid w:val="004F7247"/>
    <w:rsid w:val="00500BB3"/>
    <w:rsid w:val="00500E05"/>
    <w:rsid w:val="005142C6"/>
    <w:rsid w:val="0051570E"/>
    <w:rsid w:val="00520BCA"/>
    <w:rsid w:val="00521A9F"/>
    <w:rsid w:val="005349D3"/>
    <w:rsid w:val="005354F4"/>
    <w:rsid w:val="00537B11"/>
    <w:rsid w:val="00546644"/>
    <w:rsid w:val="00547CE5"/>
    <w:rsid w:val="00553FF5"/>
    <w:rsid w:val="00560E2B"/>
    <w:rsid w:val="005615CF"/>
    <w:rsid w:val="0056428B"/>
    <w:rsid w:val="005772EC"/>
    <w:rsid w:val="00584B85"/>
    <w:rsid w:val="00585738"/>
    <w:rsid w:val="005868A6"/>
    <w:rsid w:val="0059021E"/>
    <w:rsid w:val="005A5E25"/>
    <w:rsid w:val="005A7C5C"/>
    <w:rsid w:val="005B4A62"/>
    <w:rsid w:val="005B4B39"/>
    <w:rsid w:val="005C511D"/>
    <w:rsid w:val="005C5F83"/>
    <w:rsid w:val="005D3DDC"/>
    <w:rsid w:val="005E4386"/>
    <w:rsid w:val="005F419C"/>
    <w:rsid w:val="005F5AC9"/>
    <w:rsid w:val="005F6501"/>
    <w:rsid w:val="005F70AE"/>
    <w:rsid w:val="0060735B"/>
    <w:rsid w:val="00611002"/>
    <w:rsid w:val="006159D7"/>
    <w:rsid w:val="006175AC"/>
    <w:rsid w:val="00621B2A"/>
    <w:rsid w:val="00624C45"/>
    <w:rsid w:val="00626FCE"/>
    <w:rsid w:val="00631837"/>
    <w:rsid w:val="00635B42"/>
    <w:rsid w:val="00637E54"/>
    <w:rsid w:val="006433B4"/>
    <w:rsid w:val="00646DC7"/>
    <w:rsid w:val="00647F53"/>
    <w:rsid w:val="00651835"/>
    <w:rsid w:val="0065357E"/>
    <w:rsid w:val="0066266F"/>
    <w:rsid w:val="0067110C"/>
    <w:rsid w:val="00675FCC"/>
    <w:rsid w:val="00680873"/>
    <w:rsid w:val="0068117A"/>
    <w:rsid w:val="006819B7"/>
    <w:rsid w:val="0068390E"/>
    <w:rsid w:val="00693E62"/>
    <w:rsid w:val="006B2136"/>
    <w:rsid w:val="006B7B79"/>
    <w:rsid w:val="006C797C"/>
    <w:rsid w:val="006D3DF8"/>
    <w:rsid w:val="006E0D7E"/>
    <w:rsid w:val="006E5AF5"/>
    <w:rsid w:val="006F11CE"/>
    <w:rsid w:val="006F4F33"/>
    <w:rsid w:val="006F52F7"/>
    <w:rsid w:val="00701898"/>
    <w:rsid w:val="0070218E"/>
    <w:rsid w:val="00702EBA"/>
    <w:rsid w:val="0071089E"/>
    <w:rsid w:val="00710AF1"/>
    <w:rsid w:val="00716923"/>
    <w:rsid w:val="007176B7"/>
    <w:rsid w:val="0072246E"/>
    <w:rsid w:val="007271CE"/>
    <w:rsid w:val="0072798A"/>
    <w:rsid w:val="007310B4"/>
    <w:rsid w:val="00733668"/>
    <w:rsid w:val="0073555E"/>
    <w:rsid w:val="007357F2"/>
    <w:rsid w:val="007367D5"/>
    <w:rsid w:val="00741BC8"/>
    <w:rsid w:val="007432B6"/>
    <w:rsid w:val="00753B63"/>
    <w:rsid w:val="00754A82"/>
    <w:rsid w:val="00766465"/>
    <w:rsid w:val="00766B35"/>
    <w:rsid w:val="007704A6"/>
    <w:rsid w:val="0077099C"/>
    <w:rsid w:val="00771D88"/>
    <w:rsid w:val="0077689C"/>
    <w:rsid w:val="00777772"/>
    <w:rsid w:val="00790F2F"/>
    <w:rsid w:val="007973FE"/>
    <w:rsid w:val="007A023F"/>
    <w:rsid w:val="007A0CCA"/>
    <w:rsid w:val="007C33AB"/>
    <w:rsid w:val="007C601B"/>
    <w:rsid w:val="007E01A7"/>
    <w:rsid w:val="007E4932"/>
    <w:rsid w:val="007E4E42"/>
    <w:rsid w:val="007E561C"/>
    <w:rsid w:val="007E57B6"/>
    <w:rsid w:val="007E7BB6"/>
    <w:rsid w:val="008027B6"/>
    <w:rsid w:val="0080285C"/>
    <w:rsid w:val="00813189"/>
    <w:rsid w:val="0081712B"/>
    <w:rsid w:val="008216A2"/>
    <w:rsid w:val="00824E1D"/>
    <w:rsid w:val="00826ED9"/>
    <w:rsid w:val="00835DC8"/>
    <w:rsid w:val="008364F8"/>
    <w:rsid w:val="00837CA6"/>
    <w:rsid w:val="00842983"/>
    <w:rsid w:val="00843EF8"/>
    <w:rsid w:val="00844545"/>
    <w:rsid w:val="00845890"/>
    <w:rsid w:val="00852808"/>
    <w:rsid w:val="008528BB"/>
    <w:rsid w:val="008604A4"/>
    <w:rsid w:val="00863879"/>
    <w:rsid w:val="0086684C"/>
    <w:rsid w:val="00874D54"/>
    <w:rsid w:val="00885085"/>
    <w:rsid w:val="0088730B"/>
    <w:rsid w:val="00896868"/>
    <w:rsid w:val="008A23C4"/>
    <w:rsid w:val="008A5589"/>
    <w:rsid w:val="008C0F3D"/>
    <w:rsid w:val="008D0190"/>
    <w:rsid w:val="008D22CE"/>
    <w:rsid w:val="008D6ED4"/>
    <w:rsid w:val="008E0E0A"/>
    <w:rsid w:val="008E6302"/>
    <w:rsid w:val="008E630C"/>
    <w:rsid w:val="008E6E59"/>
    <w:rsid w:val="008F162B"/>
    <w:rsid w:val="008F4F64"/>
    <w:rsid w:val="008F6919"/>
    <w:rsid w:val="008F70F4"/>
    <w:rsid w:val="00904D14"/>
    <w:rsid w:val="00910D12"/>
    <w:rsid w:val="00912269"/>
    <w:rsid w:val="009155F8"/>
    <w:rsid w:val="00925001"/>
    <w:rsid w:val="0092677D"/>
    <w:rsid w:val="009304FB"/>
    <w:rsid w:val="00942A6E"/>
    <w:rsid w:val="009456C4"/>
    <w:rsid w:val="009514A9"/>
    <w:rsid w:val="00951C41"/>
    <w:rsid w:val="00953A7A"/>
    <w:rsid w:val="009638D0"/>
    <w:rsid w:val="00975139"/>
    <w:rsid w:val="0097663A"/>
    <w:rsid w:val="009902E7"/>
    <w:rsid w:val="009956D7"/>
    <w:rsid w:val="009958B6"/>
    <w:rsid w:val="00995CA4"/>
    <w:rsid w:val="00997802"/>
    <w:rsid w:val="009A0794"/>
    <w:rsid w:val="009A5425"/>
    <w:rsid w:val="009A79EE"/>
    <w:rsid w:val="009B6395"/>
    <w:rsid w:val="009B6F7F"/>
    <w:rsid w:val="009C058F"/>
    <w:rsid w:val="009C308B"/>
    <w:rsid w:val="009C4292"/>
    <w:rsid w:val="009C59A5"/>
    <w:rsid w:val="009C77A4"/>
    <w:rsid w:val="009C7EDB"/>
    <w:rsid w:val="009D0C41"/>
    <w:rsid w:val="009D1659"/>
    <w:rsid w:val="009D1F7B"/>
    <w:rsid w:val="009D2101"/>
    <w:rsid w:val="009D52C1"/>
    <w:rsid w:val="009E104E"/>
    <w:rsid w:val="009E623B"/>
    <w:rsid w:val="009F4065"/>
    <w:rsid w:val="00A1028A"/>
    <w:rsid w:val="00A11E7E"/>
    <w:rsid w:val="00A16D58"/>
    <w:rsid w:val="00A17132"/>
    <w:rsid w:val="00A2776C"/>
    <w:rsid w:val="00A3230B"/>
    <w:rsid w:val="00A34DBD"/>
    <w:rsid w:val="00A35454"/>
    <w:rsid w:val="00A3628A"/>
    <w:rsid w:val="00A36725"/>
    <w:rsid w:val="00A3674B"/>
    <w:rsid w:val="00A4038E"/>
    <w:rsid w:val="00A4039C"/>
    <w:rsid w:val="00A4411D"/>
    <w:rsid w:val="00A47EDA"/>
    <w:rsid w:val="00A50052"/>
    <w:rsid w:val="00A506F0"/>
    <w:rsid w:val="00A507E5"/>
    <w:rsid w:val="00A5295B"/>
    <w:rsid w:val="00A52EB6"/>
    <w:rsid w:val="00A657B4"/>
    <w:rsid w:val="00A704AF"/>
    <w:rsid w:val="00A71E86"/>
    <w:rsid w:val="00A77845"/>
    <w:rsid w:val="00A84948"/>
    <w:rsid w:val="00A8649B"/>
    <w:rsid w:val="00A9196C"/>
    <w:rsid w:val="00A91DE3"/>
    <w:rsid w:val="00A939B0"/>
    <w:rsid w:val="00A97068"/>
    <w:rsid w:val="00A97E44"/>
    <w:rsid w:val="00AA5C81"/>
    <w:rsid w:val="00AA606A"/>
    <w:rsid w:val="00AA6B63"/>
    <w:rsid w:val="00AA7855"/>
    <w:rsid w:val="00AB049D"/>
    <w:rsid w:val="00AC216C"/>
    <w:rsid w:val="00AC4834"/>
    <w:rsid w:val="00AC6769"/>
    <w:rsid w:val="00AD5E7F"/>
    <w:rsid w:val="00AD67BE"/>
    <w:rsid w:val="00AF645D"/>
    <w:rsid w:val="00B01D67"/>
    <w:rsid w:val="00B02A08"/>
    <w:rsid w:val="00B16714"/>
    <w:rsid w:val="00B24452"/>
    <w:rsid w:val="00B32B3E"/>
    <w:rsid w:val="00B32C44"/>
    <w:rsid w:val="00B3454D"/>
    <w:rsid w:val="00B34A01"/>
    <w:rsid w:val="00B36DF6"/>
    <w:rsid w:val="00B4026F"/>
    <w:rsid w:val="00B456D3"/>
    <w:rsid w:val="00B468BD"/>
    <w:rsid w:val="00B5357D"/>
    <w:rsid w:val="00B53D1D"/>
    <w:rsid w:val="00B53E67"/>
    <w:rsid w:val="00B67FEE"/>
    <w:rsid w:val="00B76D3E"/>
    <w:rsid w:val="00B84358"/>
    <w:rsid w:val="00B84C32"/>
    <w:rsid w:val="00B93A7F"/>
    <w:rsid w:val="00BA3949"/>
    <w:rsid w:val="00BA54C1"/>
    <w:rsid w:val="00BB0F36"/>
    <w:rsid w:val="00BB0F43"/>
    <w:rsid w:val="00BB2F15"/>
    <w:rsid w:val="00BB5FA8"/>
    <w:rsid w:val="00BB66FF"/>
    <w:rsid w:val="00BC120C"/>
    <w:rsid w:val="00BC3963"/>
    <w:rsid w:val="00BC5A19"/>
    <w:rsid w:val="00BD0DD6"/>
    <w:rsid w:val="00BD4ADE"/>
    <w:rsid w:val="00BD536E"/>
    <w:rsid w:val="00BE0C66"/>
    <w:rsid w:val="00BE1495"/>
    <w:rsid w:val="00BE3078"/>
    <w:rsid w:val="00BE4BF2"/>
    <w:rsid w:val="00BE52DC"/>
    <w:rsid w:val="00BF6BFE"/>
    <w:rsid w:val="00C1006E"/>
    <w:rsid w:val="00C20566"/>
    <w:rsid w:val="00C20B19"/>
    <w:rsid w:val="00C21DFE"/>
    <w:rsid w:val="00C22C3D"/>
    <w:rsid w:val="00C25369"/>
    <w:rsid w:val="00C26265"/>
    <w:rsid w:val="00C321D9"/>
    <w:rsid w:val="00C33A10"/>
    <w:rsid w:val="00C35F71"/>
    <w:rsid w:val="00C47124"/>
    <w:rsid w:val="00C52DF6"/>
    <w:rsid w:val="00C52E82"/>
    <w:rsid w:val="00C53314"/>
    <w:rsid w:val="00C61385"/>
    <w:rsid w:val="00C614FD"/>
    <w:rsid w:val="00C6393E"/>
    <w:rsid w:val="00C65697"/>
    <w:rsid w:val="00C7042F"/>
    <w:rsid w:val="00C805E6"/>
    <w:rsid w:val="00C84735"/>
    <w:rsid w:val="00C965DF"/>
    <w:rsid w:val="00C966E8"/>
    <w:rsid w:val="00CA67A6"/>
    <w:rsid w:val="00CB1541"/>
    <w:rsid w:val="00CB7F6C"/>
    <w:rsid w:val="00CC7A02"/>
    <w:rsid w:val="00CD3C09"/>
    <w:rsid w:val="00CD4AEF"/>
    <w:rsid w:val="00CE4463"/>
    <w:rsid w:val="00CE5F8E"/>
    <w:rsid w:val="00CE6025"/>
    <w:rsid w:val="00CE68F7"/>
    <w:rsid w:val="00CE6D41"/>
    <w:rsid w:val="00CF183B"/>
    <w:rsid w:val="00D04703"/>
    <w:rsid w:val="00D10988"/>
    <w:rsid w:val="00D1636B"/>
    <w:rsid w:val="00D258EA"/>
    <w:rsid w:val="00D25B67"/>
    <w:rsid w:val="00D35FFC"/>
    <w:rsid w:val="00D42A79"/>
    <w:rsid w:val="00D4304E"/>
    <w:rsid w:val="00D4312D"/>
    <w:rsid w:val="00D604FF"/>
    <w:rsid w:val="00D636F1"/>
    <w:rsid w:val="00D64BA7"/>
    <w:rsid w:val="00D6601B"/>
    <w:rsid w:val="00D748F1"/>
    <w:rsid w:val="00D75542"/>
    <w:rsid w:val="00D80F6B"/>
    <w:rsid w:val="00D836A2"/>
    <w:rsid w:val="00D93F4D"/>
    <w:rsid w:val="00DA14C8"/>
    <w:rsid w:val="00DB0618"/>
    <w:rsid w:val="00DB35E8"/>
    <w:rsid w:val="00DB43D9"/>
    <w:rsid w:val="00DB490F"/>
    <w:rsid w:val="00DB5DDC"/>
    <w:rsid w:val="00DC6C98"/>
    <w:rsid w:val="00DD4249"/>
    <w:rsid w:val="00DD59A6"/>
    <w:rsid w:val="00DD7966"/>
    <w:rsid w:val="00DE6993"/>
    <w:rsid w:val="00DF07BD"/>
    <w:rsid w:val="00DF0ADB"/>
    <w:rsid w:val="00DF17A2"/>
    <w:rsid w:val="00E009E9"/>
    <w:rsid w:val="00E06A47"/>
    <w:rsid w:val="00E12C95"/>
    <w:rsid w:val="00E176A1"/>
    <w:rsid w:val="00E237D2"/>
    <w:rsid w:val="00E24C2F"/>
    <w:rsid w:val="00E2682D"/>
    <w:rsid w:val="00E27F24"/>
    <w:rsid w:val="00E324A8"/>
    <w:rsid w:val="00E460BA"/>
    <w:rsid w:val="00E47ED2"/>
    <w:rsid w:val="00E528D3"/>
    <w:rsid w:val="00E633A0"/>
    <w:rsid w:val="00E6506D"/>
    <w:rsid w:val="00E672CF"/>
    <w:rsid w:val="00E72B1D"/>
    <w:rsid w:val="00E734BC"/>
    <w:rsid w:val="00E755AA"/>
    <w:rsid w:val="00E77D33"/>
    <w:rsid w:val="00E805A8"/>
    <w:rsid w:val="00E830C3"/>
    <w:rsid w:val="00E83846"/>
    <w:rsid w:val="00E908C8"/>
    <w:rsid w:val="00EA508E"/>
    <w:rsid w:val="00EA6CE1"/>
    <w:rsid w:val="00EA783A"/>
    <w:rsid w:val="00EA7B35"/>
    <w:rsid w:val="00EB446A"/>
    <w:rsid w:val="00EB570B"/>
    <w:rsid w:val="00EB7A58"/>
    <w:rsid w:val="00ED3E6B"/>
    <w:rsid w:val="00ED57A3"/>
    <w:rsid w:val="00ED7236"/>
    <w:rsid w:val="00ED7BA1"/>
    <w:rsid w:val="00EE2731"/>
    <w:rsid w:val="00EE40AB"/>
    <w:rsid w:val="00EE5DC8"/>
    <w:rsid w:val="00EF038E"/>
    <w:rsid w:val="00EF3670"/>
    <w:rsid w:val="00F00E75"/>
    <w:rsid w:val="00F02834"/>
    <w:rsid w:val="00F036DC"/>
    <w:rsid w:val="00F062F1"/>
    <w:rsid w:val="00F069C9"/>
    <w:rsid w:val="00F211E2"/>
    <w:rsid w:val="00F21719"/>
    <w:rsid w:val="00F22D18"/>
    <w:rsid w:val="00F27B6A"/>
    <w:rsid w:val="00F32CAC"/>
    <w:rsid w:val="00F33925"/>
    <w:rsid w:val="00F34188"/>
    <w:rsid w:val="00F36899"/>
    <w:rsid w:val="00F3751A"/>
    <w:rsid w:val="00F378DE"/>
    <w:rsid w:val="00F404E0"/>
    <w:rsid w:val="00F4433B"/>
    <w:rsid w:val="00F450FF"/>
    <w:rsid w:val="00F45C7C"/>
    <w:rsid w:val="00F465E2"/>
    <w:rsid w:val="00F54CA0"/>
    <w:rsid w:val="00F60F58"/>
    <w:rsid w:val="00F6217E"/>
    <w:rsid w:val="00F66451"/>
    <w:rsid w:val="00F7163D"/>
    <w:rsid w:val="00F71E4D"/>
    <w:rsid w:val="00F74F47"/>
    <w:rsid w:val="00F75476"/>
    <w:rsid w:val="00F7664A"/>
    <w:rsid w:val="00F80F03"/>
    <w:rsid w:val="00F82757"/>
    <w:rsid w:val="00F93ED6"/>
    <w:rsid w:val="00F9601D"/>
    <w:rsid w:val="00F965D7"/>
    <w:rsid w:val="00F975BE"/>
    <w:rsid w:val="00FA6E68"/>
    <w:rsid w:val="00FB08B8"/>
    <w:rsid w:val="00FB1099"/>
    <w:rsid w:val="00FB1DB8"/>
    <w:rsid w:val="00FB3CC9"/>
    <w:rsid w:val="00FB4BD5"/>
    <w:rsid w:val="00FC5A0E"/>
    <w:rsid w:val="00FD1B6C"/>
    <w:rsid w:val="00FD34CC"/>
    <w:rsid w:val="00FD4A92"/>
    <w:rsid w:val="00FE100E"/>
    <w:rsid w:val="00FE2B77"/>
    <w:rsid w:val="00FE3589"/>
    <w:rsid w:val="00FE4939"/>
    <w:rsid w:val="00FF31D1"/>
    <w:rsid w:val="00FF7327"/>
    <w:rsid w:val="01138054"/>
    <w:rsid w:val="0138E9A1"/>
    <w:rsid w:val="01941625"/>
    <w:rsid w:val="01C5CEA9"/>
    <w:rsid w:val="01E37FF5"/>
    <w:rsid w:val="021EFA7F"/>
    <w:rsid w:val="0288C57F"/>
    <w:rsid w:val="02A9886C"/>
    <w:rsid w:val="02A99416"/>
    <w:rsid w:val="02C71FC3"/>
    <w:rsid w:val="02D6F8CF"/>
    <w:rsid w:val="043C4D6F"/>
    <w:rsid w:val="063AE358"/>
    <w:rsid w:val="06453541"/>
    <w:rsid w:val="07199BA9"/>
    <w:rsid w:val="075AF496"/>
    <w:rsid w:val="08679182"/>
    <w:rsid w:val="088B4585"/>
    <w:rsid w:val="0945150A"/>
    <w:rsid w:val="0A41A0A9"/>
    <w:rsid w:val="0A6820B5"/>
    <w:rsid w:val="0AF46AC1"/>
    <w:rsid w:val="0AF5ADBC"/>
    <w:rsid w:val="0B5193C4"/>
    <w:rsid w:val="0BD06B12"/>
    <w:rsid w:val="0C6F908B"/>
    <w:rsid w:val="0C808CCF"/>
    <w:rsid w:val="0D458013"/>
    <w:rsid w:val="0EB5164B"/>
    <w:rsid w:val="0F0CB2C0"/>
    <w:rsid w:val="0F581E92"/>
    <w:rsid w:val="10886E35"/>
    <w:rsid w:val="113E7D82"/>
    <w:rsid w:val="11A830B1"/>
    <w:rsid w:val="11EA390F"/>
    <w:rsid w:val="12396886"/>
    <w:rsid w:val="13090ED6"/>
    <w:rsid w:val="131820EF"/>
    <w:rsid w:val="133AE878"/>
    <w:rsid w:val="133EB316"/>
    <w:rsid w:val="1350FA49"/>
    <w:rsid w:val="13642C82"/>
    <w:rsid w:val="13EB76DA"/>
    <w:rsid w:val="14583B46"/>
    <w:rsid w:val="145C1A41"/>
    <w:rsid w:val="15B1B6F0"/>
    <w:rsid w:val="15D43F71"/>
    <w:rsid w:val="169F0016"/>
    <w:rsid w:val="17219D17"/>
    <w:rsid w:val="18FC94A6"/>
    <w:rsid w:val="1909305B"/>
    <w:rsid w:val="190F1F43"/>
    <w:rsid w:val="19208D12"/>
    <w:rsid w:val="194E5D9A"/>
    <w:rsid w:val="197B9417"/>
    <w:rsid w:val="199BF25A"/>
    <w:rsid w:val="1A5E9D02"/>
    <w:rsid w:val="1A73BD48"/>
    <w:rsid w:val="1ABE5694"/>
    <w:rsid w:val="1C81FA0E"/>
    <w:rsid w:val="1CD55665"/>
    <w:rsid w:val="1CE82063"/>
    <w:rsid w:val="1D3A5057"/>
    <w:rsid w:val="1E38C715"/>
    <w:rsid w:val="1E8642DF"/>
    <w:rsid w:val="1EDC1734"/>
    <w:rsid w:val="1FD6F191"/>
    <w:rsid w:val="1FF2196A"/>
    <w:rsid w:val="205D8713"/>
    <w:rsid w:val="20671FB1"/>
    <w:rsid w:val="209A9B92"/>
    <w:rsid w:val="20B19E71"/>
    <w:rsid w:val="216707FF"/>
    <w:rsid w:val="21686ABB"/>
    <w:rsid w:val="21C6D33C"/>
    <w:rsid w:val="21E2ADDA"/>
    <w:rsid w:val="220811E5"/>
    <w:rsid w:val="22DD8EC9"/>
    <w:rsid w:val="22E5CEE8"/>
    <w:rsid w:val="236C3E43"/>
    <w:rsid w:val="250D6011"/>
    <w:rsid w:val="259EF627"/>
    <w:rsid w:val="2680BC41"/>
    <w:rsid w:val="2770C2F2"/>
    <w:rsid w:val="27C4753C"/>
    <w:rsid w:val="280ED99D"/>
    <w:rsid w:val="287B49BA"/>
    <w:rsid w:val="28ABBD4C"/>
    <w:rsid w:val="28BF4D3B"/>
    <w:rsid w:val="29542BFB"/>
    <w:rsid w:val="2B66F56A"/>
    <w:rsid w:val="2BE8C40B"/>
    <w:rsid w:val="2C9A646D"/>
    <w:rsid w:val="2CE52EF7"/>
    <w:rsid w:val="2D3B50A3"/>
    <w:rsid w:val="2DBD6B9A"/>
    <w:rsid w:val="2DEA6554"/>
    <w:rsid w:val="2FF60D0E"/>
    <w:rsid w:val="3059A95D"/>
    <w:rsid w:val="30CB845A"/>
    <w:rsid w:val="3168AEA7"/>
    <w:rsid w:val="32E1E8F6"/>
    <w:rsid w:val="32F917E7"/>
    <w:rsid w:val="336A88B5"/>
    <w:rsid w:val="36445760"/>
    <w:rsid w:val="3644AAC2"/>
    <w:rsid w:val="36893DA1"/>
    <w:rsid w:val="36BD2F39"/>
    <w:rsid w:val="36E1F6E0"/>
    <w:rsid w:val="377DBB2A"/>
    <w:rsid w:val="378AD897"/>
    <w:rsid w:val="391870A0"/>
    <w:rsid w:val="39209686"/>
    <w:rsid w:val="39264CC4"/>
    <w:rsid w:val="3963AC74"/>
    <w:rsid w:val="3AC27AA6"/>
    <w:rsid w:val="3BF124A7"/>
    <w:rsid w:val="3CEAA2FE"/>
    <w:rsid w:val="3D0C7406"/>
    <w:rsid w:val="3D12D0D4"/>
    <w:rsid w:val="3D7493F5"/>
    <w:rsid w:val="3E0CA931"/>
    <w:rsid w:val="3EC70C43"/>
    <w:rsid w:val="3F33CC0F"/>
    <w:rsid w:val="3F9C9269"/>
    <w:rsid w:val="3FCB2DCA"/>
    <w:rsid w:val="405298AD"/>
    <w:rsid w:val="4057DB1A"/>
    <w:rsid w:val="406E36B8"/>
    <w:rsid w:val="4098E900"/>
    <w:rsid w:val="409E68B5"/>
    <w:rsid w:val="4125BB62"/>
    <w:rsid w:val="415B3DD6"/>
    <w:rsid w:val="41B21679"/>
    <w:rsid w:val="4237CFA6"/>
    <w:rsid w:val="42DF0EC3"/>
    <w:rsid w:val="434BB7A2"/>
    <w:rsid w:val="44037482"/>
    <w:rsid w:val="44068C2C"/>
    <w:rsid w:val="4431E721"/>
    <w:rsid w:val="44818B79"/>
    <w:rsid w:val="4481EB62"/>
    <w:rsid w:val="456FC01B"/>
    <w:rsid w:val="463476F7"/>
    <w:rsid w:val="46462011"/>
    <w:rsid w:val="46503994"/>
    <w:rsid w:val="46525ADD"/>
    <w:rsid w:val="466B44BE"/>
    <w:rsid w:val="475E4F06"/>
    <w:rsid w:val="4796397F"/>
    <w:rsid w:val="483E0DCE"/>
    <w:rsid w:val="497B6F50"/>
    <w:rsid w:val="49BF483E"/>
    <w:rsid w:val="4A6EC0DE"/>
    <w:rsid w:val="4A855A24"/>
    <w:rsid w:val="4AEC7295"/>
    <w:rsid w:val="4BCAFD0B"/>
    <w:rsid w:val="4C3E3F42"/>
    <w:rsid w:val="4C99C965"/>
    <w:rsid w:val="4C9EA2F3"/>
    <w:rsid w:val="4CD29502"/>
    <w:rsid w:val="4D304B49"/>
    <w:rsid w:val="4D90D263"/>
    <w:rsid w:val="4D9EC9A9"/>
    <w:rsid w:val="4DF42EE2"/>
    <w:rsid w:val="4E7B75F5"/>
    <w:rsid w:val="4EBACA9A"/>
    <w:rsid w:val="4F4B93E6"/>
    <w:rsid w:val="4F8DE9F6"/>
    <w:rsid w:val="4F913EC9"/>
    <w:rsid w:val="504E842D"/>
    <w:rsid w:val="50B7BB91"/>
    <w:rsid w:val="5123CF38"/>
    <w:rsid w:val="514A5374"/>
    <w:rsid w:val="5188B045"/>
    <w:rsid w:val="51D3D9CC"/>
    <w:rsid w:val="529A0A96"/>
    <w:rsid w:val="529B9B13"/>
    <w:rsid w:val="5363BC59"/>
    <w:rsid w:val="538377FC"/>
    <w:rsid w:val="54CC63E8"/>
    <w:rsid w:val="551D4215"/>
    <w:rsid w:val="55566038"/>
    <w:rsid w:val="55DF286E"/>
    <w:rsid w:val="56E0DA7C"/>
    <w:rsid w:val="570B552D"/>
    <w:rsid w:val="5763F1B9"/>
    <w:rsid w:val="57737622"/>
    <w:rsid w:val="57A09225"/>
    <w:rsid w:val="57D7A1CE"/>
    <w:rsid w:val="58349910"/>
    <w:rsid w:val="587AD740"/>
    <w:rsid w:val="58964C6D"/>
    <w:rsid w:val="59E8F227"/>
    <w:rsid w:val="5A1280B5"/>
    <w:rsid w:val="5B4CA04E"/>
    <w:rsid w:val="5C4854F9"/>
    <w:rsid w:val="5CCA90F3"/>
    <w:rsid w:val="5CD778ED"/>
    <w:rsid w:val="5D0D20C8"/>
    <w:rsid w:val="5D4D87DB"/>
    <w:rsid w:val="5D8A6B7E"/>
    <w:rsid w:val="5DEDF26B"/>
    <w:rsid w:val="5E3CD703"/>
    <w:rsid w:val="5E3DABAD"/>
    <w:rsid w:val="5E691D6A"/>
    <w:rsid w:val="5E9F1BC1"/>
    <w:rsid w:val="5EDC8D8A"/>
    <w:rsid w:val="5F0393D0"/>
    <w:rsid w:val="5F407D97"/>
    <w:rsid w:val="5F7FA2FD"/>
    <w:rsid w:val="60660ACE"/>
    <w:rsid w:val="609FB839"/>
    <w:rsid w:val="61420FAA"/>
    <w:rsid w:val="6181A6EF"/>
    <w:rsid w:val="61CECBF3"/>
    <w:rsid w:val="6203F375"/>
    <w:rsid w:val="620CAB75"/>
    <w:rsid w:val="62B17A75"/>
    <w:rsid w:val="62C26FF4"/>
    <w:rsid w:val="62D6AD11"/>
    <w:rsid w:val="62DDAFA0"/>
    <w:rsid w:val="6333B11A"/>
    <w:rsid w:val="64671287"/>
    <w:rsid w:val="650F3D61"/>
    <w:rsid w:val="653ED7B5"/>
    <w:rsid w:val="65E5DE22"/>
    <w:rsid w:val="667878A7"/>
    <w:rsid w:val="667B47A0"/>
    <w:rsid w:val="66853E91"/>
    <w:rsid w:val="66FBB18B"/>
    <w:rsid w:val="6736D799"/>
    <w:rsid w:val="67875669"/>
    <w:rsid w:val="679D6757"/>
    <w:rsid w:val="67D40864"/>
    <w:rsid w:val="67D61CEF"/>
    <w:rsid w:val="68B93A8B"/>
    <w:rsid w:val="68DAC721"/>
    <w:rsid w:val="694509FD"/>
    <w:rsid w:val="69A3E9C9"/>
    <w:rsid w:val="69BC729D"/>
    <w:rsid w:val="69FF4893"/>
    <w:rsid w:val="6A25327C"/>
    <w:rsid w:val="6A96EE2A"/>
    <w:rsid w:val="6A9E984F"/>
    <w:rsid w:val="6AE5045A"/>
    <w:rsid w:val="6B66523C"/>
    <w:rsid w:val="6C193989"/>
    <w:rsid w:val="6C2126FF"/>
    <w:rsid w:val="6D5C7FC2"/>
    <w:rsid w:val="6D93E2CE"/>
    <w:rsid w:val="6DC00A63"/>
    <w:rsid w:val="6DF0938C"/>
    <w:rsid w:val="6EC80C95"/>
    <w:rsid w:val="6F335D42"/>
    <w:rsid w:val="701DE6C0"/>
    <w:rsid w:val="7051EB78"/>
    <w:rsid w:val="709D8120"/>
    <w:rsid w:val="7132AAE6"/>
    <w:rsid w:val="72C1B140"/>
    <w:rsid w:val="7378B630"/>
    <w:rsid w:val="73A427E4"/>
    <w:rsid w:val="750B0CBA"/>
    <w:rsid w:val="76AEC0F5"/>
    <w:rsid w:val="76EDAD66"/>
    <w:rsid w:val="76FCCA31"/>
    <w:rsid w:val="774EA2BB"/>
    <w:rsid w:val="784563C1"/>
    <w:rsid w:val="786E4A73"/>
    <w:rsid w:val="797433BC"/>
    <w:rsid w:val="797B977E"/>
    <w:rsid w:val="79826E77"/>
    <w:rsid w:val="7A12D497"/>
    <w:rsid w:val="7A6E748B"/>
    <w:rsid w:val="7AD858F6"/>
    <w:rsid w:val="7BA272A6"/>
    <w:rsid w:val="7C4EEAAE"/>
    <w:rsid w:val="7CB7D3C7"/>
    <w:rsid w:val="7D7686E1"/>
    <w:rsid w:val="7D789A0B"/>
    <w:rsid w:val="7E6A444F"/>
    <w:rsid w:val="7E9939DF"/>
    <w:rsid w:val="7EA84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2F60"/>
  <w15:chartTrackingRefBased/>
  <w15:docId w15:val="{D6194D24-E2CA-46A5-9FE9-386DA9D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2C1"/>
    <w:rPr>
      <w:rFonts w:eastAsiaTheme="majorEastAsia" w:cstheme="majorBidi"/>
      <w:color w:val="272727" w:themeColor="text1" w:themeTint="D8"/>
    </w:rPr>
  </w:style>
  <w:style w:type="paragraph" w:styleId="Title">
    <w:name w:val="Title"/>
    <w:basedOn w:val="Normal"/>
    <w:next w:val="Normal"/>
    <w:link w:val="TitleChar"/>
    <w:uiPriority w:val="10"/>
    <w:qFormat/>
    <w:rsid w:val="009D5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2C1"/>
    <w:pPr>
      <w:spacing w:before="160"/>
      <w:jc w:val="center"/>
    </w:pPr>
    <w:rPr>
      <w:i/>
      <w:iCs/>
      <w:color w:val="404040" w:themeColor="text1" w:themeTint="BF"/>
    </w:rPr>
  </w:style>
  <w:style w:type="character" w:customStyle="1" w:styleId="QuoteChar">
    <w:name w:val="Quote Char"/>
    <w:basedOn w:val="DefaultParagraphFont"/>
    <w:link w:val="Quote"/>
    <w:uiPriority w:val="29"/>
    <w:rsid w:val="009D52C1"/>
    <w:rPr>
      <w:i/>
      <w:iCs/>
      <w:color w:val="404040" w:themeColor="text1" w:themeTint="BF"/>
    </w:rPr>
  </w:style>
  <w:style w:type="paragraph" w:styleId="ListParagraph">
    <w:name w:val="List Paragraph"/>
    <w:basedOn w:val="Normal"/>
    <w:uiPriority w:val="34"/>
    <w:qFormat/>
    <w:rsid w:val="009D52C1"/>
    <w:pPr>
      <w:ind w:left="720"/>
      <w:contextualSpacing/>
    </w:pPr>
  </w:style>
  <w:style w:type="character" w:styleId="IntenseEmphasis">
    <w:name w:val="Intense Emphasis"/>
    <w:basedOn w:val="DefaultParagraphFont"/>
    <w:uiPriority w:val="21"/>
    <w:qFormat/>
    <w:rsid w:val="009D52C1"/>
    <w:rPr>
      <w:i/>
      <w:iCs/>
      <w:color w:val="0F4761" w:themeColor="accent1" w:themeShade="BF"/>
    </w:rPr>
  </w:style>
  <w:style w:type="paragraph" w:styleId="IntenseQuote">
    <w:name w:val="Intense Quote"/>
    <w:basedOn w:val="Normal"/>
    <w:next w:val="Normal"/>
    <w:link w:val="IntenseQuoteChar"/>
    <w:uiPriority w:val="30"/>
    <w:qFormat/>
    <w:rsid w:val="009D5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2C1"/>
    <w:rPr>
      <w:i/>
      <w:iCs/>
      <w:color w:val="0F4761" w:themeColor="accent1" w:themeShade="BF"/>
    </w:rPr>
  </w:style>
  <w:style w:type="character" w:styleId="IntenseReference">
    <w:name w:val="Intense Reference"/>
    <w:basedOn w:val="DefaultParagraphFont"/>
    <w:uiPriority w:val="32"/>
    <w:qFormat/>
    <w:rsid w:val="009D52C1"/>
    <w:rPr>
      <w:b/>
      <w:bCs/>
      <w:smallCaps/>
      <w:color w:val="0F4761" w:themeColor="accent1" w:themeShade="BF"/>
      <w:spacing w:val="5"/>
    </w:rPr>
  </w:style>
  <w:style w:type="numbering" w:customStyle="1" w:styleId="NoList1">
    <w:name w:val="No List1"/>
    <w:next w:val="NoList"/>
    <w:uiPriority w:val="99"/>
    <w:semiHidden/>
    <w:unhideWhenUsed/>
    <w:rsid w:val="009D52C1"/>
  </w:style>
  <w:style w:type="paragraph" w:customStyle="1" w:styleId="msonormal0">
    <w:name w:val="msonorma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52C1"/>
    <w:rPr>
      <w:color w:val="0000FF"/>
      <w:u w:val="single"/>
    </w:rPr>
  </w:style>
  <w:style w:type="character" w:styleId="FollowedHyperlink">
    <w:name w:val="FollowedHyperlink"/>
    <w:basedOn w:val="DefaultParagraphFont"/>
    <w:uiPriority w:val="99"/>
    <w:semiHidden/>
    <w:unhideWhenUsed/>
    <w:rsid w:val="009D52C1"/>
    <w:rPr>
      <w:color w:val="800080"/>
      <w:u w:val="single"/>
    </w:rPr>
  </w:style>
  <w:style w:type="paragraph" w:customStyle="1" w:styleId="small">
    <w:name w:val="smal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5">
    <w:name w:val="mt-5"/>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75476"/>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B48"/>
    <w:rPr>
      <w:b/>
      <w:bCs/>
    </w:rPr>
  </w:style>
  <w:style w:type="character" w:customStyle="1" w:styleId="CommentSubjectChar">
    <w:name w:val="Comment Subject Char"/>
    <w:basedOn w:val="CommentTextChar"/>
    <w:link w:val="CommentSubject"/>
    <w:uiPriority w:val="99"/>
    <w:semiHidden/>
    <w:rsid w:val="004D3B48"/>
    <w:rPr>
      <w:b/>
      <w:bCs/>
      <w:sz w:val="20"/>
      <w:szCs w:val="20"/>
    </w:rPr>
  </w:style>
  <w:style w:type="character" w:styleId="Mention">
    <w:name w:val="Mention"/>
    <w:basedOn w:val="DefaultParagraphFont"/>
    <w:uiPriority w:val="99"/>
    <w:unhideWhenUsed/>
    <w:rsid w:val="00CD3C09"/>
    <w:rPr>
      <w:color w:val="2B579A"/>
      <w:shd w:val="clear" w:color="auto" w:fill="E6E6E6"/>
    </w:rPr>
  </w:style>
  <w:style w:type="character" w:styleId="UnresolvedMention">
    <w:name w:val="Unresolved Mention"/>
    <w:basedOn w:val="DefaultParagraphFont"/>
    <w:uiPriority w:val="99"/>
    <w:semiHidden/>
    <w:unhideWhenUsed/>
    <w:rsid w:val="009958B6"/>
    <w:rPr>
      <w:color w:val="605E5C"/>
      <w:shd w:val="clear" w:color="auto" w:fill="E1DFDD"/>
    </w:rPr>
  </w:style>
  <w:style w:type="character" w:customStyle="1" w:styleId="normaltextrun">
    <w:name w:val="normaltextrun"/>
    <w:basedOn w:val="DefaultParagraphFont"/>
    <w:rsid w:val="00F7163D"/>
  </w:style>
  <w:style w:type="paragraph" w:styleId="Header">
    <w:name w:val="header"/>
    <w:basedOn w:val="Normal"/>
    <w:link w:val="HeaderChar"/>
    <w:uiPriority w:val="99"/>
    <w:unhideWhenUsed/>
    <w:rsid w:val="005F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AC9"/>
  </w:style>
  <w:style w:type="paragraph" w:styleId="Footer">
    <w:name w:val="footer"/>
    <w:basedOn w:val="Normal"/>
    <w:link w:val="FooterChar"/>
    <w:uiPriority w:val="99"/>
    <w:unhideWhenUsed/>
    <w:rsid w:val="005F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5973">
      <w:bodyDiv w:val="1"/>
      <w:marLeft w:val="0"/>
      <w:marRight w:val="0"/>
      <w:marTop w:val="0"/>
      <w:marBottom w:val="0"/>
      <w:divBdr>
        <w:top w:val="none" w:sz="0" w:space="0" w:color="auto"/>
        <w:left w:val="none" w:sz="0" w:space="0" w:color="auto"/>
        <w:bottom w:val="none" w:sz="0" w:space="0" w:color="auto"/>
        <w:right w:val="none" w:sz="0" w:space="0" w:color="auto"/>
      </w:divBdr>
    </w:div>
    <w:div w:id="2078626481">
      <w:bodyDiv w:val="1"/>
      <w:marLeft w:val="0"/>
      <w:marRight w:val="0"/>
      <w:marTop w:val="0"/>
      <w:marBottom w:val="0"/>
      <w:divBdr>
        <w:top w:val="none" w:sz="0" w:space="0" w:color="auto"/>
        <w:left w:val="none" w:sz="0" w:space="0" w:color="auto"/>
        <w:bottom w:val="none" w:sz="0" w:space="0" w:color="auto"/>
        <w:right w:val="none" w:sz="0" w:space="0" w:color="auto"/>
      </w:divBdr>
    </w:div>
    <w:div w:id="21150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7.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86996F0-E503-42FC-9FFB-7E3FA5FE9A77}">
    <t:Anchor>
      <t:Comment id="1395213296"/>
    </t:Anchor>
    <t:History>
      <t:Event id="{6F5B4834-BED9-423C-A210-0B513D274566}" time="2024-12-05T17:22:35.554Z">
        <t:Attribution userId="S::Lucy.A.Wall@mass.gov::fa07faa1-2c68-42e2-a6fd-e0361f5ae0cd" userProvider="AD" userName="Wall, Lucy (DESE)"/>
        <t:Anchor>
          <t:Comment id="156485850"/>
        </t:Anchor>
        <t:Create/>
      </t:Event>
      <t:Event id="{328A78B7-A125-433D-BB9C-8A4AE5829F12}" time="2024-12-05T17:22:35.554Z">
        <t:Attribution userId="S::Lucy.A.Wall@mass.gov::fa07faa1-2c68-42e2-a6fd-e0361f5ae0cd" userProvider="AD" userName="Wall, Lucy (DESE)"/>
        <t:Anchor>
          <t:Comment id="156485850"/>
        </t:Anchor>
        <t:Assign userId="S::BrianJ.Devine@mass.gov::346b85e1-426d-45fd-94c7-16db3526c885" userProvider="AD" userName="Devine, Brian J (DESE)"/>
      </t:Event>
      <t:Event id="{28677BE1-9EF9-4313-8FB7-C9296D0B8885}" time="2024-12-05T17:22:35.554Z">
        <t:Attribution userId="S::Lucy.A.Wall@mass.gov::fa07faa1-2c68-42e2-a6fd-e0361f5ae0cd" userProvider="AD" userName="Wall, Lucy (DESE)"/>
        <t:Anchor>
          <t:Comment id="156485850"/>
        </t:Anchor>
        <t:SetTitle title="@Devine, Brian J (DESE) "/>
      </t:Event>
    </t:History>
  </t:Task>
  <t:Task id="{10D69CA0-7256-454F-B39B-B6ACBD71A64D}">
    <t:Anchor>
      <t:Comment id="1485968431"/>
    </t:Anchor>
    <t:History>
      <t:Event id="{88669E68-69AF-44EA-8EF2-81C055B12ED9}" time="2024-12-03T20:44:12.773Z">
        <t:Attribution userId="S::Lucy.A.Wall@mass.gov::fa07faa1-2c68-42e2-a6fd-e0361f5ae0cd" userProvider="AD" userName="Wall, Lucy (DESE)"/>
        <t:Anchor>
          <t:Comment id="931392541"/>
        </t:Anchor>
        <t:Create/>
      </t:Event>
      <t:Event id="{49187832-E5AF-4D17-8B9F-DBAECF26AA6F}" time="2024-12-03T20:44:12.773Z">
        <t:Attribution userId="S::Lucy.A.Wall@mass.gov::fa07faa1-2c68-42e2-a6fd-e0361f5ae0cd" userProvider="AD" userName="Wall, Lucy (DESE)"/>
        <t:Anchor>
          <t:Comment id="931392541"/>
        </t:Anchor>
        <t:Assign userId="S::BrianJ.Devine@mass.gov::346b85e1-426d-45fd-94c7-16db3526c885" userProvider="AD" userName="Devine, Brian J (DESE)"/>
      </t:Event>
      <t:Event id="{B1AD0248-89C4-44BD-A5D7-AFFCADCC5F22}" time="2024-12-03T20:44:12.773Z">
        <t:Attribution userId="S::Lucy.A.Wall@mass.gov::fa07faa1-2c68-42e2-a6fd-e0361f5ae0cd" userProvider="AD" userName="Wall, Lucy (DESE)"/>
        <t:Anchor>
          <t:Comment id="931392541"/>
        </t:Anchor>
        <t:SetTitle title="@Devine, Brian J (DE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570F-5518-4710-98AF-99AAB6899B41}">
  <ds:schemaRefs>
    <ds:schemaRef ds:uri="http://schemas.microsoft.com/sharepoint/v3/contenttype/forms"/>
  </ds:schemaRefs>
</ds:datastoreItem>
</file>

<file path=customXml/itemProps2.xml><?xml version="1.0" encoding="utf-8"?>
<ds:datastoreItem xmlns:ds="http://schemas.openxmlformats.org/officeDocument/2006/customXml" ds:itemID="{85023551-E077-4008-9260-3EF0664D6F2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4DD2D0EF-CFB5-4607-A449-9E28FC68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F20F9-AE99-4F76-ADAB-B24653951EB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12</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BESE February 25, 2025 Regular Meeting Item 2 Attachment: 603 CMR 7.00 Strikethrough version — Portuguese</vt:lpstr>
    </vt:vector>
  </TitlesOfParts>
  <Company/>
  <LinksUpToDate>false</LinksUpToDate>
  <CharactersWithSpaces>24458</CharactersWithSpaces>
  <SharedDoc>false</SharedDoc>
  <HLinks>
    <vt:vector size="102" baseType="variant">
      <vt:variant>
        <vt:i4>2556020</vt:i4>
      </vt:variant>
      <vt:variant>
        <vt:i4>45</vt:i4>
      </vt:variant>
      <vt:variant>
        <vt:i4>0</vt:i4>
      </vt:variant>
      <vt:variant>
        <vt:i4>5</vt:i4>
      </vt:variant>
      <vt:variant>
        <vt:lpwstr>https://www.doe.mass.edu/lawsregs/603cmr7.html?section=all</vt:lpwstr>
      </vt:variant>
      <vt:variant>
        <vt:lpwstr/>
      </vt:variant>
      <vt:variant>
        <vt:i4>1769496</vt:i4>
      </vt:variant>
      <vt:variant>
        <vt:i4>42</vt:i4>
      </vt:variant>
      <vt:variant>
        <vt:i4>0</vt:i4>
      </vt:variant>
      <vt:variant>
        <vt:i4>5</vt:i4>
      </vt:variant>
      <vt:variant>
        <vt:lpwstr>https://www.doe.mass.edu/lawsregs/603cmr7.html?section=15</vt:lpwstr>
      </vt:variant>
      <vt:variant>
        <vt:lpwstr/>
      </vt:variant>
      <vt:variant>
        <vt:i4>1769496</vt:i4>
      </vt:variant>
      <vt:variant>
        <vt:i4>39</vt:i4>
      </vt:variant>
      <vt:variant>
        <vt:i4>0</vt:i4>
      </vt:variant>
      <vt:variant>
        <vt:i4>5</vt:i4>
      </vt:variant>
      <vt:variant>
        <vt:lpwstr>https://www.doe.mass.edu/lawsregs/603cmr7.html?section=14</vt:lpwstr>
      </vt:variant>
      <vt:variant>
        <vt:lpwstr/>
      </vt:variant>
      <vt:variant>
        <vt:i4>1769496</vt:i4>
      </vt:variant>
      <vt:variant>
        <vt:i4>36</vt:i4>
      </vt:variant>
      <vt:variant>
        <vt:i4>0</vt:i4>
      </vt:variant>
      <vt:variant>
        <vt:i4>5</vt:i4>
      </vt:variant>
      <vt:variant>
        <vt:lpwstr>https://www.doe.mass.edu/lawsregs/603cmr7.html?section=13</vt:lpwstr>
      </vt:variant>
      <vt:variant>
        <vt:lpwstr/>
      </vt:variant>
      <vt:variant>
        <vt:i4>1769496</vt:i4>
      </vt:variant>
      <vt:variant>
        <vt:i4>33</vt:i4>
      </vt:variant>
      <vt:variant>
        <vt:i4>0</vt:i4>
      </vt:variant>
      <vt:variant>
        <vt:i4>5</vt:i4>
      </vt:variant>
      <vt:variant>
        <vt:lpwstr>https://www.doe.mass.edu/lawsregs/603cmr7.html?section=12</vt:lpwstr>
      </vt:variant>
      <vt:variant>
        <vt:lpwstr/>
      </vt:variant>
      <vt:variant>
        <vt:i4>1769496</vt:i4>
      </vt:variant>
      <vt:variant>
        <vt:i4>30</vt:i4>
      </vt:variant>
      <vt:variant>
        <vt:i4>0</vt:i4>
      </vt:variant>
      <vt:variant>
        <vt:i4>5</vt:i4>
      </vt:variant>
      <vt:variant>
        <vt:lpwstr>https://www.doe.mass.edu/lawsregs/603cmr7.html?section=11</vt:lpwstr>
      </vt:variant>
      <vt:variant>
        <vt:lpwstr/>
      </vt:variant>
      <vt:variant>
        <vt:i4>1769496</vt:i4>
      </vt:variant>
      <vt:variant>
        <vt:i4>27</vt:i4>
      </vt:variant>
      <vt:variant>
        <vt:i4>0</vt:i4>
      </vt:variant>
      <vt:variant>
        <vt:i4>5</vt:i4>
      </vt:variant>
      <vt:variant>
        <vt:lpwstr>https://www.doe.mass.edu/lawsregs/603cmr7.html?section=10</vt:lpwstr>
      </vt:variant>
      <vt:variant>
        <vt:lpwstr/>
      </vt:variant>
      <vt:variant>
        <vt:i4>1703960</vt:i4>
      </vt:variant>
      <vt:variant>
        <vt:i4>24</vt:i4>
      </vt:variant>
      <vt:variant>
        <vt:i4>0</vt:i4>
      </vt:variant>
      <vt:variant>
        <vt:i4>5</vt:i4>
      </vt:variant>
      <vt:variant>
        <vt:lpwstr>https://www.doe.mass.edu/lawsregs/603cmr7.html?section=09</vt:lpwstr>
      </vt:variant>
      <vt:variant>
        <vt:lpwstr/>
      </vt:variant>
      <vt:variant>
        <vt:i4>1703960</vt:i4>
      </vt:variant>
      <vt:variant>
        <vt:i4>21</vt:i4>
      </vt:variant>
      <vt:variant>
        <vt:i4>0</vt:i4>
      </vt:variant>
      <vt:variant>
        <vt:i4>5</vt:i4>
      </vt:variant>
      <vt:variant>
        <vt:lpwstr>https://www.doe.mass.edu/lawsregs/603cmr7.html?section=08</vt:lpwstr>
      </vt:variant>
      <vt:variant>
        <vt:lpwstr/>
      </vt:variant>
      <vt:variant>
        <vt:i4>1703960</vt:i4>
      </vt:variant>
      <vt:variant>
        <vt:i4>18</vt:i4>
      </vt:variant>
      <vt:variant>
        <vt:i4>0</vt:i4>
      </vt:variant>
      <vt:variant>
        <vt:i4>5</vt:i4>
      </vt:variant>
      <vt:variant>
        <vt:lpwstr>https://www.doe.mass.edu/lawsregs/603cmr7.html?section=07</vt:lpwstr>
      </vt:variant>
      <vt:variant>
        <vt:lpwstr/>
      </vt:variant>
      <vt:variant>
        <vt:i4>1703960</vt:i4>
      </vt:variant>
      <vt:variant>
        <vt:i4>15</vt:i4>
      </vt:variant>
      <vt:variant>
        <vt:i4>0</vt:i4>
      </vt:variant>
      <vt:variant>
        <vt:i4>5</vt:i4>
      </vt:variant>
      <vt:variant>
        <vt:lpwstr>https://www.doe.mass.edu/lawsregs/603cmr7.html?section=06</vt:lpwstr>
      </vt:variant>
      <vt:variant>
        <vt:lpwstr/>
      </vt:variant>
      <vt:variant>
        <vt:i4>1703960</vt:i4>
      </vt:variant>
      <vt:variant>
        <vt:i4>12</vt:i4>
      </vt:variant>
      <vt:variant>
        <vt:i4>0</vt:i4>
      </vt:variant>
      <vt:variant>
        <vt:i4>5</vt:i4>
      </vt:variant>
      <vt:variant>
        <vt:lpwstr>https://www.doe.mass.edu/lawsregs/603cmr7.html?section=05</vt:lpwstr>
      </vt:variant>
      <vt:variant>
        <vt:lpwstr/>
      </vt:variant>
      <vt:variant>
        <vt:i4>1703960</vt:i4>
      </vt:variant>
      <vt:variant>
        <vt:i4>9</vt:i4>
      </vt:variant>
      <vt:variant>
        <vt:i4>0</vt:i4>
      </vt:variant>
      <vt:variant>
        <vt:i4>5</vt:i4>
      </vt:variant>
      <vt:variant>
        <vt:lpwstr>https://www.doe.mass.edu/lawsregs/603cmr7.html?section=04</vt:lpwstr>
      </vt:variant>
      <vt:variant>
        <vt:lpwstr/>
      </vt:variant>
      <vt:variant>
        <vt:i4>1703960</vt:i4>
      </vt:variant>
      <vt:variant>
        <vt:i4>6</vt:i4>
      </vt:variant>
      <vt:variant>
        <vt:i4>0</vt:i4>
      </vt:variant>
      <vt:variant>
        <vt:i4>5</vt:i4>
      </vt:variant>
      <vt:variant>
        <vt:lpwstr>https://www.doe.mass.edu/lawsregs/603cmr7.html?section=03</vt:lpwstr>
      </vt:variant>
      <vt:variant>
        <vt:lpwstr/>
      </vt:variant>
      <vt:variant>
        <vt:i4>1703960</vt:i4>
      </vt:variant>
      <vt:variant>
        <vt:i4>3</vt:i4>
      </vt:variant>
      <vt:variant>
        <vt:i4>0</vt:i4>
      </vt:variant>
      <vt:variant>
        <vt:i4>5</vt:i4>
      </vt:variant>
      <vt:variant>
        <vt:lpwstr>https://www.doe.mass.edu/lawsregs/603cmr7.html?section=02</vt:lpwstr>
      </vt:variant>
      <vt:variant>
        <vt:lpwstr/>
      </vt:variant>
      <vt:variant>
        <vt:i4>1703960</vt:i4>
      </vt:variant>
      <vt:variant>
        <vt:i4>0</vt:i4>
      </vt:variant>
      <vt:variant>
        <vt:i4>0</vt:i4>
      </vt:variant>
      <vt:variant>
        <vt:i4>5</vt:i4>
      </vt:variant>
      <vt:variant>
        <vt:lpwstr>https://www.doe.mass.edu/lawsregs/603cmr7.html?section=01</vt:lpwstr>
      </vt:variant>
      <vt:variant>
        <vt:lpwstr/>
      </vt:variant>
      <vt:variant>
        <vt:i4>6225969</vt:i4>
      </vt:variant>
      <vt:variant>
        <vt:i4>0</vt:i4>
      </vt:variant>
      <vt:variant>
        <vt:i4>0</vt:i4>
      </vt:variant>
      <vt:variant>
        <vt:i4>5</vt:i4>
      </vt:variant>
      <vt:variant>
        <vt:lpwstr>mailto:arabela.thomas@mass.gov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2 Attachment: 603 CMR 7.00 Strikethrough version — Portuguese</dc:title>
  <dc:subject/>
  <dc:creator>DESE</dc:creator>
  <cp:keywords/>
  <dc:description/>
  <cp:lastModifiedBy>Zou, Dong (EOE)</cp:lastModifiedBy>
  <cp:revision>20</cp:revision>
  <dcterms:created xsi:type="dcterms:W3CDTF">2025-02-18T20:00:00Z</dcterms:created>
  <dcterms:modified xsi:type="dcterms:W3CDTF">2025-02-25T20:15:00Z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2025 12:00AM</vt:lpwstr>
  </property>
</Properties>
</file>