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CE453A8" w:rsidR="004873A1" w:rsidRDefault="004873A1">
      <w:pPr>
        <w:sectPr w:rsidR="004873A1" w:rsidSect="00EE526D">
          <w:headerReference w:type="default" r:id="rId11"/>
          <w:footerReference w:type="default" r:id="rId12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4AD7404D">
        <w:tc>
          <w:tcPr>
            <w:tcW w:w="1184" w:type="dxa"/>
          </w:tcPr>
          <w:p w14:paraId="29CA0BBD" w14:textId="400E8A7B" w:rsidR="006D3FBB" w:rsidRDefault="006D3FB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26A5D6B0" w:rsidR="006D3FBB" w:rsidRDefault="00701B80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 w:rsidRPr="24F27C9E">
              <w:t>Members of the Board of Elementary and Secondary Education</w:t>
            </w:r>
          </w:p>
        </w:tc>
      </w:tr>
      <w:tr w:rsidR="006D3FBB" w14:paraId="6BADAB18" w14:textId="77777777" w:rsidTr="4AD7404D">
        <w:tc>
          <w:tcPr>
            <w:tcW w:w="1184" w:type="dxa"/>
          </w:tcPr>
          <w:p w14:paraId="7B648A85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B231371" w14:textId="6B98931C" w:rsidR="006D3FBB" w:rsidRPr="00947C0C" w:rsidRDefault="00701B80">
            <w:pPr>
              <w:pStyle w:val="Footer"/>
              <w:widowControl w:val="0"/>
            </w:pPr>
            <w:r>
              <w:t xml:space="preserve">Russell D. Johnston, Acting Commissioner  </w:t>
            </w:r>
          </w:p>
        </w:tc>
      </w:tr>
      <w:tr w:rsidR="006D3FBB" w14:paraId="77D97DD1" w14:textId="77777777" w:rsidTr="4AD7404D">
        <w:tc>
          <w:tcPr>
            <w:tcW w:w="1184" w:type="dxa"/>
          </w:tcPr>
          <w:p w14:paraId="008997C8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4C9EA89D" w:rsidR="006D3FBB" w:rsidRDefault="04F21F86">
            <w:pPr>
              <w:pStyle w:val="Footer"/>
              <w:widowControl w:val="0"/>
            </w:pPr>
            <w:r>
              <w:t xml:space="preserve">October </w:t>
            </w:r>
            <w:r w:rsidR="00701B80">
              <w:t>22, 2024</w:t>
            </w:r>
          </w:p>
        </w:tc>
      </w:tr>
      <w:tr w:rsidR="00701B80" w14:paraId="10532374" w14:textId="77777777" w:rsidTr="4AD7404D">
        <w:tc>
          <w:tcPr>
            <w:tcW w:w="1184" w:type="dxa"/>
          </w:tcPr>
          <w:p w14:paraId="6DBCAB77" w14:textId="77777777" w:rsidR="00701B80" w:rsidRDefault="00701B80" w:rsidP="00701B80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0B271E59" w:rsidR="00701B80" w:rsidRPr="007A22FF" w:rsidRDefault="00701B80" w:rsidP="00701B80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Career Technical Education (CTE) Admissions Study Session - Session 1 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EE526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0E78E9BC" w14:textId="239FA4B8" w:rsidR="00701B80" w:rsidRPr="001B019D" w:rsidRDefault="00701B80" w:rsidP="00701B80">
      <w:r>
        <w:t>In June 2021, the Board of Elementary and Secondary Education (Board) voted to amend the Career Technical Education (CTE) regulations relating to admission of students to CTE schools and programs</w:t>
      </w:r>
      <w:r w:rsidR="0086641E">
        <w:t xml:space="preserve"> -</w:t>
      </w:r>
      <w:r>
        <w:t xml:space="preserve"> </w:t>
      </w:r>
      <w:hyperlink r:id="rId13" w:history="1">
        <w:r w:rsidRPr="00D54A3A">
          <w:rPr>
            <w:rStyle w:val="Hyperlink"/>
          </w:rPr>
          <w:t>603 CMR 4.03(6)(a).</w:t>
        </w:r>
      </w:hyperlink>
      <w:r>
        <w:t xml:space="preserve"> These admissions-related amendments addressed three primary goals: </w:t>
      </w:r>
    </w:p>
    <w:p w14:paraId="4FAB8572" w14:textId="77777777" w:rsidR="00701B80" w:rsidRPr="001B019D" w:rsidRDefault="00701B80" w:rsidP="00701B80">
      <w:pPr>
        <w:numPr>
          <w:ilvl w:val="0"/>
          <w:numId w:val="1"/>
        </w:numPr>
      </w:pPr>
      <w:r>
        <w:t>Provide districts offering CTE programs with flexibility to develop data-informed local admissions policies that promote equitable access, comply with state and federal laws and regulations, and receive annual approval from the district’s school committee or board of trustees. </w:t>
      </w:r>
    </w:p>
    <w:p w14:paraId="022B5071" w14:textId="77777777" w:rsidR="00701B80" w:rsidRPr="001B019D" w:rsidRDefault="00701B80" w:rsidP="00701B80">
      <w:pPr>
        <w:numPr>
          <w:ilvl w:val="0"/>
          <w:numId w:val="2"/>
        </w:numPr>
      </w:pPr>
      <w:r>
        <w:t>Clarify the authority of the Department of Elementary and Secondary Education (DESE) to intervene in cases of non-compliance, and in such cases, to order changes to admissions policies that may include requiring a lottery.  </w:t>
      </w:r>
    </w:p>
    <w:p w14:paraId="52B9B35A" w14:textId="77777777" w:rsidR="00701B80" w:rsidRPr="001B019D" w:rsidRDefault="00701B80" w:rsidP="00701B80">
      <w:pPr>
        <w:numPr>
          <w:ilvl w:val="0"/>
          <w:numId w:val="3"/>
        </w:numPr>
      </w:pPr>
      <w:r w:rsidRPr="001B019D">
        <w:t>Improve access to information about CTE for students and families.  </w:t>
      </w:r>
    </w:p>
    <w:p w14:paraId="3922554C" w14:textId="77777777" w:rsidR="00701B80" w:rsidRPr="001B019D" w:rsidRDefault="00701B80" w:rsidP="00701B80">
      <w:r w:rsidRPr="001B019D">
        <w:t> </w:t>
      </w:r>
    </w:p>
    <w:p w14:paraId="752F07AB" w14:textId="167798CE" w:rsidR="00701B80" w:rsidRDefault="00701B80" w:rsidP="00701B80">
      <w:r>
        <w:t>The Board is holding two special meetings, October 28 and November</w:t>
      </w:r>
      <w:r w:rsidR="4CB0B18E">
        <w:t xml:space="preserve"> 18</w:t>
      </w:r>
      <w:r>
        <w:t xml:space="preserve">, to review and discuss the impact of these regulatory changes. The meeting on October 28 will focus on admission and enrollment data since implementation, including a presentation from an external researcher with expertise in Massachusetts CTE admissions data. The second meeting will include stakeholder experience in implementing the 2021 regulations. </w:t>
      </w:r>
    </w:p>
    <w:p w14:paraId="28461AC4" w14:textId="77777777" w:rsidR="00701B80" w:rsidRDefault="00701B80" w:rsidP="00701B80"/>
    <w:p w14:paraId="247D9D8F" w14:textId="5A2488A1" w:rsidR="00701B80" w:rsidRPr="00B53DAF" w:rsidRDefault="00701B80" w:rsidP="00701B80">
      <w:r>
        <w:t xml:space="preserve">These study sessions will address a key question:  </w:t>
      </w:r>
      <w:r w:rsidRPr="44C8248C">
        <w:rPr>
          <w:i/>
          <w:iCs/>
        </w:rPr>
        <w:t xml:space="preserve">What impact has the most recent regulation change had on addressing equitable access to CTE admissions? </w:t>
      </w:r>
      <w:r>
        <w:t>This information w</w:t>
      </w:r>
      <w:r w:rsidR="1891727F">
        <w:t>ill</w:t>
      </w:r>
      <w:r>
        <w:t xml:space="preserve"> contribute to any further changes to state regulations. </w:t>
      </w:r>
    </w:p>
    <w:p w14:paraId="02122DF3" w14:textId="77777777" w:rsidR="00701B80" w:rsidRDefault="00701B80" w:rsidP="00701B80">
      <w:pPr>
        <w:rPr>
          <w:i/>
          <w:iCs/>
        </w:rPr>
      </w:pPr>
    </w:p>
    <w:p w14:paraId="0E798332" w14:textId="77777777" w:rsidR="00701B80" w:rsidRDefault="00701B80" w:rsidP="00701B80">
      <w:r>
        <w:t xml:space="preserve">The meeting includes the following presenters and topics:  </w:t>
      </w:r>
    </w:p>
    <w:p w14:paraId="0AE73208" w14:textId="77777777" w:rsidR="00CF4618" w:rsidRPr="00CF4618" w:rsidRDefault="00CF4618" w:rsidP="00CF4618">
      <w:pPr>
        <w:pStyle w:val="NoSpacing"/>
        <w:numPr>
          <w:ilvl w:val="0"/>
          <w:numId w:val="9"/>
        </w:numPr>
        <w:rPr>
          <w:lang w:bidi="th-TH"/>
        </w:rPr>
      </w:pPr>
      <w:r w:rsidRPr="00CF4618">
        <w:rPr>
          <w:lang w:bidi="th-TH"/>
        </w:rPr>
        <w:t xml:space="preserve">CTE in High School Context &amp; CTE Admission Overview </w:t>
      </w:r>
    </w:p>
    <w:p w14:paraId="62771673" w14:textId="58F45D1D" w:rsidR="00CF4618" w:rsidRPr="00CF4618" w:rsidRDefault="00CF4618" w:rsidP="00CF4618">
      <w:pPr>
        <w:pStyle w:val="NoSpacing"/>
        <w:ind w:left="1440"/>
        <w:rPr>
          <w:lang w:bidi="th-TH"/>
        </w:rPr>
      </w:pPr>
      <w:r w:rsidRPr="00CF4618">
        <w:rPr>
          <w:lang w:bidi="th-TH"/>
        </w:rPr>
        <w:t>Elizabeth Bennett, Associate Commissioner</w:t>
      </w:r>
      <w:r w:rsidR="00295238">
        <w:rPr>
          <w:lang w:bidi="th-TH"/>
        </w:rPr>
        <w:t xml:space="preserve"> for</w:t>
      </w:r>
      <w:r w:rsidRPr="00CF4618">
        <w:rPr>
          <w:lang w:bidi="th-TH"/>
        </w:rPr>
        <w:t xml:space="preserve"> College, Career, and Technical Education</w:t>
      </w:r>
    </w:p>
    <w:p w14:paraId="0DA526CD" w14:textId="77777777" w:rsidR="00CF4618" w:rsidRPr="00CF4618" w:rsidRDefault="00CF4618" w:rsidP="00CF4618">
      <w:pPr>
        <w:pStyle w:val="NoSpacing"/>
        <w:numPr>
          <w:ilvl w:val="0"/>
          <w:numId w:val="9"/>
        </w:numPr>
        <w:rPr>
          <w:lang w:bidi="th-TH"/>
        </w:rPr>
      </w:pPr>
      <w:r w:rsidRPr="00CF4618">
        <w:rPr>
          <w:lang w:bidi="th-TH"/>
        </w:rPr>
        <w:lastRenderedPageBreak/>
        <w:t>Relevant Federal and State Legal Framework</w:t>
      </w:r>
    </w:p>
    <w:p w14:paraId="13CE44F7" w14:textId="7E415CB4" w:rsidR="00CF4618" w:rsidRPr="00CF4618" w:rsidRDefault="00CF4618" w:rsidP="00CF4618">
      <w:pPr>
        <w:pStyle w:val="NoSpacing"/>
        <w:ind w:left="720" w:firstLine="720"/>
        <w:rPr>
          <w:lang w:bidi="th-TH"/>
        </w:rPr>
      </w:pPr>
      <w:r w:rsidRPr="00CF4618">
        <w:rPr>
          <w:lang w:bidi="th-TH"/>
        </w:rPr>
        <w:t>Caitlin Looby, Counsel</w:t>
      </w:r>
    </w:p>
    <w:p w14:paraId="63628BE1" w14:textId="77777777" w:rsidR="00CF4618" w:rsidRDefault="00CF4618" w:rsidP="00CF4618">
      <w:pPr>
        <w:pStyle w:val="NoSpacing"/>
        <w:numPr>
          <w:ilvl w:val="0"/>
          <w:numId w:val="9"/>
        </w:numPr>
        <w:rPr>
          <w:lang w:bidi="th-TH"/>
        </w:rPr>
      </w:pPr>
      <w:r w:rsidRPr="00CF4618">
        <w:rPr>
          <w:lang w:bidi="th-TH"/>
        </w:rPr>
        <w:t xml:space="preserve">CTE School Admissions Data Overview </w:t>
      </w:r>
    </w:p>
    <w:p w14:paraId="71444197" w14:textId="61275166" w:rsidR="00CF4618" w:rsidRPr="00CF4618" w:rsidRDefault="00CF4618" w:rsidP="00295238">
      <w:pPr>
        <w:pStyle w:val="NoSpacing"/>
        <w:ind w:left="720" w:firstLine="720"/>
        <w:rPr>
          <w:lang w:bidi="th-TH"/>
        </w:rPr>
      </w:pPr>
      <w:r w:rsidRPr="00CF4618">
        <w:rPr>
          <w:lang w:bidi="th-TH"/>
        </w:rPr>
        <w:t xml:space="preserve">Rob Curtin, </w:t>
      </w:r>
      <w:r w:rsidR="00295238" w:rsidRPr="00295238">
        <w:rPr>
          <w:lang w:bidi="th-TH"/>
        </w:rPr>
        <w:t>Chief Officer for Data, Assessment, and Accountability</w:t>
      </w:r>
    </w:p>
    <w:p w14:paraId="62954327" w14:textId="77777777" w:rsidR="00CF4618" w:rsidRPr="00CF4618" w:rsidRDefault="00CF4618" w:rsidP="00CF4618">
      <w:pPr>
        <w:pStyle w:val="NoSpacing"/>
        <w:numPr>
          <w:ilvl w:val="0"/>
          <w:numId w:val="9"/>
        </w:numPr>
        <w:rPr>
          <w:lang w:bidi="th-TH"/>
        </w:rPr>
      </w:pPr>
      <w:r w:rsidRPr="00CF4618">
        <w:rPr>
          <w:lang w:bidi="th-TH"/>
        </w:rPr>
        <w:t xml:space="preserve">CTE Admissions Research Topics </w:t>
      </w:r>
    </w:p>
    <w:p w14:paraId="133E0E68" w14:textId="77777777" w:rsidR="00CF4618" w:rsidRPr="00CF4618" w:rsidRDefault="00CF4618" w:rsidP="00295238">
      <w:pPr>
        <w:pStyle w:val="NoSpacing"/>
        <w:ind w:left="720" w:firstLine="720"/>
        <w:rPr>
          <w:lang w:bidi="th-TH"/>
        </w:rPr>
      </w:pPr>
      <w:hyperlink r:id="rId14" w:history="1">
        <w:r w:rsidRPr="00CF4618">
          <w:rPr>
            <w:lang w:bidi="th-TH"/>
          </w:rPr>
          <w:t>Shaun Dougherty</w:t>
        </w:r>
      </w:hyperlink>
      <w:r w:rsidRPr="00CF4618">
        <w:rPr>
          <w:lang w:bidi="th-TH"/>
        </w:rPr>
        <w:t>, Education and Policy, Boston College</w:t>
      </w:r>
    </w:p>
    <w:p w14:paraId="06C85105" w14:textId="77777777" w:rsidR="00701B80" w:rsidRDefault="00701B80" w:rsidP="00701B80">
      <w:pPr>
        <w:rPr>
          <w:rFonts w:cs="Calibri"/>
        </w:rPr>
      </w:pPr>
    </w:p>
    <w:p w14:paraId="4DD8D7C0" w14:textId="77777777" w:rsidR="00701B80" w:rsidRPr="00503255" w:rsidRDefault="00701B80" w:rsidP="00701B80">
      <w:pPr>
        <w:rPr>
          <w:rFonts w:cs="Calibri"/>
        </w:rPr>
      </w:pPr>
      <w:r>
        <w:rPr>
          <w:rFonts w:cs="Calibri"/>
        </w:rPr>
        <w:t>I</w:t>
      </w:r>
      <w:r w:rsidRPr="50C400A9">
        <w:rPr>
          <w:rFonts w:cs="Calibri"/>
        </w:rPr>
        <w:t xml:space="preserve"> look forward to these study sessions with the Board starting this month.  </w:t>
      </w:r>
    </w:p>
    <w:p w14:paraId="2CD0CEDA" w14:textId="77777777" w:rsidR="00755187" w:rsidRPr="00755187" w:rsidRDefault="00755187" w:rsidP="00ED5501"/>
    <w:p w14:paraId="14B27558" w14:textId="77777777" w:rsidR="003D72C8" w:rsidRPr="00755187" w:rsidRDefault="003D72C8" w:rsidP="00ED5501"/>
    <w:sectPr w:rsidR="003D72C8" w:rsidRPr="00755187" w:rsidSect="00EE526D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98DC" w14:textId="77777777" w:rsidR="005A62A8" w:rsidRDefault="005A62A8" w:rsidP="00ED5501">
      <w:r>
        <w:separator/>
      </w:r>
    </w:p>
  </w:endnote>
  <w:endnote w:type="continuationSeparator" w:id="0">
    <w:p w14:paraId="6E851795" w14:textId="77777777" w:rsidR="005A62A8" w:rsidRDefault="005A62A8" w:rsidP="00ED5501">
      <w:r>
        <w:continuationSeparator/>
      </w:r>
    </w:p>
  </w:endnote>
  <w:endnote w:type="continuationNotice" w:id="1">
    <w:p w14:paraId="678D99DD" w14:textId="77777777" w:rsidR="005A62A8" w:rsidRDefault="005A6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483BA03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4B3A" w14:textId="77777777" w:rsidR="005A62A8" w:rsidRDefault="005A62A8" w:rsidP="00ED5501">
      <w:r>
        <w:separator/>
      </w:r>
    </w:p>
  </w:footnote>
  <w:footnote w:type="continuationSeparator" w:id="0">
    <w:p w14:paraId="719C9085" w14:textId="77777777" w:rsidR="005A62A8" w:rsidRDefault="005A62A8" w:rsidP="00ED5501">
      <w:r>
        <w:continuationSeparator/>
      </w:r>
    </w:p>
  </w:footnote>
  <w:footnote w:type="continuationNotice" w:id="1">
    <w:p w14:paraId="0F0ADB25" w14:textId="77777777" w:rsidR="005A62A8" w:rsidRDefault="005A6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0A39032E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9AB"/>
    <w:multiLevelType w:val="hybridMultilevel"/>
    <w:tmpl w:val="BB84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EBE"/>
    <w:multiLevelType w:val="hybridMultilevel"/>
    <w:tmpl w:val="6C36B960"/>
    <w:lvl w:ilvl="0" w:tplc="358EF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6A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E5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EB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B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00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C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62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4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AE7CD2"/>
    <w:multiLevelType w:val="hybridMultilevel"/>
    <w:tmpl w:val="EE5264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3F12"/>
    <w:multiLevelType w:val="multilevel"/>
    <w:tmpl w:val="7B143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740" w:hanging="6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27A55"/>
    <w:multiLevelType w:val="hybridMultilevel"/>
    <w:tmpl w:val="B3D46160"/>
    <w:lvl w:ilvl="0" w:tplc="0388C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E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6E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23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68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A1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C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2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B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BC0468"/>
    <w:multiLevelType w:val="multilevel"/>
    <w:tmpl w:val="601A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396379"/>
    <w:multiLevelType w:val="hybridMultilevel"/>
    <w:tmpl w:val="AF6682AA"/>
    <w:lvl w:ilvl="0" w:tplc="3978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9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84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01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EC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43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4C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7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63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F96E96"/>
    <w:multiLevelType w:val="multilevel"/>
    <w:tmpl w:val="8A545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26A76"/>
    <w:multiLevelType w:val="hybridMultilevel"/>
    <w:tmpl w:val="1B5ABEBE"/>
    <w:lvl w:ilvl="0" w:tplc="2ED88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4E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F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44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8B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7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87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0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0912797">
    <w:abstractNumId w:val="5"/>
  </w:num>
  <w:num w:numId="2" w16cid:durableId="1306276050">
    <w:abstractNumId w:val="3"/>
  </w:num>
  <w:num w:numId="3" w16cid:durableId="1519126254">
    <w:abstractNumId w:val="7"/>
  </w:num>
  <w:num w:numId="4" w16cid:durableId="1496534721">
    <w:abstractNumId w:val="2"/>
  </w:num>
  <w:num w:numId="5" w16cid:durableId="2080515474">
    <w:abstractNumId w:val="6"/>
  </w:num>
  <w:num w:numId="6" w16cid:durableId="1769428130">
    <w:abstractNumId w:val="1"/>
  </w:num>
  <w:num w:numId="7" w16cid:durableId="664016390">
    <w:abstractNumId w:val="8"/>
  </w:num>
  <w:num w:numId="8" w16cid:durableId="54088852">
    <w:abstractNumId w:val="4"/>
  </w:num>
  <w:num w:numId="9" w16cid:durableId="7151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23953"/>
    <w:rsid w:val="00032C6B"/>
    <w:rsid w:val="00052299"/>
    <w:rsid w:val="0007389A"/>
    <w:rsid w:val="00075DB3"/>
    <w:rsid w:val="0009140F"/>
    <w:rsid w:val="000A649D"/>
    <w:rsid w:val="000E5D6A"/>
    <w:rsid w:val="00141ABD"/>
    <w:rsid w:val="0014557B"/>
    <w:rsid w:val="0015754B"/>
    <w:rsid w:val="001D69F2"/>
    <w:rsid w:val="001E0CBC"/>
    <w:rsid w:val="0021630A"/>
    <w:rsid w:val="00221D7D"/>
    <w:rsid w:val="002238F3"/>
    <w:rsid w:val="00295238"/>
    <w:rsid w:val="002A6D58"/>
    <w:rsid w:val="002B627A"/>
    <w:rsid w:val="002B7C2C"/>
    <w:rsid w:val="00315D11"/>
    <w:rsid w:val="00350FAF"/>
    <w:rsid w:val="00396D7B"/>
    <w:rsid w:val="003A3862"/>
    <w:rsid w:val="003C3917"/>
    <w:rsid w:val="003D72C8"/>
    <w:rsid w:val="004107BE"/>
    <w:rsid w:val="004408FF"/>
    <w:rsid w:val="004873A1"/>
    <w:rsid w:val="0049762E"/>
    <w:rsid w:val="004B5856"/>
    <w:rsid w:val="004D3FC6"/>
    <w:rsid w:val="004E429D"/>
    <w:rsid w:val="004E7807"/>
    <w:rsid w:val="00584FFF"/>
    <w:rsid w:val="00597423"/>
    <w:rsid w:val="005A62A8"/>
    <w:rsid w:val="00604D7F"/>
    <w:rsid w:val="00681AD6"/>
    <w:rsid w:val="006A2EE6"/>
    <w:rsid w:val="006A74AF"/>
    <w:rsid w:val="006B3CC0"/>
    <w:rsid w:val="006C3F62"/>
    <w:rsid w:val="006C5BA2"/>
    <w:rsid w:val="006D36DE"/>
    <w:rsid w:val="006D3FBB"/>
    <w:rsid w:val="00701B80"/>
    <w:rsid w:val="00755187"/>
    <w:rsid w:val="00781B81"/>
    <w:rsid w:val="008048FF"/>
    <w:rsid w:val="00804B5A"/>
    <w:rsid w:val="00842843"/>
    <w:rsid w:val="00850070"/>
    <w:rsid w:val="0086641E"/>
    <w:rsid w:val="008910CF"/>
    <w:rsid w:val="00897BC0"/>
    <w:rsid w:val="008B51C2"/>
    <w:rsid w:val="008D2C71"/>
    <w:rsid w:val="009327E5"/>
    <w:rsid w:val="00934C95"/>
    <w:rsid w:val="00940612"/>
    <w:rsid w:val="009560A6"/>
    <w:rsid w:val="00957EBF"/>
    <w:rsid w:val="009A28ED"/>
    <w:rsid w:val="009D25EA"/>
    <w:rsid w:val="009E7F94"/>
    <w:rsid w:val="009F4F0C"/>
    <w:rsid w:val="00A022B5"/>
    <w:rsid w:val="00A14460"/>
    <w:rsid w:val="00A20284"/>
    <w:rsid w:val="00A31FF8"/>
    <w:rsid w:val="00A65AB8"/>
    <w:rsid w:val="00A87581"/>
    <w:rsid w:val="00A9392D"/>
    <w:rsid w:val="00AB386D"/>
    <w:rsid w:val="00AB764D"/>
    <w:rsid w:val="00AF38A2"/>
    <w:rsid w:val="00B366CC"/>
    <w:rsid w:val="00B85C9C"/>
    <w:rsid w:val="00C12ACD"/>
    <w:rsid w:val="00C155A2"/>
    <w:rsid w:val="00CA3ECD"/>
    <w:rsid w:val="00CF4618"/>
    <w:rsid w:val="00D078A5"/>
    <w:rsid w:val="00D12062"/>
    <w:rsid w:val="00D54A3A"/>
    <w:rsid w:val="00D61429"/>
    <w:rsid w:val="00D95730"/>
    <w:rsid w:val="00DF6707"/>
    <w:rsid w:val="00E24B80"/>
    <w:rsid w:val="00E2551F"/>
    <w:rsid w:val="00E3706A"/>
    <w:rsid w:val="00E51041"/>
    <w:rsid w:val="00E55F2B"/>
    <w:rsid w:val="00E643CC"/>
    <w:rsid w:val="00E66961"/>
    <w:rsid w:val="00E96BD6"/>
    <w:rsid w:val="00EB2153"/>
    <w:rsid w:val="00EC0664"/>
    <w:rsid w:val="00EC5C9A"/>
    <w:rsid w:val="00ED5501"/>
    <w:rsid w:val="00EE526D"/>
    <w:rsid w:val="00EF2B04"/>
    <w:rsid w:val="00EF42C6"/>
    <w:rsid w:val="00F04524"/>
    <w:rsid w:val="00F1446C"/>
    <w:rsid w:val="00F21CE7"/>
    <w:rsid w:val="00F32118"/>
    <w:rsid w:val="00F73FC7"/>
    <w:rsid w:val="00F97A09"/>
    <w:rsid w:val="00FA01C0"/>
    <w:rsid w:val="00FB070A"/>
    <w:rsid w:val="00FC5F82"/>
    <w:rsid w:val="00FF53BA"/>
    <w:rsid w:val="04F21F86"/>
    <w:rsid w:val="10BC6790"/>
    <w:rsid w:val="1192965C"/>
    <w:rsid w:val="1891727F"/>
    <w:rsid w:val="422CB496"/>
    <w:rsid w:val="44C8248C"/>
    <w:rsid w:val="4AD7404D"/>
    <w:rsid w:val="4CB0B18E"/>
    <w:rsid w:val="67E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36085C94-B1BC-410C-AC94-C9037B2A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Hyperlink">
    <w:name w:val="Hyperlink"/>
    <w:basedOn w:val="DefaultParagraphFont"/>
    <w:uiPriority w:val="99"/>
    <w:unhideWhenUsed/>
    <w:rsid w:val="00701B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A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paragraph" w:styleId="NoSpacing">
    <w:name w:val="No Spacing"/>
    <w:uiPriority w:val="1"/>
    <w:qFormat/>
    <w:rsid w:val="00CF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lawsregs/603cmr4.html?section=0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c.edu/bc-web/schools/lynch-school/faculty-research/faculty-directory/Shaun-Dougherty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D76813-E2E4-479C-95F1-8938B43B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2024 Special Meeting Item 2: Career Technical Education (CTE) Admissions Study Session: Session 1</dc:title>
  <dc:subject/>
  <dc:creator>DESE</dc:creator>
  <cp:keywords/>
  <dc:description/>
  <cp:lastModifiedBy>Zou, Dong (EOE)</cp:lastModifiedBy>
  <cp:revision>5</cp:revision>
  <cp:lastPrinted>2024-03-18T18:40:00Z</cp:lastPrinted>
  <dcterms:created xsi:type="dcterms:W3CDTF">2024-10-22T20:49:00Z</dcterms:created>
  <dcterms:modified xsi:type="dcterms:W3CDTF">2024-10-23T15:34:00Z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2024 12:00AM</vt:lpwstr>
  </property>
</Properties>
</file>