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4415296">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9CC5"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6AA90123" w:rsidR="00A20194" w:rsidRPr="00C974A6" w:rsidRDefault="00AB6343" w:rsidP="00025507">
      <w:pPr>
        <w:pStyle w:val="Heading3"/>
        <w:tabs>
          <w:tab w:val="right" w:pos="9000"/>
        </w:tabs>
        <w:ind w:right="360"/>
        <w:jc w:val="right"/>
        <w:rPr>
          <w:sz w:val="16"/>
          <w:szCs w:val="16"/>
        </w:rPr>
      </w:pPr>
      <w:r>
        <w:rPr>
          <w:sz w:val="16"/>
          <w:szCs w:val="16"/>
        </w:rPr>
        <w:t>135 Santilli Highway</w:t>
      </w:r>
      <w:r w:rsidR="00A20194" w:rsidRPr="00C974A6">
        <w:rPr>
          <w:sz w:val="16"/>
          <w:szCs w:val="16"/>
        </w:rPr>
        <w:t xml:space="preserve">, </w:t>
      </w:r>
      <w:r>
        <w:rPr>
          <w:sz w:val="16"/>
          <w:szCs w:val="16"/>
        </w:rPr>
        <w:t>Everett</w:t>
      </w:r>
      <w:r w:rsidR="00A20194" w:rsidRPr="00C974A6">
        <w:rPr>
          <w:sz w:val="16"/>
          <w:szCs w:val="16"/>
        </w:rPr>
        <w:t xml:space="preserve">, Massachusetts </w:t>
      </w:r>
      <w:r w:rsidRPr="00C974A6">
        <w:rPr>
          <w:sz w:val="16"/>
          <w:szCs w:val="16"/>
        </w:rPr>
        <w:t>0214</w:t>
      </w:r>
      <w:r>
        <w:rPr>
          <w:sz w:val="16"/>
          <w:szCs w:val="16"/>
        </w:rPr>
        <w:t>9</w:t>
      </w:r>
      <w:r w:rsidRPr="00C974A6">
        <w:rPr>
          <w:sz w:val="16"/>
          <w:szCs w:val="16"/>
        </w:rPr>
        <w:t>-</w:t>
      </w:r>
      <w:r>
        <w:rPr>
          <w:sz w:val="16"/>
          <w:szCs w:val="16"/>
        </w:rPr>
        <w:t>1962</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FA1ACE">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rsidSect="00FA1ACE">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9360" w:type="dxa"/>
        <w:tblLook w:val="01E0" w:firstRow="1" w:lastRow="1" w:firstColumn="1" w:lastColumn="1" w:noHBand="0" w:noVBand="0"/>
      </w:tblPr>
      <w:tblGrid>
        <w:gridCol w:w="1184"/>
        <w:gridCol w:w="8176"/>
      </w:tblGrid>
      <w:tr w:rsidR="00974F8E" w14:paraId="70787408" w14:textId="77777777" w:rsidTr="00974F8E">
        <w:tc>
          <w:tcPr>
            <w:tcW w:w="1184" w:type="dxa"/>
          </w:tcPr>
          <w:p w14:paraId="7D763A9D" w14:textId="77777777" w:rsidR="00974F8E" w:rsidRDefault="00974F8E" w:rsidP="00DC1F97">
            <w:pPr>
              <w:rPr>
                <w:b/>
              </w:rPr>
            </w:pPr>
            <w:r>
              <w:rPr>
                <w:b/>
              </w:rPr>
              <w:t>To:</w:t>
            </w:r>
          </w:p>
        </w:tc>
        <w:tc>
          <w:tcPr>
            <w:tcW w:w="8176" w:type="dxa"/>
          </w:tcPr>
          <w:p w14:paraId="4D99304A" w14:textId="36E7600F" w:rsidR="00974F8E" w:rsidRDefault="00974F8E" w:rsidP="00DC1F97">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974F8E" w14:paraId="663CBD5C" w14:textId="77777777" w:rsidTr="00974F8E">
        <w:tc>
          <w:tcPr>
            <w:tcW w:w="1184" w:type="dxa"/>
          </w:tcPr>
          <w:p w14:paraId="58083D68" w14:textId="77777777" w:rsidR="00974F8E" w:rsidRDefault="00974F8E" w:rsidP="00DC1F97">
            <w:pPr>
              <w:rPr>
                <w:b/>
              </w:rPr>
            </w:pPr>
            <w:r>
              <w:rPr>
                <w:b/>
              </w:rPr>
              <w:t>From:</w:t>
            </w:r>
            <w:r>
              <w:tab/>
            </w:r>
          </w:p>
        </w:tc>
        <w:tc>
          <w:tcPr>
            <w:tcW w:w="8176" w:type="dxa"/>
          </w:tcPr>
          <w:p w14:paraId="51887A9F" w14:textId="655CED39" w:rsidR="00974F8E" w:rsidRPr="00947C0C" w:rsidRDefault="00974F8E" w:rsidP="00DC1F97">
            <w:pPr>
              <w:pStyle w:val="Footer"/>
              <w:widowControl w:val="0"/>
              <w:tabs>
                <w:tab w:val="clear" w:pos="4320"/>
                <w:tab w:val="clear" w:pos="8640"/>
              </w:tabs>
              <w:rPr>
                <w:bCs/>
                <w:snapToGrid w:val="0"/>
              </w:rPr>
            </w:pPr>
            <w:r>
              <w:rPr>
                <w:bCs/>
                <w:snapToGrid w:val="0"/>
                <w:szCs w:val="20"/>
              </w:rPr>
              <w:t>Jeffrey C. Riley, Commissioner</w:t>
            </w:r>
          </w:p>
        </w:tc>
      </w:tr>
      <w:tr w:rsidR="00974F8E" w14:paraId="4D118504" w14:textId="77777777" w:rsidTr="00974F8E">
        <w:tc>
          <w:tcPr>
            <w:tcW w:w="1184" w:type="dxa"/>
          </w:tcPr>
          <w:p w14:paraId="43395999" w14:textId="77777777" w:rsidR="00974F8E" w:rsidRDefault="00974F8E" w:rsidP="00DC1F97">
            <w:pPr>
              <w:rPr>
                <w:b/>
              </w:rPr>
            </w:pPr>
            <w:r>
              <w:rPr>
                <w:b/>
              </w:rPr>
              <w:t>Date:</w:t>
            </w:r>
            <w:r>
              <w:tab/>
            </w:r>
          </w:p>
        </w:tc>
        <w:tc>
          <w:tcPr>
            <w:tcW w:w="8176" w:type="dxa"/>
          </w:tcPr>
          <w:p w14:paraId="59E7D54B" w14:textId="299A7457" w:rsidR="00974F8E" w:rsidRDefault="00974F8E" w:rsidP="00DC1F97">
            <w:pPr>
              <w:pStyle w:val="Footer"/>
              <w:widowControl w:val="0"/>
              <w:tabs>
                <w:tab w:val="clear" w:pos="4320"/>
                <w:tab w:val="clear" w:pos="8640"/>
              </w:tabs>
            </w:pPr>
            <w:r>
              <w:rPr>
                <w:bCs/>
                <w:snapToGrid w:val="0"/>
                <w:szCs w:val="20"/>
              </w:rPr>
              <w:t xml:space="preserve">January </w:t>
            </w:r>
            <w:r w:rsidR="006A7D02">
              <w:rPr>
                <w:bCs/>
                <w:snapToGrid w:val="0"/>
                <w:szCs w:val="20"/>
              </w:rPr>
              <w:t>16</w:t>
            </w:r>
            <w:r>
              <w:rPr>
                <w:bCs/>
                <w:snapToGrid w:val="0"/>
                <w:szCs w:val="20"/>
              </w:rPr>
              <w:t>, 2024</w:t>
            </w:r>
          </w:p>
        </w:tc>
      </w:tr>
      <w:tr w:rsidR="00974F8E" w14:paraId="5D0D4861" w14:textId="77777777" w:rsidTr="00974F8E">
        <w:tc>
          <w:tcPr>
            <w:tcW w:w="1184" w:type="dxa"/>
          </w:tcPr>
          <w:p w14:paraId="3428D501" w14:textId="77777777" w:rsidR="00974F8E" w:rsidRDefault="00974F8E" w:rsidP="00DC1F97">
            <w:pPr>
              <w:rPr>
                <w:b/>
              </w:rPr>
            </w:pPr>
            <w:r>
              <w:rPr>
                <w:b/>
              </w:rPr>
              <w:t>Subject:</w:t>
            </w:r>
          </w:p>
        </w:tc>
        <w:tc>
          <w:tcPr>
            <w:tcW w:w="8176" w:type="dxa"/>
          </w:tcPr>
          <w:p w14:paraId="7BC03242" w14:textId="25CD5195" w:rsidR="00974F8E" w:rsidRPr="007A22FF" w:rsidRDefault="00974F8E" w:rsidP="00DC1F97">
            <w:pPr>
              <w:pStyle w:val="Footer"/>
              <w:widowControl w:val="0"/>
              <w:tabs>
                <w:tab w:val="clear" w:pos="4320"/>
                <w:tab w:val="clear" w:pos="8640"/>
              </w:tabs>
              <w:rPr>
                <w:snapToGrid w:val="0"/>
              </w:rPr>
            </w:pPr>
            <w:r>
              <w:rPr>
                <w:bCs/>
                <w:snapToGrid w:val="0"/>
                <w:szCs w:val="20"/>
              </w:rPr>
              <w:t>Proposed Changes to 2024 District and School Accountability Reporting</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rsidSect="00FA1ACE">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275C1188" w14:textId="46121C7D" w:rsidR="000956C2" w:rsidRDefault="000956C2" w:rsidP="000956C2">
      <w:r>
        <w:t xml:space="preserve">At the </w:t>
      </w:r>
      <w:hyperlink r:id="rId12">
        <w:r w:rsidRPr="05C9C0EA">
          <w:rPr>
            <w:rStyle w:val="Hyperlink"/>
          </w:rPr>
          <w:t>November 21, 2023</w:t>
        </w:r>
      </w:hyperlink>
      <w:r>
        <w:t xml:space="preserve"> meeting of the Board of Elementary and Secondary Education (Board), I introduced plans for making certain changes to the district and school accountability system which, if approved by the Board, would be included in the calculation of accountability results following the 2023-2024 school year. Specifically, I informed the Board of my </w:t>
      </w:r>
      <w:r w:rsidR="34B67E7A">
        <w:t xml:space="preserve">intention </w:t>
      </w:r>
      <w:r w:rsidR="480C308C">
        <w:t xml:space="preserve">to </w:t>
      </w:r>
      <w:r w:rsidR="34B67E7A">
        <w:t>recommend</w:t>
      </w:r>
      <w:r w:rsidR="000106FD">
        <w:t xml:space="preserve"> an </w:t>
      </w:r>
      <w:r>
        <w:t xml:space="preserve">increase </w:t>
      </w:r>
      <w:r w:rsidR="726076E2">
        <w:t xml:space="preserve">to </w:t>
      </w:r>
      <w:r>
        <w:t>the weight of the chronic absenteeism indicator within the system</w:t>
      </w:r>
      <w:r w:rsidR="7F873D2D">
        <w:t xml:space="preserve"> and discussed some of the considerations in doing so</w:t>
      </w:r>
      <w:r>
        <w:t xml:space="preserve">. On December 28, </w:t>
      </w:r>
      <w:r w:rsidR="051007ED">
        <w:t>under</w:t>
      </w:r>
      <w:r>
        <w:t xml:space="preserve"> the authority granted by the state’s accountability regulati</w:t>
      </w:r>
      <w:r w:rsidR="065B359D">
        <w:t>ons,</w:t>
      </w:r>
      <w:r w:rsidR="00E800EF" w:rsidRPr="00776174">
        <w:rPr>
          <w:rStyle w:val="FootnoteReference"/>
          <w:vertAlign w:val="superscript"/>
        </w:rPr>
        <w:footnoteReference w:id="2"/>
      </w:r>
      <w:r w:rsidR="065B359D">
        <w:t xml:space="preserve"> </w:t>
      </w:r>
      <w:r w:rsidR="7A0C7234">
        <w:t xml:space="preserve">the Department solicited public comment on the proposed changes to the system. At the January 23, </w:t>
      </w:r>
      <w:proofErr w:type="gramStart"/>
      <w:r w:rsidR="7A0C7234">
        <w:t>2024</w:t>
      </w:r>
      <w:proofErr w:type="gramEnd"/>
      <w:r w:rsidR="7A0C7234">
        <w:t xml:space="preserve"> meeting, following a discussion of the changes and the comments received, I will ask the Board to approve the proposed changes to the system.</w:t>
      </w:r>
    </w:p>
    <w:p w14:paraId="33EC109C" w14:textId="77777777" w:rsidR="00353BC1" w:rsidRDefault="00353BC1" w:rsidP="000956C2"/>
    <w:p w14:paraId="12194F5F" w14:textId="77777777" w:rsidR="000956C2" w:rsidRDefault="000956C2" w:rsidP="000956C2">
      <w:pPr>
        <w:pStyle w:val="Heading1"/>
        <w:jc w:val="left"/>
      </w:pPr>
      <w:r>
        <w:t>Increasing the Weight of the Chronic Absenteeism Indicator</w:t>
      </w:r>
    </w:p>
    <w:p w14:paraId="7006B57E" w14:textId="77777777" w:rsidR="000956C2" w:rsidRDefault="000956C2" w:rsidP="000956C2"/>
    <w:p w14:paraId="4C6D95A3" w14:textId="1F08D33D" w:rsidR="000956C2" w:rsidRDefault="000956C2" w:rsidP="000956C2">
      <w:r>
        <w:t xml:space="preserve">As we discussed </w:t>
      </w:r>
      <w:r w:rsidR="001A1F82">
        <w:t>in November</w:t>
      </w:r>
      <w:r>
        <w:t xml:space="preserve"> our federally-approved district and school accountability system allows the Department to identify districts and schools that require assistance or intervention and those that are demonstrating success by looking at overall district, school, and student group performance across an </w:t>
      </w:r>
      <w:hyperlink r:id="rId13">
        <w:r w:rsidRPr="71DB1359">
          <w:rPr>
            <w:rStyle w:val="Hyperlink"/>
          </w:rPr>
          <w:t>array of indicators</w:t>
        </w:r>
      </w:hyperlink>
      <w:r>
        <w:t xml:space="preserve">. Among those indicators is chronic absenteeism, a student attendance measure that represents the percentage of students in a district, school, or group who miss 10 percent or more of the school year (in most cases, at least 18 days). </w:t>
      </w:r>
    </w:p>
    <w:p w14:paraId="23127997" w14:textId="77777777" w:rsidR="000956C2" w:rsidRDefault="000956C2" w:rsidP="000956C2">
      <w:r>
        <w:t xml:space="preserve"> </w:t>
      </w:r>
    </w:p>
    <w:p w14:paraId="16CF5480" w14:textId="77777777" w:rsidR="000956C2" w:rsidRDefault="000956C2" w:rsidP="000956C2">
      <w:r>
        <w:t xml:space="preserve">At present, chronic absenteeism is worth five percent of accountability calculations in the high school grade span and 10 percent in the non-high school grade span. Given the high rates of chronic absenteeism we have seen in the last couple of years, I recommend increasing the weight of the chronic absenteeism indicator in the state’s district and school accountability system this year to help identify the districts and schools that may require additional support to address issues that may be preventing students from regularly attending school. The specific details are </w:t>
      </w:r>
      <w:r>
        <w:lastRenderedPageBreak/>
        <w:t xml:space="preserve">outlined in the enclosed </w:t>
      </w:r>
      <w:r>
        <w:rPr>
          <w:i/>
          <w:iCs/>
        </w:rPr>
        <w:t xml:space="preserve">Summary of Massachusetts' District and School Accountability System </w:t>
      </w:r>
      <w:r>
        <w:t>document.</w:t>
      </w:r>
    </w:p>
    <w:p w14:paraId="2AE96048" w14:textId="77777777" w:rsidR="000956C2" w:rsidRDefault="000956C2" w:rsidP="000956C2"/>
    <w:p w14:paraId="561F8352" w14:textId="77777777" w:rsidR="000956C2" w:rsidRDefault="000956C2" w:rsidP="000956C2">
      <w:pPr>
        <w:pStyle w:val="Heading1"/>
        <w:jc w:val="left"/>
      </w:pPr>
      <w:r>
        <w:t>Including Three Years of Data in 2024 Calculations</w:t>
      </w:r>
    </w:p>
    <w:p w14:paraId="11FDC07A" w14:textId="77777777" w:rsidR="000956C2" w:rsidRDefault="000956C2" w:rsidP="000956C2"/>
    <w:p w14:paraId="4ECDBA12" w14:textId="77777777" w:rsidR="000956C2" w:rsidRDefault="000956C2" w:rsidP="000956C2">
      <w:r>
        <w:t xml:space="preserve">Historically, the Department has included multiple years of data in the calculation of district and school accountability results. In doing so, the Department can ensure that annual accountability results provide a better understanding of changes in district, school, and student group performance over time. The inclusion of multiple years of data also prevents large swings, or volatility, in annual results. </w:t>
      </w:r>
    </w:p>
    <w:p w14:paraId="456835C1" w14:textId="77777777" w:rsidR="000956C2" w:rsidRDefault="000956C2" w:rsidP="000956C2"/>
    <w:p w14:paraId="49E3188F" w14:textId="77777777" w:rsidR="000956C2" w:rsidRDefault="000956C2" w:rsidP="000956C2">
      <w:r>
        <w:t xml:space="preserve">When we implemented the current accountability system in 2018, the results represented one year of data and the Department anticipated expanding the number of years of data included in the calculations over time. From 2019 through 2023, due to the pandemic and the resulting disruptions to assessment and accountability reporting, we were only able to include two years of data in the accountability calculations, weighted at 40 percent and 60 percent. For example, the 2023 accountability results included two years of data, with 2022 data weighted at 40 percent and 2023 data weighted at 60 percent. </w:t>
      </w:r>
    </w:p>
    <w:p w14:paraId="283211EC" w14:textId="77777777" w:rsidR="000956C2" w:rsidRDefault="000956C2" w:rsidP="000956C2"/>
    <w:p w14:paraId="23E65AC3" w14:textId="5D46BCD7" w:rsidR="000956C2" w:rsidRDefault="000956C2" w:rsidP="000956C2">
      <w:r>
        <w:t xml:space="preserve">The 2023-2024 school year represents the first time since the start of the pandemic that we will have three years of data to include in the calculation of district and school accountability results. At the </w:t>
      </w:r>
      <w:r w:rsidR="0062033C">
        <w:t>January</w:t>
      </w:r>
      <w:r>
        <w:t xml:space="preserve"> meeting of the Board, I will discuss changing the system to include three years of data in the 2024 accountability results, with more recent years weighing more: 15 percent for 2022 data, 25 percent for 2023 data, and 60 percent for 2024 data. </w:t>
      </w:r>
    </w:p>
    <w:p w14:paraId="57349E04" w14:textId="77777777" w:rsidR="000956C2" w:rsidRDefault="000956C2" w:rsidP="000956C2">
      <w:pPr>
        <w:rPr>
          <w:b/>
          <w:bCs/>
        </w:rPr>
      </w:pPr>
    </w:p>
    <w:p w14:paraId="43985BB3" w14:textId="6F126DD5" w:rsidR="00D44215" w:rsidRDefault="00D44215" w:rsidP="000956C2">
      <w:pPr>
        <w:pStyle w:val="Heading1"/>
        <w:jc w:val="left"/>
      </w:pPr>
      <w:r>
        <w:t>Discussion with the Accountability and Assistance Advisory Council</w:t>
      </w:r>
    </w:p>
    <w:p w14:paraId="613AD33E" w14:textId="77777777" w:rsidR="00D44215" w:rsidRDefault="00D44215" w:rsidP="00D44215"/>
    <w:p w14:paraId="24F29A7C" w14:textId="198FE8F3" w:rsidR="004C56D6" w:rsidRDefault="004C56D6" w:rsidP="004C56D6">
      <w:r>
        <w:t xml:space="preserve">The Board’s Accountability and Assistance Advisory Council (AAAC) discussed the proposed changes to the accountability system on </w:t>
      </w:r>
      <w:r w:rsidR="00B527BD">
        <w:t>December 8, 2023</w:t>
      </w:r>
      <w:r>
        <w:t xml:space="preserve">. Council members discussed the </w:t>
      </w:r>
      <w:r w:rsidR="00B527BD">
        <w:t>two</w:t>
      </w:r>
      <w:r>
        <w:t xml:space="preserve"> major changes that were </w:t>
      </w:r>
      <w:r w:rsidR="00B527BD">
        <w:t xml:space="preserve">subsequently </w:t>
      </w:r>
      <w:r>
        <w:t>proposed for public comment:</w:t>
      </w:r>
    </w:p>
    <w:p w14:paraId="0A1D43AB" w14:textId="77777777" w:rsidR="004C56D6" w:rsidRDefault="004C56D6" w:rsidP="004C56D6"/>
    <w:p w14:paraId="6483D003" w14:textId="77777777" w:rsidR="009D6C62" w:rsidRDefault="009D6C62" w:rsidP="009D6C62">
      <w:pPr>
        <w:pStyle w:val="ListParagraph"/>
        <w:numPr>
          <w:ilvl w:val="0"/>
          <w:numId w:val="18"/>
        </w:numPr>
      </w:pPr>
      <w:r w:rsidRPr="00B527BD">
        <w:t xml:space="preserve">Including </w:t>
      </w:r>
      <w:r>
        <w:t>t</w:t>
      </w:r>
      <w:r w:rsidRPr="00B527BD">
        <w:t xml:space="preserve">hree </w:t>
      </w:r>
      <w:r>
        <w:t>y</w:t>
      </w:r>
      <w:r w:rsidRPr="00B527BD">
        <w:t xml:space="preserve">ears of </w:t>
      </w:r>
      <w:r>
        <w:t>d</w:t>
      </w:r>
      <w:r w:rsidRPr="00B527BD">
        <w:t xml:space="preserve">ata in 2024 </w:t>
      </w:r>
      <w:r>
        <w:t>c</w:t>
      </w:r>
      <w:r w:rsidRPr="00B527BD">
        <w:t>alculations</w:t>
      </w:r>
    </w:p>
    <w:p w14:paraId="7123A31C" w14:textId="4845EA00" w:rsidR="004C56D6" w:rsidRDefault="00B527BD" w:rsidP="00B527BD">
      <w:pPr>
        <w:pStyle w:val="ListParagraph"/>
        <w:numPr>
          <w:ilvl w:val="0"/>
          <w:numId w:val="18"/>
        </w:numPr>
      </w:pPr>
      <w:r w:rsidRPr="00B527BD">
        <w:t xml:space="preserve">Increasing the </w:t>
      </w:r>
      <w:r>
        <w:t>w</w:t>
      </w:r>
      <w:r w:rsidRPr="00B527BD">
        <w:t xml:space="preserve">eight of the </w:t>
      </w:r>
      <w:r>
        <w:t>c</w:t>
      </w:r>
      <w:r w:rsidRPr="00B527BD">
        <w:t xml:space="preserve">hronic </w:t>
      </w:r>
      <w:r>
        <w:t>a</w:t>
      </w:r>
      <w:r w:rsidRPr="00B527BD">
        <w:t xml:space="preserve">bsenteeism </w:t>
      </w:r>
      <w:r>
        <w:t>i</w:t>
      </w:r>
      <w:r w:rsidRPr="00B527BD">
        <w:t>ndicator</w:t>
      </w:r>
    </w:p>
    <w:p w14:paraId="7F356DB7" w14:textId="77777777" w:rsidR="004C56D6" w:rsidRDefault="004C56D6" w:rsidP="004C56D6"/>
    <w:p w14:paraId="69C19EA0" w14:textId="057692E4" w:rsidR="00AE18F0" w:rsidRDefault="004C56D6" w:rsidP="004C56D6">
      <w:r>
        <w:t xml:space="preserve">Council members voiced general support for </w:t>
      </w:r>
      <w:r w:rsidR="009D6C62">
        <w:t>including three years of data in the calculation of the 2024 results.</w:t>
      </w:r>
      <w:r>
        <w:t xml:space="preserve"> With respect to </w:t>
      </w:r>
      <w:r w:rsidR="00AC2D48">
        <w:t xml:space="preserve">increasing the weight of </w:t>
      </w:r>
      <w:r w:rsidR="009B025C">
        <w:t>the chronic</w:t>
      </w:r>
      <w:r w:rsidR="00AC2D48">
        <w:t xml:space="preserve"> absenteeism </w:t>
      </w:r>
      <w:r w:rsidR="009B025C">
        <w:t>indicator</w:t>
      </w:r>
      <w:r>
        <w:t xml:space="preserve">, Council members </w:t>
      </w:r>
      <w:r w:rsidR="009B025C">
        <w:t xml:space="preserve">expressed a range of </w:t>
      </w:r>
      <w:r w:rsidR="00416B99">
        <w:t>concerns regarding the change, including</w:t>
      </w:r>
      <w:r w:rsidR="004911D6">
        <w:t xml:space="preserve"> how much the indicator </w:t>
      </w:r>
      <w:r w:rsidR="00416B99">
        <w:t>would</w:t>
      </w:r>
      <w:r w:rsidR="004911D6">
        <w:t xml:space="preserve"> be worth and wh</w:t>
      </w:r>
      <w:r w:rsidR="00CB49B3">
        <w:t xml:space="preserve">ich indicators </w:t>
      </w:r>
      <w:r w:rsidR="00416B99">
        <w:t>might</w:t>
      </w:r>
      <w:r w:rsidR="00CB49B3">
        <w:t xml:space="preserve"> be affected by </w:t>
      </w:r>
      <w:r w:rsidR="003E35EB">
        <w:t>an increase in weight to chronic absenteeism</w:t>
      </w:r>
      <w:r w:rsidR="00416B99">
        <w:t>.</w:t>
      </w:r>
    </w:p>
    <w:p w14:paraId="4583F9B1" w14:textId="2AD4F077" w:rsidR="00D44215" w:rsidRPr="00D44215" w:rsidRDefault="00D44215" w:rsidP="00D44215"/>
    <w:p w14:paraId="37684F3D" w14:textId="570C4705" w:rsidR="00AE18F0" w:rsidRDefault="00AE18F0" w:rsidP="000956C2">
      <w:pPr>
        <w:pStyle w:val="Heading1"/>
        <w:jc w:val="left"/>
      </w:pPr>
      <w:r>
        <w:t>Summary of Public Comment Received</w:t>
      </w:r>
    </w:p>
    <w:p w14:paraId="27FA6107" w14:textId="77777777" w:rsidR="00AE18F0" w:rsidRDefault="00AE18F0" w:rsidP="00AE18F0"/>
    <w:p w14:paraId="02F6D99F" w14:textId="6CD96BB6" w:rsidR="00A01243" w:rsidRDefault="00A01243" w:rsidP="00BE5EBB">
      <w:r>
        <w:t xml:space="preserve">The Department invited the public to comment on the district and school accountability system, including the proposed changes, during the period from December 28, </w:t>
      </w:r>
      <w:proofErr w:type="gramStart"/>
      <w:r>
        <w:t>2023</w:t>
      </w:r>
      <w:proofErr w:type="gramEnd"/>
      <w:r>
        <w:t xml:space="preserve"> to January 12, 2024. The Department received </w:t>
      </w:r>
      <w:r w:rsidR="007B3294">
        <w:t>34</w:t>
      </w:r>
      <w:r>
        <w:t xml:space="preserve"> written comments during the public comment period. </w:t>
      </w:r>
      <w:r w:rsidR="00BE5EBB">
        <w:t xml:space="preserve">Most </w:t>
      </w:r>
      <w:r w:rsidR="00BE5EBB">
        <w:lastRenderedPageBreak/>
        <w:t>comments</w:t>
      </w:r>
      <w:r w:rsidR="00D04AC1">
        <w:t xml:space="preserve"> received </w:t>
      </w:r>
      <w:r w:rsidR="0054041F">
        <w:t>addressed</w:t>
      </w:r>
      <w:r w:rsidR="00D04AC1">
        <w:t xml:space="preserve"> the proposed increase </w:t>
      </w:r>
      <w:r w:rsidR="0054041F">
        <w:t>to</w:t>
      </w:r>
      <w:r w:rsidR="00D04AC1">
        <w:t xml:space="preserve"> the weight of the chronic absenteeism indicator. In general, commenters</w:t>
      </w:r>
      <w:r w:rsidR="00445DD7">
        <w:t xml:space="preserve"> expressed concerns regarding this change</w:t>
      </w:r>
      <w:r w:rsidR="00D300AF">
        <w:t xml:space="preserve">. </w:t>
      </w:r>
      <w:r w:rsidR="006C543E">
        <w:t xml:space="preserve">A small number of commenters supported the inclusion of three years of data in the calculation of the results </w:t>
      </w:r>
      <w:r w:rsidR="00646BE7">
        <w:t xml:space="preserve">but </w:t>
      </w:r>
      <w:r w:rsidR="008402FD">
        <w:t>cautioned the Department</w:t>
      </w:r>
      <w:r w:rsidR="00646BE7">
        <w:t xml:space="preserve"> about the timing of this change. </w:t>
      </w:r>
    </w:p>
    <w:p w14:paraId="2335A850" w14:textId="77777777" w:rsidR="008402FD" w:rsidRDefault="008402FD" w:rsidP="00A01243"/>
    <w:p w14:paraId="68496C50" w14:textId="68370E8A" w:rsidR="00EB0A24" w:rsidRDefault="00A01243" w:rsidP="00A01243">
      <w:r>
        <w:t>Attached is a document summarizing the comments that were received, the individuals who submitted them, and the Department’s responses.</w:t>
      </w:r>
    </w:p>
    <w:p w14:paraId="1A4E85FC" w14:textId="77777777" w:rsidR="00AE18F0" w:rsidRDefault="00AE18F0" w:rsidP="000956C2">
      <w:pPr>
        <w:pStyle w:val="Heading1"/>
        <w:jc w:val="left"/>
      </w:pPr>
    </w:p>
    <w:p w14:paraId="189EDB9E" w14:textId="4B691B70" w:rsidR="000956C2" w:rsidRDefault="000956C2" w:rsidP="000956C2">
      <w:pPr>
        <w:pStyle w:val="Heading1"/>
        <w:jc w:val="left"/>
      </w:pPr>
      <w:r>
        <w:t xml:space="preserve">Timeline </w:t>
      </w:r>
    </w:p>
    <w:p w14:paraId="215BFFE9" w14:textId="77777777" w:rsidR="000956C2" w:rsidRDefault="000956C2" w:rsidP="000956C2"/>
    <w:p w14:paraId="61755A5F" w14:textId="1D7AFFFB" w:rsidR="000956C2" w:rsidRDefault="000956C2" w:rsidP="000956C2">
      <w:r>
        <w:t xml:space="preserve">The potential changes that the Department is considering </w:t>
      </w:r>
      <w:r w:rsidR="003B73F7">
        <w:t xml:space="preserve">would result in a change to the framework for </w:t>
      </w:r>
      <w:r w:rsidR="00DF525B">
        <w:t>district and school accountability and assistance</w:t>
      </w:r>
      <w:r w:rsidR="00C63BA8">
        <w:t>. Consistent with 603 CMR 2.03(1</w:t>
      </w:r>
      <w:r w:rsidR="004936AC">
        <w:t xml:space="preserve">0), these changes </w:t>
      </w:r>
      <w:r w:rsidDel="004936AC">
        <w:t xml:space="preserve">require </w:t>
      </w:r>
      <w:r>
        <w:t>the opportunity for public comment before Board approval</w:t>
      </w:r>
      <w:r w:rsidR="00786ED5">
        <w:t xml:space="preserve">. </w:t>
      </w:r>
      <w:r>
        <w:t>The Department developed the following timeline for this work:</w:t>
      </w:r>
    </w:p>
    <w:p w14:paraId="6E18C859" w14:textId="77777777" w:rsidR="000956C2" w:rsidRDefault="000956C2" w:rsidP="000956C2"/>
    <w:tbl>
      <w:tblPr>
        <w:tblStyle w:val="TableGrid"/>
        <w:tblW w:w="0" w:type="auto"/>
        <w:tblLook w:val="04A0" w:firstRow="1" w:lastRow="0" w:firstColumn="1" w:lastColumn="0" w:noHBand="0" w:noVBand="1"/>
      </w:tblPr>
      <w:tblGrid>
        <w:gridCol w:w="2695"/>
        <w:gridCol w:w="6655"/>
      </w:tblGrid>
      <w:tr w:rsidR="000956C2" w14:paraId="3363351A" w14:textId="77777777" w:rsidTr="000956C2">
        <w:tc>
          <w:tcPr>
            <w:tcW w:w="2695" w:type="dxa"/>
            <w:tcBorders>
              <w:top w:val="single" w:sz="4" w:space="0" w:color="auto"/>
              <w:left w:val="single" w:sz="4" w:space="0" w:color="auto"/>
              <w:bottom w:val="single" w:sz="4" w:space="0" w:color="auto"/>
              <w:right w:val="single" w:sz="4" w:space="0" w:color="auto"/>
            </w:tcBorders>
            <w:hideMark/>
          </w:tcPr>
          <w:p w14:paraId="47CAF65E" w14:textId="77777777" w:rsidR="000956C2" w:rsidRDefault="000956C2">
            <w:pPr>
              <w:rPr>
                <w:b/>
              </w:rPr>
            </w:pPr>
            <w:r>
              <w:rPr>
                <w:b/>
              </w:rPr>
              <w:t>Timeframe</w:t>
            </w:r>
          </w:p>
        </w:tc>
        <w:tc>
          <w:tcPr>
            <w:tcW w:w="6655" w:type="dxa"/>
            <w:tcBorders>
              <w:top w:val="single" w:sz="4" w:space="0" w:color="auto"/>
              <w:left w:val="single" w:sz="4" w:space="0" w:color="auto"/>
              <w:bottom w:val="single" w:sz="4" w:space="0" w:color="auto"/>
              <w:right w:val="single" w:sz="4" w:space="0" w:color="auto"/>
            </w:tcBorders>
            <w:hideMark/>
          </w:tcPr>
          <w:p w14:paraId="505A4DB0" w14:textId="77777777" w:rsidR="000956C2" w:rsidRDefault="000956C2">
            <w:pPr>
              <w:rPr>
                <w:b/>
              </w:rPr>
            </w:pPr>
            <w:r>
              <w:rPr>
                <w:b/>
              </w:rPr>
              <w:t>Action</w:t>
            </w:r>
          </w:p>
        </w:tc>
      </w:tr>
      <w:tr w:rsidR="000956C2" w14:paraId="2F98E89A" w14:textId="77777777" w:rsidTr="000956C2">
        <w:tc>
          <w:tcPr>
            <w:tcW w:w="2695" w:type="dxa"/>
            <w:tcBorders>
              <w:top w:val="single" w:sz="4" w:space="0" w:color="auto"/>
              <w:left w:val="single" w:sz="4" w:space="0" w:color="auto"/>
              <w:bottom w:val="single" w:sz="4" w:space="0" w:color="auto"/>
              <w:right w:val="single" w:sz="4" w:space="0" w:color="auto"/>
            </w:tcBorders>
            <w:hideMark/>
          </w:tcPr>
          <w:p w14:paraId="7FF8E9F4" w14:textId="77777777" w:rsidR="000956C2" w:rsidRDefault="000956C2">
            <w:r>
              <w:t>December 2023</w:t>
            </w:r>
          </w:p>
        </w:tc>
        <w:tc>
          <w:tcPr>
            <w:tcW w:w="6655" w:type="dxa"/>
            <w:tcBorders>
              <w:top w:val="single" w:sz="4" w:space="0" w:color="auto"/>
              <w:left w:val="single" w:sz="4" w:space="0" w:color="auto"/>
              <w:bottom w:val="single" w:sz="4" w:space="0" w:color="auto"/>
              <w:right w:val="single" w:sz="4" w:space="0" w:color="auto"/>
            </w:tcBorders>
          </w:tcPr>
          <w:p w14:paraId="0B3428BC" w14:textId="77777777" w:rsidR="000956C2" w:rsidRDefault="000956C2" w:rsidP="000956C2">
            <w:pPr>
              <w:pStyle w:val="ListParagraph"/>
              <w:widowControl w:val="0"/>
              <w:numPr>
                <w:ilvl w:val="0"/>
                <w:numId w:val="17"/>
              </w:numPr>
              <w:snapToGrid w:val="0"/>
              <w:ind w:left="342"/>
              <w:contextualSpacing/>
            </w:pPr>
            <w:r>
              <w:t>Discussion of potential changes with the Accountability and Assistance Advisory Council (AAAC)</w:t>
            </w:r>
          </w:p>
          <w:p w14:paraId="6B0B67C5" w14:textId="77777777" w:rsidR="000956C2" w:rsidRDefault="000956C2">
            <w:pPr>
              <w:pStyle w:val="ListParagraph"/>
              <w:ind w:left="342" w:hanging="246"/>
            </w:pPr>
          </w:p>
        </w:tc>
      </w:tr>
      <w:tr w:rsidR="000956C2" w14:paraId="2360B952" w14:textId="77777777" w:rsidTr="000956C2">
        <w:tc>
          <w:tcPr>
            <w:tcW w:w="2695" w:type="dxa"/>
            <w:tcBorders>
              <w:top w:val="single" w:sz="4" w:space="0" w:color="auto"/>
              <w:left w:val="single" w:sz="4" w:space="0" w:color="auto"/>
              <w:bottom w:val="single" w:sz="4" w:space="0" w:color="auto"/>
              <w:right w:val="single" w:sz="4" w:space="0" w:color="auto"/>
            </w:tcBorders>
          </w:tcPr>
          <w:p w14:paraId="1820357D" w14:textId="77777777" w:rsidR="000956C2" w:rsidRDefault="000956C2">
            <w:r>
              <w:t>December 2023 – January 2024</w:t>
            </w:r>
          </w:p>
          <w:p w14:paraId="26B0B236" w14:textId="77777777" w:rsidR="000956C2" w:rsidRDefault="000956C2"/>
        </w:tc>
        <w:tc>
          <w:tcPr>
            <w:tcW w:w="6655" w:type="dxa"/>
            <w:tcBorders>
              <w:top w:val="single" w:sz="4" w:space="0" w:color="auto"/>
              <w:left w:val="single" w:sz="4" w:space="0" w:color="auto"/>
              <w:bottom w:val="single" w:sz="4" w:space="0" w:color="auto"/>
              <w:right w:val="single" w:sz="4" w:space="0" w:color="auto"/>
            </w:tcBorders>
          </w:tcPr>
          <w:p w14:paraId="63B18520" w14:textId="77777777" w:rsidR="000956C2" w:rsidRDefault="000956C2" w:rsidP="000956C2">
            <w:pPr>
              <w:pStyle w:val="ListParagraph"/>
              <w:widowControl w:val="0"/>
              <w:numPr>
                <w:ilvl w:val="0"/>
                <w:numId w:val="17"/>
              </w:numPr>
              <w:snapToGrid w:val="0"/>
              <w:ind w:left="342"/>
              <w:contextualSpacing/>
            </w:pPr>
            <w:r>
              <w:t>Public comment on proposed changes</w:t>
            </w:r>
          </w:p>
          <w:p w14:paraId="2C4D0FB7" w14:textId="77777777" w:rsidR="000956C2" w:rsidRDefault="000956C2">
            <w:pPr>
              <w:pStyle w:val="ListParagraph"/>
              <w:ind w:left="342"/>
            </w:pPr>
          </w:p>
        </w:tc>
      </w:tr>
      <w:tr w:rsidR="000956C2" w14:paraId="6DBBBDEB" w14:textId="77777777" w:rsidTr="000956C2">
        <w:tc>
          <w:tcPr>
            <w:tcW w:w="2695" w:type="dxa"/>
            <w:tcBorders>
              <w:top w:val="single" w:sz="4" w:space="0" w:color="auto"/>
              <w:left w:val="single" w:sz="4" w:space="0" w:color="auto"/>
              <w:bottom w:val="single" w:sz="4" w:space="0" w:color="auto"/>
              <w:right w:val="single" w:sz="4" w:space="0" w:color="auto"/>
            </w:tcBorders>
          </w:tcPr>
          <w:p w14:paraId="50B25076" w14:textId="77777777" w:rsidR="000956C2" w:rsidRDefault="000956C2">
            <w:r>
              <w:t>January 2024</w:t>
            </w:r>
          </w:p>
          <w:p w14:paraId="63C59841" w14:textId="77777777" w:rsidR="000956C2" w:rsidRDefault="000956C2"/>
        </w:tc>
        <w:tc>
          <w:tcPr>
            <w:tcW w:w="6655" w:type="dxa"/>
            <w:tcBorders>
              <w:top w:val="single" w:sz="4" w:space="0" w:color="auto"/>
              <w:left w:val="single" w:sz="4" w:space="0" w:color="auto"/>
              <w:bottom w:val="single" w:sz="4" w:space="0" w:color="auto"/>
              <w:right w:val="single" w:sz="4" w:space="0" w:color="auto"/>
            </w:tcBorders>
          </w:tcPr>
          <w:p w14:paraId="2E6EEA34" w14:textId="77777777" w:rsidR="000956C2" w:rsidRDefault="000956C2" w:rsidP="000956C2">
            <w:pPr>
              <w:pStyle w:val="ListParagraph"/>
              <w:widowControl w:val="0"/>
              <w:numPr>
                <w:ilvl w:val="0"/>
                <w:numId w:val="17"/>
              </w:numPr>
              <w:snapToGrid w:val="0"/>
              <w:ind w:left="342"/>
              <w:contextualSpacing/>
            </w:pPr>
            <w:r>
              <w:t>Discussion and Board vote on proposed changes</w:t>
            </w:r>
          </w:p>
          <w:p w14:paraId="701B98A4" w14:textId="77777777" w:rsidR="000956C2" w:rsidRDefault="000956C2">
            <w:pPr>
              <w:pStyle w:val="ListParagraph"/>
              <w:ind w:left="342" w:hanging="246"/>
            </w:pPr>
          </w:p>
        </w:tc>
      </w:tr>
    </w:tbl>
    <w:p w14:paraId="5671C167" w14:textId="77777777" w:rsidR="000956C2" w:rsidRDefault="000956C2" w:rsidP="000956C2"/>
    <w:p w14:paraId="65156EF2" w14:textId="77777777" w:rsidR="000956C2" w:rsidRDefault="000956C2" w:rsidP="000956C2">
      <w:r>
        <w:t>Rob Curtin, Chief Officer of Data, Assessment, and Accountability, and Erica Gonzales, Associate Commissioner of Data and Accountability, will be at the meeting on January 23 to discuss the potential changes to the system and respond to your questions.</w:t>
      </w:r>
    </w:p>
    <w:p w14:paraId="024E34A7" w14:textId="77777777" w:rsidR="000956C2" w:rsidRDefault="000956C2" w:rsidP="000956C2"/>
    <w:p w14:paraId="66887482" w14:textId="77777777" w:rsidR="00515BCD" w:rsidRDefault="00515BCD" w:rsidP="000956C2"/>
    <w:p w14:paraId="0D468C04" w14:textId="514BDDCA" w:rsidR="000956C2" w:rsidRDefault="000956C2" w:rsidP="000956C2">
      <w:r>
        <w:t xml:space="preserve">Encl: </w:t>
      </w:r>
      <w:r>
        <w:tab/>
        <w:t>Summary of Massachusetts' District and School Accountability System</w:t>
      </w:r>
    </w:p>
    <w:p w14:paraId="66762269" w14:textId="0480C097" w:rsidR="000956C2" w:rsidRDefault="000956C2" w:rsidP="000956C2">
      <w:r>
        <w:tab/>
        <w:t>Summary of Public Comment Received</w:t>
      </w:r>
    </w:p>
    <w:p w14:paraId="0CDAFF45" w14:textId="77777777" w:rsidR="000956C2" w:rsidRDefault="000956C2"/>
    <w:sectPr w:rsidR="000956C2" w:rsidSect="00FA1ACE">
      <w:footerReference w:type="default" r:id="rId14"/>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4997" w14:textId="77777777" w:rsidR="00FA1ACE" w:rsidRDefault="00FA1ACE">
      <w:r>
        <w:separator/>
      </w:r>
    </w:p>
  </w:endnote>
  <w:endnote w:type="continuationSeparator" w:id="0">
    <w:p w14:paraId="045E213B" w14:textId="77777777" w:rsidR="00FA1ACE" w:rsidRDefault="00FA1ACE">
      <w:r>
        <w:continuationSeparator/>
      </w:r>
    </w:p>
  </w:endnote>
  <w:endnote w:type="continuationNotice" w:id="1">
    <w:p w14:paraId="2DC6FE35" w14:textId="77777777" w:rsidR="00FA1ACE" w:rsidRDefault="00FA1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33931513" w14:textId="5D454DD2" w:rsidR="001F1BC3" w:rsidRDefault="00BC0B4A" w:rsidP="007D431B">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77D7" w14:textId="77777777" w:rsidR="00FA1ACE" w:rsidRDefault="00FA1ACE">
      <w:r>
        <w:separator/>
      </w:r>
    </w:p>
  </w:footnote>
  <w:footnote w:type="continuationSeparator" w:id="0">
    <w:p w14:paraId="3749A924" w14:textId="77777777" w:rsidR="00FA1ACE" w:rsidRDefault="00FA1ACE">
      <w:r>
        <w:continuationSeparator/>
      </w:r>
    </w:p>
  </w:footnote>
  <w:footnote w:type="continuationNotice" w:id="1">
    <w:p w14:paraId="05FB92EE" w14:textId="77777777" w:rsidR="00FA1ACE" w:rsidRDefault="00FA1ACE"/>
  </w:footnote>
  <w:footnote w:id="2">
    <w:p w14:paraId="3FDBC328" w14:textId="481B97A7" w:rsidR="00E800EF" w:rsidRPr="00697C8B" w:rsidRDefault="00E800EF">
      <w:pPr>
        <w:pStyle w:val="FootnoteText"/>
      </w:pPr>
      <w:r w:rsidRPr="00697C8B">
        <w:rPr>
          <w:rStyle w:val="FootnoteReference"/>
          <w:vertAlign w:val="superscript"/>
        </w:rPr>
        <w:footnoteRef/>
      </w:r>
      <w:r w:rsidRPr="00697C8B">
        <w:rPr>
          <w:vertAlign w:val="superscript"/>
        </w:rPr>
        <w:t xml:space="preserve"> </w:t>
      </w:r>
      <w:r w:rsidR="00697C8B" w:rsidRPr="006C0B6E">
        <w:t xml:space="preserve">603 CMR 2.03(10): </w:t>
      </w:r>
      <w:r w:rsidR="00697C8B" w:rsidRPr="006C0B6E">
        <w:rPr>
          <w:i/>
        </w:rPr>
        <w:t>Accountability and Assistance for School Districts and Schools:</w:t>
      </w:r>
      <w:r w:rsidR="00697C8B">
        <w:rPr>
          <w:i/>
        </w:rPr>
        <w:t xml:space="preserve"> </w:t>
      </w:r>
      <w:r w:rsidR="00697C8B" w:rsidRPr="006C0B6E">
        <w:t>The Department shall solicit public comment on proposed changes to the framework for district and school accountability and assistance, including changes to the indicators or the weighting of indicators in the framework. After considering the public comment, the commissioner will forward a recommendation for any proposed changes to the Board for approval.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4F1"/>
    <w:multiLevelType w:val="hybridMultilevel"/>
    <w:tmpl w:val="7ABCD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92657"/>
    <w:multiLevelType w:val="hybridMultilevel"/>
    <w:tmpl w:val="2D4A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7"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634A0"/>
    <w:multiLevelType w:val="hybridMultilevel"/>
    <w:tmpl w:val="228E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656742">
    <w:abstractNumId w:val="6"/>
  </w:num>
  <w:num w:numId="2" w16cid:durableId="1105880202">
    <w:abstractNumId w:val="10"/>
  </w:num>
  <w:num w:numId="3" w16cid:durableId="207185529">
    <w:abstractNumId w:val="4"/>
  </w:num>
  <w:num w:numId="4" w16cid:durableId="674305572">
    <w:abstractNumId w:val="14"/>
  </w:num>
  <w:num w:numId="5" w16cid:durableId="764116017">
    <w:abstractNumId w:val="7"/>
  </w:num>
  <w:num w:numId="6" w16cid:durableId="1731728533">
    <w:abstractNumId w:val="13"/>
  </w:num>
  <w:num w:numId="7" w16cid:durableId="1938098791">
    <w:abstractNumId w:val="8"/>
  </w:num>
  <w:num w:numId="8" w16cid:durableId="1639917270">
    <w:abstractNumId w:val="3"/>
  </w:num>
  <w:num w:numId="9" w16cid:durableId="1989018519">
    <w:abstractNumId w:val="2"/>
  </w:num>
  <w:num w:numId="10" w16cid:durableId="1351495825">
    <w:abstractNumId w:val="1"/>
  </w:num>
  <w:num w:numId="11" w16cid:durableId="960765829">
    <w:abstractNumId w:val="15"/>
  </w:num>
  <w:num w:numId="12" w16cid:durableId="269748796">
    <w:abstractNumId w:val="9"/>
  </w:num>
  <w:num w:numId="13" w16cid:durableId="392317069">
    <w:abstractNumId w:val="17"/>
  </w:num>
  <w:num w:numId="14" w16cid:durableId="1365445154">
    <w:abstractNumId w:val="12"/>
  </w:num>
  <w:num w:numId="15" w16cid:durableId="1260991181">
    <w:abstractNumId w:val="5"/>
  </w:num>
  <w:num w:numId="16" w16cid:durableId="16910283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54705">
    <w:abstractNumId w:val="0"/>
  </w:num>
  <w:num w:numId="18" w16cid:durableId="984242299">
    <w:abstractNumId w:val="11"/>
  </w:num>
  <w:num w:numId="19" w16cid:durableId="1627469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106FD"/>
    <w:rsid w:val="00012F0E"/>
    <w:rsid w:val="0001369A"/>
    <w:rsid w:val="00021821"/>
    <w:rsid w:val="00025507"/>
    <w:rsid w:val="0004066E"/>
    <w:rsid w:val="00041CA1"/>
    <w:rsid w:val="0004549F"/>
    <w:rsid w:val="000457B9"/>
    <w:rsid w:val="00046685"/>
    <w:rsid w:val="00052EFE"/>
    <w:rsid w:val="000556C1"/>
    <w:rsid w:val="000576C5"/>
    <w:rsid w:val="00062FA8"/>
    <w:rsid w:val="00064857"/>
    <w:rsid w:val="00085950"/>
    <w:rsid w:val="000956C2"/>
    <w:rsid w:val="000A065E"/>
    <w:rsid w:val="000A0D6A"/>
    <w:rsid w:val="000A0F1D"/>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36904"/>
    <w:rsid w:val="001433A2"/>
    <w:rsid w:val="001449CB"/>
    <w:rsid w:val="0015328C"/>
    <w:rsid w:val="00157737"/>
    <w:rsid w:val="001652E5"/>
    <w:rsid w:val="00167E8F"/>
    <w:rsid w:val="001710B3"/>
    <w:rsid w:val="00185E9E"/>
    <w:rsid w:val="00190AEB"/>
    <w:rsid w:val="00196311"/>
    <w:rsid w:val="001A1F82"/>
    <w:rsid w:val="001A3C99"/>
    <w:rsid w:val="001A698A"/>
    <w:rsid w:val="001B4513"/>
    <w:rsid w:val="001C04F3"/>
    <w:rsid w:val="001C0E08"/>
    <w:rsid w:val="001D2934"/>
    <w:rsid w:val="001D4F6E"/>
    <w:rsid w:val="001E57B5"/>
    <w:rsid w:val="001F00D1"/>
    <w:rsid w:val="001F1BC3"/>
    <w:rsid w:val="001F56D8"/>
    <w:rsid w:val="00201172"/>
    <w:rsid w:val="00210C78"/>
    <w:rsid w:val="002111CB"/>
    <w:rsid w:val="00213AD5"/>
    <w:rsid w:val="00215FA9"/>
    <w:rsid w:val="002163A1"/>
    <w:rsid w:val="00224E72"/>
    <w:rsid w:val="0022653C"/>
    <w:rsid w:val="00230B47"/>
    <w:rsid w:val="00241A1F"/>
    <w:rsid w:val="00243A55"/>
    <w:rsid w:val="002502CB"/>
    <w:rsid w:val="0025537F"/>
    <w:rsid w:val="00261BFC"/>
    <w:rsid w:val="00271228"/>
    <w:rsid w:val="002713FC"/>
    <w:rsid w:val="00273152"/>
    <w:rsid w:val="002731F3"/>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6DA3"/>
    <w:rsid w:val="002F3534"/>
    <w:rsid w:val="002F5424"/>
    <w:rsid w:val="00306095"/>
    <w:rsid w:val="00307FDD"/>
    <w:rsid w:val="00315230"/>
    <w:rsid w:val="003166C8"/>
    <w:rsid w:val="00316F05"/>
    <w:rsid w:val="00329642"/>
    <w:rsid w:val="00330D15"/>
    <w:rsid w:val="00341D57"/>
    <w:rsid w:val="00353BC1"/>
    <w:rsid w:val="00354C15"/>
    <w:rsid w:val="003550DC"/>
    <w:rsid w:val="00360559"/>
    <w:rsid w:val="00361467"/>
    <w:rsid w:val="00363A77"/>
    <w:rsid w:val="00363EC5"/>
    <w:rsid w:val="00376C99"/>
    <w:rsid w:val="0039194F"/>
    <w:rsid w:val="003953C8"/>
    <w:rsid w:val="003B43E3"/>
    <w:rsid w:val="003B73F7"/>
    <w:rsid w:val="003C4139"/>
    <w:rsid w:val="003D0DE2"/>
    <w:rsid w:val="003D0F91"/>
    <w:rsid w:val="003D25FA"/>
    <w:rsid w:val="003D335F"/>
    <w:rsid w:val="003E35EB"/>
    <w:rsid w:val="003E47E7"/>
    <w:rsid w:val="003F72AB"/>
    <w:rsid w:val="00404B36"/>
    <w:rsid w:val="0041210C"/>
    <w:rsid w:val="004159AD"/>
    <w:rsid w:val="00416B99"/>
    <w:rsid w:val="004173F3"/>
    <w:rsid w:val="004202BA"/>
    <w:rsid w:val="004216F2"/>
    <w:rsid w:val="004233C3"/>
    <w:rsid w:val="004242A3"/>
    <w:rsid w:val="00435E8F"/>
    <w:rsid w:val="00442409"/>
    <w:rsid w:val="00442F66"/>
    <w:rsid w:val="00445DD7"/>
    <w:rsid w:val="004621DF"/>
    <w:rsid w:val="00466D00"/>
    <w:rsid w:val="00471607"/>
    <w:rsid w:val="00485687"/>
    <w:rsid w:val="00487EF3"/>
    <w:rsid w:val="004911D6"/>
    <w:rsid w:val="0049325F"/>
    <w:rsid w:val="004936AC"/>
    <w:rsid w:val="004A33E4"/>
    <w:rsid w:val="004A4B97"/>
    <w:rsid w:val="004A669E"/>
    <w:rsid w:val="004A7C2E"/>
    <w:rsid w:val="004B3C8A"/>
    <w:rsid w:val="004B477C"/>
    <w:rsid w:val="004C56D6"/>
    <w:rsid w:val="004D040A"/>
    <w:rsid w:val="004E060F"/>
    <w:rsid w:val="004E4939"/>
    <w:rsid w:val="004E5697"/>
    <w:rsid w:val="004F0781"/>
    <w:rsid w:val="004F2A91"/>
    <w:rsid w:val="004F2ACF"/>
    <w:rsid w:val="005002A8"/>
    <w:rsid w:val="00501082"/>
    <w:rsid w:val="00503291"/>
    <w:rsid w:val="00507BF7"/>
    <w:rsid w:val="00511E41"/>
    <w:rsid w:val="005135B4"/>
    <w:rsid w:val="00515BCD"/>
    <w:rsid w:val="00516A0F"/>
    <w:rsid w:val="005217FC"/>
    <w:rsid w:val="00525F57"/>
    <w:rsid w:val="00534FF2"/>
    <w:rsid w:val="0054041F"/>
    <w:rsid w:val="005430E2"/>
    <w:rsid w:val="00544E61"/>
    <w:rsid w:val="005463E4"/>
    <w:rsid w:val="0055308F"/>
    <w:rsid w:val="00554B85"/>
    <w:rsid w:val="00555019"/>
    <w:rsid w:val="0057065E"/>
    <w:rsid w:val="00571660"/>
    <w:rsid w:val="00571666"/>
    <w:rsid w:val="00580DFA"/>
    <w:rsid w:val="0058702A"/>
    <w:rsid w:val="0059178C"/>
    <w:rsid w:val="005A3DFB"/>
    <w:rsid w:val="005A4C11"/>
    <w:rsid w:val="005C1013"/>
    <w:rsid w:val="005D013E"/>
    <w:rsid w:val="005D2993"/>
    <w:rsid w:val="005E3535"/>
    <w:rsid w:val="005E4C60"/>
    <w:rsid w:val="005E4EF5"/>
    <w:rsid w:val="005F2DD8"/>
    <w:rsid w:val="005F4333"/>
    <w:rsid w:val="00607C24"/>
    <w:rsid w:val="0062033C"/>
    <w:rsid w:val="00622645"/>
    <w:rsid w:val="00630B70"/>
    <w:rsid w:val="00635070"/>
    <w:rsid w:val="00646BE7"/>
    <w:rsid w:val="00647466"/>
    <w:rsid w:val="0064770F"/>
    <w:rsid w:val="00650776"/>
    <w:rsid w:val="00653DA3"/>
    <w:rsid w:val="0066458A"/>
    <w:rsid w:val="006646C8"/>
    <w:rsid w:val="006667C0"/>
    <w:rsid w:val="0066789B"/>
    <w:rsid w:val="00680CCF"/>
    <w:rsid w:val="00691197"/>
    <w:rsid w:val="006925C9"/>
    <w:rsid w:val="00697C8B"/>
    <w:rsid w:val="006A0F24"/>
    <w:rsid w:val="006A3D35"/>
    <w:rsid w:val="006A5EC7"/>
    <w:rsid w:val="006A7D02"/>
    <w:rsid w:val="006C0F45"/>
    <w:rsid w:val="006C543E"/>
    <w:rsid w:val="006D4E62"/>
    <w:rsid w:val="006F339C"/>
    <w:rsid w:val="006F5210"/>
    <w:rsid w:val="006F57AE"/>
    <w:rsid w:val="0070548F"/>
    <w:rsid w:val="007072FB"/>
    <w:rsid w:val="007155C0"/>
    <w:rsid w:val="007256AB"/>
    <w:rsid w:val="007374CB"/>
    <w:rsid w:val="00741038"/>
    <w:rsid w:val="00743226"/>
    <w:rsid w:val="0074422E"/>
    <w:rsid w:val="00750959"/>
    <w:rsid w:val="00755C81"/>
    <w:rsid w:val="007569B3"/>
    <w:rsid w:val="00761FD8"/>
    <w:rsid w:val="00763B5B"/>
    <w:rsid w:val="00763C00"/>
    <w:rsid w:val="007665E9"/>
    <w:rsid w:val="007732FB"/>
    <w:rsid w:val="00774BD3"/>
    <w:rsid w:val="00776174"/>
    <w:rsid w:val="00784ACC"/>
    <w:rsid w:val="00785F0D"/>
    <w:rsid w:val="00786ED5"/>
    <w:rsid w:val="00787E2D"/>
    <w:rsid w:val="00791578"/>
    <w:rsid w:val="00792CF0"/>
    <w:rsid w:val="007B3294"/>
    <w:rsid w:val="007B5827"/>
    <w:rsid w:val="007B6EC5"/>
    <w:rsid w:val="007C002F"/>
    <w:rsid w:val="007C6735"/>
    <w:rsid w:val="007D26A4"/>
    <w:rsid w:val="007D2CAF"/>
    <w:rsid w:val="007D431B"/>
    <w:rsid w:val="007E2623"/>
    <w:rsid w:val="007E2E1E"/>
    <w:rsid w:val="007E62A6"/>
    <w:rsid w:val="007F64C5"/>
    <w:rsid w:val="00803008"/>
    <w:rsid w:val="00807EBF"/>
    <w:rsid w:val="008126E8"/>
    <w:rsid w:val="008163FF"/>
    <w:rsid w:val="00824A61"/>
    <w:rsid w:val="0083108B"/>
    <w:rsid w:val="00831CE9"/>
    <w:rsid w:val="00832A24"/>
    <w:rsid w:val="008402FD"/>
    <w:rsid w:val="00841589"/>
    <w:rsid w:val="00843308"/>
    <w:rsid w:val="00844114"/>
    <w:rsid w:val="00844D0E"/>
    <w:rsid w:val="008459BC"/>
    <w:rsid w:val="008475E5"/>
    <w:rsid w:val="00856EA1"/>
    <w:rsid w:val="00865C47"/>
    <w:rsid w:val="008828BC"/>
    <w:rsid w:val="008862AD"/>
    <w:rsid w:val="00896E27"/>
    <w:rsid w:val="008A07BF"/>
    <w:rsid w:val="008A509E"/>
    <w:rsid w:val="008B14B1"/>
    <w:rsid w:val="008B16CB"/>
    <w:rsid w:val="008C238A"/>
    <w:rsid w:val="008C5534"/>
    <w:rsid w:val="008C6578"/>
    <w:rsid w:val="008C6F0E"/>
    <w:rsid w:val="008D0443"/>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468E4"/>
    <w:rsid w:val="00947C0C"/>
    <w:rsid w:val="00954C66"/>
    <w:rsid w:val="009556AC"/>
    <w:rsid w:val="00955888"/>
    <w:rsid w:val="0096454B"/>
    <w:rsid w:val="00965E6D"/>
    <w:rsid w:val="00970B2E"/>
    <w:rsid w:val="00972AD9"/>
    <w:rsid w:val="00974F8E"/>
    <w:rsid w:val="00976F4C"/>
    <w:rsid w:val="009778D0"/>
    <w:rsid w:val="00986649"/>
    <w:rsid w:val="00996805"/>
    <w:rsid w:val="009A3F37"/>
    <w:rsid w:val="009A76CD"/>
    <w:rsid w:val="009B025C"/>
    <w:rsid w:val="009B3502"/>
    <w:rsid w:val="009B4B18"/>
    <w:rsid w:val="009B4CF2"/>
    <w:rsid w:val="009C1350"/>
    <w:rsid w:val="009D11E3"/>
    <w:rsid w:val="009D638D"/>
    <w:rsid w:val="009D6C62"/>
    <w:rsid w:val="009E48AC"/>
    <w:rsid w:val="009E5DE8"/>
    <w:rsid w:val="009F5663"/>
    <w:rsid w:val="009F6860"/>
    <w:rsid w:val="009F7A16"/>
    <w:rsid w:val="00A01243"/>
    <w:rsid w:val="00A02608"/>
    <w:rsid w:val="00A20194"/>
    <w:rsid w:val="00A327E4"/>
    <w:rsid w:val="00A4251A"/>
    <w:rsid w:val="00A4297E"/>
    <w:rsid w:val="00A464FB"/>
    <w:rsid w:val="00A51C78"/>
    <w:rsid w:val="00A555FD"/>
    <w:rsid w:val="00A64182"/>
    <w:rsid w:val="00A669F1"/>
    <w:rsid w:val="00A70FE3"/>
    <w:rsid w:val="00A72039"/>
    <w:rsid w:val="00A73C30"/>
    <w:rsid w:val="00A76105"/>
    <w:rsid w:val="00A7681B"/>
    <w:rsid w:val="00A9121F"/>
    <w:rsid w:val="00A91FF8"/>
    <w:rsid w:val="00A925C1"/>
    <w:rsid w:val="00A93A5E"/>
    <w:rsid w:val="00A94F83"/>
    <w:rsid w:val="00A954F1"/>
    <w:rsid w:val="00AA2C45"/>
    <w:rsid w:val="00AA4D66"/>
    <w:rsid w:val="00AA53EA"/>
    <w:rsid w:val="00AB5330"/>
    <w:rsid w:val="00AB6343"/>
    <w:rsid w:val="00AC1A57"/>
    <w:rsid w:val="00AC1C82"/>
    <w:rsid w:val="00AC2D48"/>
    <w:rsid w:val="00AD3989"/>
    <w:rsid w:val="00AD461E"/>
    <w:rsid w:val="00AD58F2"/>
    <w:rsid w:val="00AE18F0"/>
    <w:rsid w:val="00AE40B7"/>
    <w:rsid w:val="00AF0A91"/>
    <w:rsid w:val="00AF406C"/>
    <w:rsid w:val="00B0351F"/>
    <w:rsid w:val="00B10B56"/>
    <w:rsid w:val="00B13D27"/>
    <w:rsid w:val="00B15E7C"/>
    <w:rsid w:val="00B21B38"/>
    <w:rsid w:val="00B23AD1"/>
    <w:rsid w:val="00B26E87"/>
    <w:rsid w:val="00B34968"/>
    <w:rsid w:val="00B3741A"/>
    <w:rsid w:val="00B37922"/>
    <w:rsid w:val="00B406F4"/>
    <w:rsid w:val="00B46222"/>
    <w:rsid w:val="00B527BD"/>
    <w:rsid w:val="00B81971"/>
    <w:rsid w:val="00B836AF"/>
    <w:rsid w:val="00B83F08"/>
    <w:rsid w:val="00B876CB"/>
    <w:rsid w:val="00B9714D"/>
    <w:rsid w:val="00BA1BA6"/>
    <w:rsid w:val="00BA288C"/>
    <w:rsid w:val="00BA6910"/>
    <w:rsid w:val="00BA7399"/>
    <w:rsid w:val="00BB208C"/>
    <w:rsid w:val="00BB31FB"/>
    <w:rsid w:val="00BB5D8F"/>
    <w:rsid w:val="00BB7BB2"/>
    <w:rsid w:val="00BC0B4A"/>
    <w:rsid w:val="00BC1D16"/>
    <w:rsid w:val="00BD2885"/>
    <w:rsid w:val="00BD2F0F"/>
    <w:rsid w:val="00BD39B1"/>
    <w:rsid w:val="00BD7402"/>
    <w:rsid w:val="00BE2178"/>
    <w:rsid w:val="00BE5EBB"/>
    <w:rsid w:val="00BF65B8"/>
    <w:rsid w:val="00C003E1"/>
    <w:rsid w:val="00C129F6"/>
    <w:rsid w:val="00C20586"/>
    <w:rsid w:val="00C20A80"/>
    <w:rsid w:val="00C24857"/>
    <w:rsid w:val="00C34091"/>
    <w:rsid w:val="00C37E40"/>
    <w:rsid w:val="00C46D5F"/>
    <w:rsid w:val="00C57023"/>
    <w:rsid w:val="00C63BA8"/>
    <w:rsid w:val="00C67032"/>
    <w:rsid w:val="00C7397D"/>
    <w:rsid w:val="00C747CC"/>
    <w:rsid w:val="00C750B5"/>
    <w:rsid w:val="00C87116"/>
    <w:rsid w:val="00C96C2D"/>
    <w:rsid w:val="00C974A6"/>
    <w:rsid w:val="00CB0D38"/>
    <w:rsid w:val="00CB3E17"/>
    <w:rsid w:val="00CB49B3"/>
    <w:rsid w:val="00CC0D5A"/>
    <w:rsid w:val="00CC62B2"/>
    <w:rsid w:val="00CC66FF"/>
    <w:rsid w:val="00CC6C12"/>
    <w:rsid w:val="00CD6BD9"/>
    <w:rsid w:val="00CE5315"/>
    <w:rsid w:val="00CF66F0"/>
    <w:rsid w:val="00D00F0A"/>
    <w:rsid w:val="00D04AC1"/>
    <w:rsid w:val="00D0526F"/>
    <w:rsid w:val="00D1308B"/>
    <w:rsid w:val="00D135F0"/>
    <w:rsid w:val="00D1782C"/>
    <w:rsid w:val="00D21283"/>
    <w:rsid w:val="00D2509D"/>
    <w:rsid w:val="00D300AF"/>
    <w:rsid w:val="00D44215"/>
    <w:rsid w:val="00D456B8"/>
    <w:rsid w:val="00D54AED"/>
    <w:rsid w:val="00D57C54"/>
    <w:rsid w:val="00D73B50"/>
    <w:rsid w:val="00D73C51"/>
    <w:rsid w:val="00D744BC"/>
    <w:rsid w:val="00D854CB"/>
    <w:rsid w:val="00D87F0A"/>
    <w:rsid w:val="00D9488D"/>
    <w:rsid w:val="00DB5DFB"/>
    <w:rsid w:val="00DC10F4"/>
    <w:rsid w:val="00DC1F97"/>
    <w:rsid w:val="00DC6E1E"/>
    <w:rsid w:val="00DD1603"/>
    <w:rsid w:val="00DD1E7A"/>
    <w:rsid w:val="00DD589C"/>
    <w:rsid w:val="00DD59FC"/>
    <w:rsid w:val="00DE73A8"/>
    <w:rsid w:val="00DF525B"/>
    <w:rsid w:val="00DF544F"/>
    <w:rsid w:val="00DF77B1"/>
    <w:rsid w:val="00E00E93"/>
    <w:rsid w:val="00E01297"/>
    <w:rsid w:val="00E0199E"/>
    <w:rsid w:val="00E01D3F"/>
    <w:rsid w:val="00E03D02"/>
    <w:rsid w:val="00E06DAC"/>
    <w:rsid w:val="00E11954"/>
    <w:rsid w:val="00E22CAC"/>
    <w:rsid w:val="00E3387C"/>
    <w:rsid w:val="00E429C8"/>
    <w:rsid w:val="00E466AE"/>
    <w:rsid w:val="00E47D6B"/>
    <w:rsid w:val="00E520CA"/>
    <w:rsid w:val="00E526FB"/>
    <w:rsid w:val="00E555C3"/>
    <w:rsid w:val="00E609E5"/>
    <w:rsid w:val="00E64E64"/>
    <w:rsid w:val="00E6720F"/>
    <w:rsid w:val="00E730C5"/>
    <w:rsid w:val="00E76581"/>
    <w:rsid w:val="00E77FAD"/>
    <w:rsid w:val="00E800EF"/>
    <w:rsid w:val="00E91B1E"/>
    <w:rsid w:val="00E93CFB"/>
    <w:rsid w:val="00E95F74"/>
    <w:rsid w:val="00E961C6"/>
    <w:rsid w:val="00EA459F"/>
    <w:rsid w:val="00EB0A24"/>
    <w:rsid w:val="00EB17D8"/>
    <w:rsid w:val="00EC3C27"/>
    <w:rsid w:val="00EC7A18"/>
    <w:rsid w:val="00ED7872"/>
    <w:rsid w:val="00EE0A55"/>
    <w:rsid w:val="00EE24FC"/>
    <w:rsid w:val="00EF3C80"/>
    <w:rsid w:val="00F01D55"/>
    <w:rsid w:val="00F071C7"/>
    <w:rsid w:val="00F0768F"/>
    <w:rsid w:val="00F12B42"/>
    <w:rsid w:val="00F1469B"/>
    <w:rsid w:val="00F15A05"/>
    <w:rsid w:val="00F2396B"/>
    <w:rsid w:val="00F25840"/>
    <w:rsid w:val="00F259BE"/>
    <w:rsid w:val="00F26989"/>
    <w:rsid w:val="00F27F99"/>
    <w:rsid w:val="00F30A81"/>
    <w:rsid w:val="00F4043D"/>
    <w:rsid w:val="00F460CD"/>
    <w:rsid w:val="00F4656E"/>
    <w:rsid w:val="00F47B52"/>
    <w:rsid w:val="00F54C36"/>
    <w:rsid w:val="00F56BD3"/>
    <w:rsid w:val="00F57384"/>
    <w:rsid w:val="00F635EF"/>
    <w:rsid w:val="00F64018"/>
    <w:rsid w:val="00F66B73"/>
    <w:rsid w:val="00F71BBC"/>
    <w:rsid w:val="00F74AEF"/>
    <w:rsid w:val="00F7557C"/>
    <w:rsid w:val="00F76E32"/>
    <w:rsid w:val="00F8129F"/>
    <w:rsid w:val="00F878C5"/>
    <w:rsid w:val="00FA1ACE"/>
    <w:rsid w:val="00FA4B46"/>
    <w:rsid w:val="00FB0D18"/>
    <w:rsid w:val="00FB1F4A"/>
    <w:rsid w:val="00FC4C0A"/>
    <w:rsid w:val="00FE7D9A"/>
    <w:rsid w:val="00FF111F"/>
    <w:rsid w:val="01EC8A0A"/>
    <w:rsid w:val="02C016FF"/>
    <w:rsid w:val="02F28CA2"/>
    <w:rsid w:val="03AE2B7E"/>
    <w:rsid w:val="050F613C"/>
    <w:rsid w:val="051007ED"/>
    <w:rsid w:val="05C9C0EA"/>
    <w:rsid w:val="065B359D"/>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B76A14"/>
    <w:rsid w:val="2CE303D2"/>
    <w:rsid w:val="2DD92D6F"/>
    <w:rsid w:val="2E3D2DBC"/>
    <w:rsid w:val="2EBA04B8"/>
    <w:rsid w:val="328A067C"/>
    <w:rsid w:val="34161E5B"/>
    <w:rsid w:val="34B67E7A"/>
    <w:rsid w:val="36EB56B1"/>
    <w:rsid w:val="3D5D5370"/>
    <w:rsid w:val="3E81E31A"/>
    <w:rsid w:val="41176648"/>
    <w:rsid w:val="41804814"/>
    <w:rsid w:val="41CB6526"/>
    <w:rsid w:val="45DA2DCD"/>
    <w:rsid w:val="46588BA9"/>
    <w:rsid w:val="480C308C"/>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004D"/>
    <w:rsid w:val="66DB3849"/>
    <w:rsid w:val="67AD1EFD"/>
    <w:rsid w:val="6A39229A"/>
    <w:rsid w:val="6D7E2725"/>
    <w:rsid w:val="6FDE6E80"/>
    <w:rsid w:val="71DB1359"/>
    <w:rsid w:val="72497569"/>
    <w:rsid w:val="726076E2"/>
    <w:rsid w:val="7324E5B6"/>
    <w:rsid w:val="7739446D"/>
    <w:rsid w:val="77D6145F"/>
    <w:rsid w:val="7A0C7234"/>
    <w:rsid w:val="7C2FA90D"/>
    <w:rsid w:val="7CC63E4F"/>
    <w:rsid w:val="7E7BFF39"/>
    <w:rsid w:val="7F873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F3BFB9FC-8483-46D9-B403-9F6F84CB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semiHidden/>
    <w:rsid w:val="000B726B"/>
    <w:pPr>
      <w:widowControl/>
    </w:pPr>
    <w:rPr>
      <w:snapToGrid/>
      <w:sz w:val="20"/>
    </w:rPr>
  </w:style>
  <w:style w:type="character" w:customStyle="1" w:styleId="FootnoteTextChar">
    <w:name w:val="Footnote Text Char"/>
    <w:basedOn w:val="DefaultParagraphFont"/>
    <w:link w:val="FootnoteText"/>
    <w:semiHidden/>
    <w:rsid w:val="000B726B"/>
  </w:style>
  <w:style w:type="paragraph" w:styleId="Revision">
    <w:name w:val="Revision"/>
    <w:hidden/>
    <w:uiPriority w:val="99"/>
    <w:semiHidden/>
    <w:rsid w:val="0096454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896549078">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accountability/lists-tools/system-1pager-indicator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bese/docs/fy2024/2023-11/item3.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40A84CE2-D46E-4AD9-98AD-B25C2B9157B3}">
  <ds:schemaRefs>
    <ds:schemaRef ds:uri="http://schemas.openxmlformats.org/officeDocument/2006/bibliography"/>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5B66629C-7234-4E5D-B1F1-A1F20858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6993</CharactersWithSpaces>
  <SharedDoc>false</SharedDoc>
  <HLinks>
    <vt:vector size="12" baseType="variant">
      <vt:variant>
        <vt:i4>4456512</vt:i4>
      </vt:variant>
      <vt:variant>
        <vt:i4>3</vt:i4>
      </vt:variant>
      <vt:variant>
        <vt:i4>0</vt:i4>
      </vt:variant>
      <vt:variant>
        <vt:i4>5</vt:i4>
      </vt:variant>
      <vt:variant>
        <vt:lpwstr>https://www.doe.mass.edu/accountability/lists-tools/system-1pager-indicators.docx</vt:lpwstr>
      </vt:variant>
      <vt:variant>
        <vt:lpwstr/>
      </vt:variant>
      <vt:variant>
        <vt:i4>6094923</vt:i4>
      </vt:variant>
      <vt:variant>
        <vt:i4>0</vt:i4>
      </vt:variant>
      <vt:variant>
        <vt:i4>0</vt:i4>
      </vt:variant>
      <vt:variant>
        <vt:i4>5</vt:i4>
      </vt:variant>
      <vt:variant>
        <vt:lpwstr>https://www.doe.mass.edu/bese/docs/fy2024/2023-11/item3.docx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3: Chronic Absenteeism and Accountability Reporting</dc:title>
  <dc:subject/>
  <dc:creator>DESE</dc:creator>
  <cp:keywords/>
  <cp:lastModifiedBy>Zou, Dong (EOE)</cp:lastModifiedBy>
  <cp:revision>11</cp:revision>
  <cp:lastPrinted>2008-03-05T21:17:00Z</cp:lastPrinted>
  <dcterms:created xsi:type="dcterms:W3CDTF">2024-01-13T03:29:00Z</dcterms:created>
  <dcterms:modified xsi:type="dcterms:W3CDTF">2024-01-19T01:08:00Z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