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9976" w14:textId="1F6A73F4" w:rsidR="006458C8" w:rsidRPr="006458C8" w:rsidRDefault="006458C8" w:rsidP="006458C8">
      <w:pPr>
        <w:spacing w:after="120" w:line="276" w:lineRule="auto"/>
        <w:rPr>
          <w:sz w:val="36"/>
          <w:szCs w:val="28"/>
        </w:rPr>
      </w:pPr>
      <w:r w:rsidRPr="00535C63">
        <w:rPr>
          <w:rStyle w:val="Strong"/>
          <w:sz w:val="36"/>
        </w:rPr>
        <w:t>“</w:t>
      </w:r>
      <w:r>
        <w:rPr>
          <w:rStyle w:val="Strong"/>
          <w:sz w:val="36"/>
        </w:rPr>
        <w:t>Next-Generation</w:t>
      </w:r>
      <w:r w:rsidRPr="00535C63">
        <w:rPr>
          <w:rStyle w:val="Strong"/>
          <w:sz w:val="36"/>
        </w:rPr>
        <w:t xml:space="preserve">” Competency Portfolio </w:t>
      </w:r>
      <w:r>
        <w:rPr>
          <w:rStyle w:val="Strong"/>
          <w:sz w:val="36"/>
        </w:rPr>
        <w:t>Requirements</w:t>
      </w:r>
    </w:p>
    <w:p w14:paraId="4631EB2B" w14:textId="3D04C42C" w:rsidR="006458C8" w:rsidRDefault="006458C8" w:rsidP="006458C8">
      <w:pPr>
        <w:spacing w:line="276" w:lineRule="auto"/>
        <w:rPr>
          <w:sz w:val="28"/>
          <w:szCs w:val="24"/>
        </w:rPr>
      </w:pPr>
      <w:r>
        <w:rPr>
          <w:b/>
          <w:sz w:val="28"/>
        </w:rPr>
        <w:t>SCIENCE AND TECHNOLOGY/ENGINEERI</w:t>
      </w:r>
      <w:r w:rsidR="00B974AF">
        <w:rPr>
          <w:b/>
          <w:sz w:val="28"/>
        </w:rPr>
        <w:t>NG</w:t>
      </w:r>
    </w:p>
    <w:p w14:paraId="391BFD38" w14:textId="77777777" w:rsidR="006458C8" w:rsidRDefault="006458C8" w:rsidP="006458C8">
      <w:pPr>
        <w:tabs>
          <w:tab w:val="left" w:pos="3642"/>
        </w:tabs>
        <w:rPr>
          <w:b/>
        </w:rPr>
      </w:pPr>
    </w:p>
    <w:p w14:paraId="1FF42E2C" w14:textId="77777777" w:rsidR="006458C8" w:rsidRDefault="006458C8" w:rsidP="006458C8">
      <w:pPr>
        <w:spacing w:after="160"/>
        <w:rPr>
          <w:sz w:val="28"/>
        </w:rPr>
      </w:pPr>
      <w:r>
        <w:rPr>
          <w:sz w:val="28"/>
        </w:rPr>
        <w:t xml:space="preserve">For either </w:t>
      </w:r>
      <w:r>
        <w:rPr>
          <w:b/>
          <w:sz w:val="28"/>
        </w:rPr>
        <w:t>BIOLOGY</w:t>
      </w:r>
      <w:r>
        <w:rPr>
          <w:sz w:val="28"/>
        </w:rPr>
        <w:t xml:space="preserve"> or </w:t>
      </w:r>
      <w:r>
        <w:rPr>
          <w:b/>
          <w:sz w:val="28"/>
        </w:rPr>
        <w:t>INTRODUCTORY PHYSICS</w:t>
      </w:r>
      <w:r>
        <w:rPr>
          <w:sz w:val="28"/>
        </w:rPr>
        <w:t>:</w:t>
      </w:r>
    </w:p>
    <w:p w14:paraId="6BBEFEB5" w14:textId="59C1595F" w:rsidR="006458C8" w:rsidRDefault="006458C8" w:rsidP="006458C8">
      <w:pPr>
        <w:tabs>
          <w:tab w:val="center" w:pos="4680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Carefully review the Science and </w:t>
      </w:r>
      <w:r w:rsidR="00672702">
        <w:rPr>
          <w:color w:val="000000"/>
          <w:szCs w:val="24"/>
          <w:shd w:val="clear" w:color="auto" w:fill="FFFFFF"/>
        </w:rPr>
        <w:t>Technology</w:t>
      </w:r>
      <w:r>
        <w:rPr>
          <w:color w:val="000000"/>
          <w:szCs w:val="24"/>
          <w:shd w:val="clear" w:color="auto" w:fill="FFFFFF"/>
        </w:rPr>
        <w:t xml:space="preserve">/Engineering competency portfolio requirements listed below, since these have been updated to incorporate the content standards contained in the </w:t>
      </w:r>
      <w:r>
        <w:rPr>
          <w:i/>
        </w:rPr>
        <w:t>2016</w:t>
      </w:r>
      <w:r>
        <w:t xml:space="preserve"> </w:t>
      </w:r>
      <w:r>
        <w:rPr>
          <w:i/>
        </w:rPr>
        <w:t xml:space="preserve">Massachusetts </w:t>
      </w:r>
      <w:r>
        <w:rPr>
          <w:i/>
          <w:iCs/>
        </w:rPr>
        <w:t>Scienc</w:t>
      </w:r>
      <w:r>
        <w:rPr>
          <w:i/>
          <w:iCs/>
          <w:szCs w:val="24"/>
        </w:rPr>
        <w:t xml:space="preserve">e and Technology/Engineering Curriculum </w:t>
      </w:r>
      <w:r>
        <w:rPr>
          <w:i/>
          <w:szCs w:val="24"/>
        </w:rPr>
        <w:t>Frameworks.</w:t>
      </w:r>
      <w:r>
        <w:rPr>
          <w:color w:val="000000"/>
          <w:szCs w:val="24"/>
          <w:shd w:val="clear" w:color="auto" w:fill="FFFFFF"/>
        </w:rPr>
        <w:t xml:space="preserve"> </w:t>
      </w:r>
    </w:p>
    <w:p w14:paraId="2DAF5C4D" w14:textId="77777777" w:rsidR="00EF20A2" w:rsidRDefault="00EF20A2" w:rsidP="006458C8">
      <w:pPr>
        <w:tabs>
          <w:tab w:val="center" w:pos="4680"/>
        </w:tabs>
      </w:pPr>
    </w:p>
    <w:p w14:paraId="1804BF22" w14:textId="456F6EF1" w:rsidR="00EF20A2" w:rsidRPr="000B12F2" w:rsidRDefault="00EF20A2" w:rsidP="000B12F2">
      <w:pPr>
        <w:tabs>
          <w:tab w:val="center" w:pos="4680"/>
        </w:tabs>
        <w:spacing w:after="120"/>
      </w:pPr>
      <w:r>
        <w:t xml:space="preserve">In order to be considered for the CD, a high </w:t>
      </w:r>
      <w:r w:rsidRPr="0025194A">
        <w:t>school</w:t>
      </w:r>
      <w:r w:rsidRPr="0025194A">
        <w:rPr>
          <w:b/>
        </w:rPr>
        <w:t xml:space="preserve"> </w:t>
      </w:r>
      <w:r w:rsidRPr="00535C63">
        <w:rPr>
          <w:rStyle w:val="bold1"/>
        </w:rPr>
        <w:t xml:space="preserve">STE </w:t>
      </w:r>
      <w:r>
        <w:t xml:space="preserve">portfolio must include evidence and the requirements below: </w:t>
      </w:r>
    </w:p>
    <w:p w14:paraId="0925496E" w14:textId="2DFDBCEA" w:rsidR="00EF20A2" w:rsidRPr="00535C63" w:rsidRDefault="00EF20A2" w:rsidP="00EF20A2">
      <w:pPr>
        <w:numPr>
          <w:ilvl w:val="0"/>
          <w:numId w:val="3"/>
        </w:numPr>
        <w:rPr>
          <w:rStyle w:val="bold1"/>
          <w:b w:val="0"/>
          <w:bCs w:val="0"/>
          <w:i/>
          <w:sz w:val="22"/>
          <w:szCs w:val="24"/>
        </w:rPr>
      </w:pPr>
      <w:r w:rsidRPr="003F041D">
        <w:rPr>
          <w:szCs w:val="24"/>
        </w:rPr>
        <w:t xml:space="preserve">work samples </w:t>
      </w:r>
      <w:r w:rsidRPr="00535C63">
        <w:rPr>
          <w:szCs w:val="24"/>
        </w:rPr>
        <w:t>created</w:t>
      </w:r>
      <w:r w:rsidRPr="00535C63">
        <w:rPr>
          <w:i/>
          <w:szCs w:val="24"/>
        </w:rPr>
        <w:t xml:space="preserve"> </w:t>
      </w:r>
      <w:r w:rsidRPr="00535C63">
        <w:rPr>
          <w:rStyle w:val="Emphasis"/>
          <w:szCs w:val="24"/>
        </w:rPr>
        <w:t xml:space="preserve">by the student that demonstrate all aspects of standards selected for the </w:t>
      </w:r>
      <w:r>
        <w:rPr>
          <w:rStyle w:val="Emphasis"/>
          <w:szCs w:val="24"/>
        </w:rPr>
        <w:t>discipline and core idea.</w:t>
      </w:r>
    </w:p>
    <w:p w14:paraId="767EBEC6" w14:textId="77777777" w:rsidR="00EF20A2" w:rsidRPr="00535C63" w:rsidRDefault="00EF20A2" w:rsidP="00EF20A2">
      <w:pPr>
        <w:numPr>
          <w:ilvl w:val="0"/>
          <w:numId w:val="3"/>
        </w:numPr>
        <w:rPr>
          <w:rStyle w:val="bold1"/>
          <w:b w:val="0"/>
          <w:bCs w:val="0"/>
          <w:sz w:val="22"/>
          <w:szCs w:val="24"/>
        </w:rPr>
      </w:pPr>
      <w:r w:rsidRPr="00535C63">
        <w:rPr>
          <w:rStyle w:val="bold1"/>
          <w:szCs w:val="24"/>
        </w:rPr>
        <w:t xml:space="preserve">a completed </w:t>
      </w:r>
      <w:r w:rsidRPr="00577BDB">
        <w:rPr>
          <w:b/>
        </w:rPr>
        <w:t>High School STE Competency Portfolio Work Description</w:t>
      </w:r>
      <w:r w:rsidRPr="00535C63">
        <w:rPr>
          <w:rStyle w:val="Emphasis"/>
        </w:rPr>
        <w:t xml:space="preserve"> </w:t>
      </w:r>
      <w:r w:rsidRPr="00535C63">
        <w:rPr>
          <w:rStyle w:val="bold1"/>
          <w:szCs w:val="24"/>
        </w:rPr>
        <w:t xml:space="preserve">attached to each work sample (or collection of related work samples) produced for the portfolio </w:t>
      </w:r>
    </w:p>
    <w:p w14:paraId="7769AC82" w14:textId="77777777" w:rsidR="00EF20A2" w:rsidRPr="00A67725" w:rsidRDefault="00EF20A2" w:rsidP="00EF20A2">
      <w:pPr>
        <w:numPr>
          <w:ilvl w:val="0"/>
          <w:numId w:val="3"/>
        </w:numPr>
        <w:rPr>
          <w:rStyle w:val="Emphasis"/>
          <w:b w:val="0"/>
          <w:i w:val="0"/>
          <w:szCs w:val="24"/>
        </w:rPr>
      </w:pPr>
      <w:r w:rsidRPr="00A67725">
        <w:rPr>
          <w:rStyle w:val="Emphasis"/>
          <w:szCs w:val="24"/>
        </w:rPr>
        <w:t xml:space="preserve">a score (percent accurate) given by the teacher for each work sample. Work samples must be produced as independently as possible by the student, with </w:t>
      </w:r>
      <w:r w:rsidRPr="00A67725">
        <w:rPr>
          <w:szCs w:val="24"/>
        </w:rPr>
        <w:t>all corrections clearly marked. W</w:t>
      </w:r>
      <w:r w:rsidRPr="00A67725">
        <w:rPr>
          <w:rStyle w:val="Emphasis"/>
          <w:szCs w:val="24"/>
        </w:rPr>
        <w:t>ork samples may not be corrected by the teacher and submitted as the student’s own work.</w:t>
      </w:r>
    </w:p>
    <w:p w14:paraId="2C0BFDB9" w14:textId="77777777" w:rsidR="00EF20A2" w:rsidRPr="00A67725" w:rsidRDefault="00EF20A2" w:rsidP="00EF20A2">
      <w:pPr>
        <w:numPr>
          <w:ilvl w:val="0"/>
          <w:numId w:val="3"/>
        </w:numPr>
        <w:rPr>
          <w:rStyle w:val="Emphasis"/>
          <w:b w:val="0"/>
          <w:i w:val="0"/>
          <w:szCs w:val="24"/>
        </w:rPr>
      </w:pPr>
      <w:r w:rsidRPr="00A67725">
        <w:rPr>
          <w:rStyle w:val="Emphasis"/>
          <w:szCs w:val="24"/>
        </w:rPr>
        <w:t>written evidence of the student’s thinking and problem-solving indicating the process used to solve each problem (i.e., show all student work)</w:t>
      </w:r>
    </w:p>
    <w:p w14:paraId="63117DD8" w14:textId="77777777" w:rsidR="00EF20A2" w:rsidRDefault="00EF20A2" w:rsidP="00EF20A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 w:cs="Times New Roman"/>
          <w:szCs w:val="24"/>
        </w:rPr>
      </w:pPr>
      <w:r w:rsidRPr="001C1751">
        <w:rPr>
          <w:rFonts w:ascii="Times New Roman" w:hAnsi="Times New Roman" w:cs="Times New Roman"/>
          <w:szCs w:val="24"/>
        </w:rPr>
        <w:t xml:space="preserve">a clear indication of the </w:t>
      </w:r>
      <w:r w:rsidRPr="0025692F">
        <w:rPr>
          <w:rFonts w:ascii="Times New Roman" w:hAnsi="Times New Roman" w:cs="Times New Roman"/>
          <w:szCs w:val="24"/>
        </w:rPr>
        <w:t>type(s) and frequency of assistance</w:t>
      </w:r>
      <w:r w:rsidRPr="001C1751">
        <w:rPr>
          <w:rFonts w:ascii="Times New Roman" w:hAnsi="Times New Roman" w:cs="Times New Roman"/>
          <w:i/>
          <w:szCs w:val="24"/>
        </w:rPr>
        <w:t xml:space="preserve"> </w:t>
      </w:r>
      <w:r w:rsidRPr="001C1751">
        <w:rPr>
          <w:rFonts w:ascii="Times New Roman" w:hAnsi="Times New Roman" w:cs="Times New Roman"/>
          <w:szCs w:val="24"/>
        </w:rPr>
        <w:t xml:space="preserve">provided to the student by the teacher (i.e., percent independence and any accommodations used by the student), either written directly on each piece or described on the </w:t>
      </w:r>
      <w:r w:rsidRPr="000B0621">
        <w:rPr>
          <w:rFonts w:ascii="Times New Roman" w:hAnsi="Times New Roman" w:cs="Times New Roman"/>
          <w:szCs w:val="24"/>
        </w:rPr>
        <w:t>High School Competency Portfolio</w:t>
      </w:r>
      <w:r>
        <w:rPr>
          <w:rFonts w:ascii="Times New Roman" w:hAnsi="Times New Roman" w:cs="Times New Roman"/>
          <w:szCs w:val="24"/>
        </w:rPr>
        <w:t xml:space="preserve"> Work Description</w:t>
      </w:r>
    </w:p>
    <w:p w14:paraId="5A3E02F8" w14:textId="07C7FF12" w:rsidR="00EF20A2" w:rsidRPr="00EF20A2" w:rsidRDefault="00EF20A2" w:rsidP="00EF20A2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bold1"/>
          <w:b w:val="0"/>
          <w:bCs w:val="0"/>
          <w:sz w:val="22"/>
          <w:szCs w:val="24"/>
        </w:rPr>
      </w:pPr>
      <w:r>
        <w:rPr>
          <w:rFonts w:ascii="Times New Roman" w:hAnsi="Times New Roman" w:cs="Times New Roman"/>
        </w:rPr>
        <w:t>s</w:t>
      </w:r>
      <w:r w:rsidRPr="0025692F">
        <w:rPr>
          <w:rFonts w:ascii="Times New Roman" w:hAnsi="Times New Roman" w:cs="Times New Roman"/>
        </w:rPr>
        <w:t xml:space="preserve">ubmission of multiple-choice, matching, or fill-in-the-blank worksheets is strongly </w:t>
      </w:r>
      <w:r w:rsidRPr="000B12F2">
        <w:rPr>
          <w:rFonts w:ascii="Times New Roman" w:hAnsi="Times New Roman" w:cs="Times New Roman"/>
          <w:b/>
          <w:bCs/>
          <w:i/>
          <w:iCs/>
        </w:rPr>
        <w:t>discouraged</w:t>
      </w:r>
      <w:r>
        <w:rPr>
          <w:rFonts w:ascii="Times New Roman" w:hAnsi="Times New Roman" w:cs="Times New Roman"/>
        </w:rPr>
        <w:t>.</w:t>
      </w:r>
    </w:p>
    <w:p w14:paraId="7D5858E1" w14:textId="77777777" w:rsidR="006458C8" w:rsidRDefault="006458C8" w:rsidP="000B12F2">
      <w:pPr>
        <w:spacing w:before="120" w:after="120"/>
        <w:rPr>
          <w:rStyle w:val="bold1"/>
          <w:b w:val="0"/>
        </w:rPr>
      </w:pPr>
      <w:r>
        <w:rPr>
          <w:rStyle w:val="bold1"/>
        </w:rPr>
        <w:t xml:space="preserve">Biology and Introductory Physics portfolios must include </w:t>
      </w:r>
    </w:p>
    <w:p w14:paraId="4156B4BC" w14:textId="77777777" w:rsidR="006458C8" w:rsidRDefault="006458C8" w:rsidP="006458C8">
      <w:pPr>
        <w:pStyle w:val="ListParagraph"/>
        <w:numPr>
          <w:ilvl w:val="0"/>
          <w:numId w:val="2"/>
        </w:numPr>
        <w:ind w:left="720"/>
        <w:rPr>
          <w:rStyle w:val="bold1"/>
          <w:b w:val="0"/>
        </w:rPr>
      </w:pPr>
      <w:r>
        <w:rPr>
          <w:rStyle w:val="bold1"/>
        </w:rPr>
        <w:t>evidence of five (5) required standards in the selected discipline as shown in the table below (</w:t>
      </w:r>
      <w:r>
        <w:rPr>
          <w:rStyle w:val="bold1"/>
          <w:u w:val="single"/>
        </w:rPr>
        <w:t>bold and underlined</w:t>
      </w:r>
      <w:r>
        <w:rPr>
          <w:rStyle w:val="bold1"/>
        </w:rPr>
        <w:t xml:space="preserve">), PLUS: </w:t>
      </w:r>
    </w:p>
    <w:p w14:paraId="36607A06" w14:textId="77777777" w:rsidR="006458C8" w:rsidRDefault="006458C8" w:rsidP="006458C8">
      <w:pPr>
        <w:pStyle w:val="ListParagraph"/>
        <w:numPr>
          <w:ilvl w:val="0"/>
          <w:numId w:val="2"/>
        </w:numPr>
        <w:ind w:left="720"/>
        <w:rPr>
          <w:rStyle w:val="bold1"/>
          <w:b w:val="0"/>
          <w:bCs w:val="0"/>
        </w:rPr>
      </w:pPr>
      <w:r>
        <w:rPr>
          <w:rStyle w:val="bold1"/>
        </w:rPr>
        <w:t xml:space="preserve">three (3) </w:t>
      </w:r>
      <w:r>
        <w:rPr>
          <w:rStyle w:val="bold1"/>
          <w:i/>
        </w:rPr>
        <w:t>additional</w:t>
      </w:r>
      <w:r>
        <w:rPr>
          <w:rStyle w:val="bold1"/>
        </w:rPr>
        <w:t xml:space="preserve"> standards at the teacher’s discretion in Biology, or </w:t>
      </w:r>
    </w:p>
    <w:p w14:paraId="2E35F6F9" w14:textId="77777777" w:rsidR="006458C8" w:rsidRDefault="006458C8" w:rsidP="006458C8">
      <w:pPr>
        <w:pStyle w:val="ListParagraph"/>
        <w:numPr>
          <w:ilvl w:val="0"/>
          <w:numId w:val="2"/>
        </w:numPr>
        <w:ind w:left="720"/>
        <w:rPr>
          <w:rStyle w:val="bold1"/>
          <w:b w:val="0"/>
          <w:bCs w:val="0"/>
        </w:rPr>
      </w:pPr>
      <w:r>
        <w:rPr>
          <w:rStyle w:val="bold1"/>
        </w:rPr>
        <w:t xml:space="preserve">two (2) </w:t>
      </w:r>
      <w:r>
        <w:rPr>
          <w:rStyle w:val="bold1"/>
          <w:i/>
        </w:rPr>
        <w:t>additional</w:t>
      </w:r>
      <w:r>
        <w:rPr>
          <w:rStyle w:val="bold1"/>
        </w:rPr>
        <w:t xml:space="preserve"> standards at the teacher’s discretion in Introductory Physics</w:t>
      </w:r>
    </w:p>
    <w:p w14:paraId="67506A2C" w14:textId="77777777" w:rsidR="006458C8" w:rsidRDefault="006458C8" w:rsidP="006458C8">
      <w:pPr>
        <w:pStyle w:val="ListParagraph"/>
        <w:numPr>
          <w:ilvl w:val="0"/>
          <w:numId w:val="2"/>
        </w:numPr>
        <w:ind w:left="720"/>
      </w:pPr>
      <w:r>
        <w:rPr>
          <w:b/>
          <w:szCs w:val="24"/>
        </w:rPr>
        <w:t>a minimum of</w:t>
      </w:r>
      <w:r>
        <w:rPr>
          <w:szCs w:val="24"/>
        </w:rPr>
        <w:t xml:space="preserve"> </w:t>
      </w:r>
      <w:r>
        <w:rPr>
          <w:b/>
          <w:szCs w:val="24"/>
        </w:rPr>
        <w:t>4 different</w:t>
      </w:r>
      <w:r>
        <w:rPr>
          <w:szCs w:val="24"/>
        </w:rPr>
        <w:t xml:space="preserve"> </w:t>
      </w:r>
      <w:r>
        <w:t>science and engineering practices</w:t>
      </w:r>
      <w:r>
        <w:rPr>
          <w:szCs w:val="24"/>
        </w:rPr>
        <w:t xml:space="preserve"> (see the 2016 </w:t>
      </w:r>
      <w:hyperlink r:id="rId5" w:history="1">
        <w:r>
          <w:rPr>
            <w:rStyle w:val="Hyperlink"/>
            <w:szCs w:val="24"/>
          </w:rPr>
          <w:t>STE curriculum framework</w:t>
        </w:r>
      </w:hyperlink>
      <w:r>
        <w:rPr>
          <w:szCs w:val="24"/>
        </w:rPr>
        <w:t>, page 72) must be documented throughout the work submitted in the portfolio in either of these disciplines.</w:t>
      </w:r>
    </w:p>
    <w:p w14:paraId="13061146" w14:textId="77777777" w:rsidR="006458C8" w:rsidRDefault="006458C8" w:rsidP="006458C8">
      <w:pPr>
        <w:pStyle w:val="ListParagraph"/>
        <w:rPr>
          <w:rStyle w:val="bold1"/>
          <w:b w:val="0"/>
          <w:bCs w:val="0"/>
        </w:rPr>
      </w:pPr>
    </w:p>
    <w:tbl>
      <w:tblPr>
        <w:tblStyle w:val="TableGrid"/>
        <w:tblW w:w="10255" w:type="dxa"/>
        <w:tblInd w:w="0" w:type="dxa"/>
        <w:tblLook w:val="04A0" w:firstRow="1" w:lastRow="0" w:firstColumn="1" w:lastColumn="0" w:noHBand="0" w:noVBand="1"/>
      </w:tblPr>
      <w:tblGrid>
        <w:gridCol w:w="4675"/>
        <w:gridCol w:w="450"/>
        <w:gridCol w:w="5130"/>
      </w:tblGrid>
      <w:tr w:rsidR="006458C8" w14:paraId="661AA2CA" w14:textId="77777777" w:rsidTr="006458C8">
        <w:trPr>
          <w:trHeight w:val="3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D1647F" w14:textId="77777777" w:rsidR="006458C8" w:rsidRDefault="006458C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BIOLOGY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95392" w14:textId="77777777" w:rsidR="006458C8" w:rsidRDefault="006458C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7F68F" w14:textId="77777777" w:rsidR="006458C8" w:rsidRDefault="006458C8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I</w:t>
            </w:r>
            <w:r>
              <w:rPr>
                <w:b/>
                <w:szCs w:val="24"/>
              </w:rPr>
              <w:t>NTRODUCTORY PHYSICS</w:t>
            </w:r>
          </w:p>
        </w:tc>
      </w:tr>
      <w:tr w:rsidR="006458C8" w14:paraId="39E847DA" w14:textId="77777777" w:rsidTr="006458C8">
        <w:trPr>
          <w:trHeight w:val="375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40D3B" w14:textId="77777777" w:rsidR="006458C8" w:rsidRDefault="006458C8">
            <w:pPr>
              <w:rPr>
                <w:rStyle w:val="bold1"/>
                <w:b w:val="0"/>
              </w:rPr>
            </w:pPr>
            <w:r>
              <w:rPr>
                <w:b/>
                <w:bCs/>
                <w:szCs w:val="24"/>
              </w:rPr>
              <w:t>Core Ideas: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DC4EDA" w14:textId="77777777" w:rsidR="006458C8" w:rsidRDefault="006458C8">
            <w:pPr>
              <w:rPr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C9C06F" w14:textId="77777777" w:rsidR="006458C8" w:rsidRDefault="006458C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Core Ideas:</w:t>
            </w:r>
          </w:p>
        </w:tc>
      </w:tr>
      <w:tr w:rsidR="006458C8" w14:paraId="3267455E" w14:textId="77777777" w:rsidTr="006458C8">
        <w:trPr>
          <w:trHeight w:val="19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54C2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From Molecules to Organisms: Structures and Processes </w:t>
            </w:r>
            <w:r>
              <w:rPr>
                <w:b/>
                <w:bCs/>
                <w:szCs w:val="24"/>
                <w:u w:val="single"/>
              </w:rPr>
              <w:t>(HS-LS1-1)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552CC" w14:textId="77777777" w:rsidR="006458C8" w:rsidRDefault="006458C8">
            <w:pPr>
              <w:rPr>
                <w:bCs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180D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Matter and Its Interactions </w:t>
            </w:r>
          </w:p>
          <w:p w14:paraId="6B65908C" w14:textId="77777777" w:rsidR="006458C8" w:rsidRDefault="006458C8">
            <w:pPr>
              <w:rPr>
                <w:bCs/>
                <w:szCs w:val="24"/>
              </w:rPr>
            </w:pPr>
          </w:p>
        </w:tc>
      </w:tr>
      <w:tr w:rsidR="006458C8" w14:paraId="7F412D4B" w14:textId="77777777" w:rsidTr="006458C8">
        <w:trPr>
          <w:trHeight w:val="46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0063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Ecosystems: Interactions, Energy, and Dynamics (</w:t>
            </w:r>
            <w:r>
              <w:rPr>
                <w:b/>
                <w:bCs/>
                <w:szCs w:val="24"/>
                <w:u w:val="single"/>
              </w:rPr>
              <w:t>HS-LS2-1</w:t>
            </w:r>
            <w:r>
              <w:rPr>
                <w:bCs/>
                <w:szCs w:val="24"/>
              </w:rPr>
              <w:t xml:space="preserve"> and </w:t>
            </w:r>
            <w:r>
              <w:rPr>
                <w:b/>
                <w:bCs/>
                <w:szCs w:val="24"/>
                <w:u w:val="single"/>
              </w:rPr>
              <w:t>HS-LS2-5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4BC9E" w14:textId="77777777" w:rsidR="006458C8" w:rsidRDefault="006458C8">
            <w:pPr>
              <w:rPr>
                <w:bCs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CD65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Motion and Stability: Forces and Interactions</w:t>
            </w:r>
          </w:p>
          <w:p w14:paraId="4B6866EB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b/>
                <w:bCs/>
                <w:szCs w:val="24"/>
                <w:u w:val="single"/>
              </w:rPr>
              <w:t>HS-PS2-9</w:t>
            </w:r>
            <w:r>
              <w:rPr>
                <w:bCs/>
                <w:szCs w:val="24"/>
              </w:rPr>
              <w:t xml:space="preserve"> and </w:t>
            </w:r>
            <w:r>
              <w:rPr>
                <w:b/>
                <w:bCs/>
                <w:szCs w:val="24"/>
                <w:u w:val="single"/>
              </w:rPr>
              <w:t>HS-PS2-10</w:t>
            </w:r>
            <w:r>
              <w:rPr>
                <w:bCs/>
                <w:szCs w:val="24"/>
              </w:rPr>
              <w:t>)</w:t>
            </w:r>
          </w:p>
        </w:tc>
      </w:tr>
      <w:tr w:rsidR="006458C8" w14:paraId="2169BD1D" w14:textId="77777777" w:rsidTr="006458C8">
        <w:trPr>
          <w:trHeight w:val="456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93FB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Heredity: Inheritance and Variation of Traits</w:t>
            </w:r>
          </w:p>
          <w:p w14:paraId="2700AFDE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b/>
                <w:bCs/>
                <w:szCs w:val="24"/>
                <w:u w:val="single"/>
              </w:rPr>
              <w:t>HS-LS3-3</w:t>
            </w:r>
            <w:r>
              <w:rPr>
                <w:bCs/>
                <w:szCs w:val="24"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7AD84" w14:textId="77777777" w:rsidR="006458C8" w:rsidRDefault="006458C8">
            <w:pPr>
              <w:rPr>
                <w:bCs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97F1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Energy (</w:t>
            </w:r>
            <w:r>
              <w:rPr>
                <w:b/>
                <w:bCs/>
                <w:szCs w:val="24"/>
                <w:u w:val="single"/>
              </w:rPr>
              <w:t>HS-PS3-1</w:t>
            </w:r>
            <w:r>
              <w:rPr>
                <w:bCs/>
                <w:szCs w:val="24"/>
              </w:rPr>
              <w:t xml:space="preserve"> and </w:t>
            </w:r>
            <w:r>
              <w:rPr>
                <w:b/>
                <w:bCs/>
                <w:szCs w:val="24"/>
                <w:u w:val="single"/>
              </w:rPr>
              <w:t>HS-PS3-4a</w:t>
            </w:r>
            <w:r>
              <w:rPr>
                <w:bCs/>
                <w:szCs w:val="24"/>
              </w:rPr>
              <w:t>)</w:t>
            </w:r>
          </w:p>
        </w:tc>
      </w:tr>
      <w:tr w:rsidR="006458C8" w14:paraId="03A15C0C" w14:textId="77777777" w:rsidTr="006458C8">
        <w:trPr>
          <w:trHeight w:val="331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BCBA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Biological Evolution: Unity and Diversity</w:t>
            </w:r>
          </w:p>
          <w:p w14:paraId="48BD1871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(</w:t>
            </w:r>
            <w:r>
              <w:rPr>
                <w:b/>
                <w:bCs/>
                <w:szCs w:val="24"/>
                <w:u w:val="single"/>
              </w:rPr>
              <w:t>HS-LS4-5</w:t>
            </w:r>
            <w:r>
              <w:rPr>
                <w:bCs/>
                <w:szCs w:val="24"/>
              </w:rPr>
              <w:t>)_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7E0C" w14:textId="77777777" w:rsidR="006458C8" w:rsidRDefault="006458C8">
            <w:pPr>
              <w:rPr>
                <w:bCs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4169" w14:textId="77777777" w:rsidR="006458C8" w:rsidRDefault="006458C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</w:t>
            </w:r>
            <w:r>
              <w:rPr>
                <w:szCs w:val="24"/>
              </w:rPr>
              <w:t>aves and their Applications in Technologies for Information Transfer (</w:t>
            </w:r>
            <w:r>
              <w:rPr>
                <w:b/>
                <w:szCs w:val="24"/>
                <w:u w:val="single"/>
              </w:rPr>
              <w:t>HS-PS4-1</w:t>
            </w:r>
            <w:r>
              <w:rPr>
                <w:szCs w:val="24"/>
              </w:rPr>
              <w:t>)</w:t>
            </w:r>
          </w:p>
        </w:tc>
      </w:tr>
    </w:tbl>
    <w:p w14:paraId="6054F86C" w14:textId="77777777" w:rsidR="006458C8" w:rsidRDefault="006458C8" w:rsidP="006458C8">
      <w:pPr>
        <w:rPr>
          <w:rStyle w:val="bold1"/>
          <w:b w:val="0"/>
          <w:sz w:val="12"/>
          <w:szCs w:val="12"/>
        </w:rPr>
      </w:pPr>
    </w:p>
    <w:p w14:paraId="36CB2CB0" w14:textId="77777777" w:rsidR="006458C8" w:rsidRDefault="006458C8" w:rsidP="006458C8">
      <w:pPr>
        <w:spacing w:after="120"/>
      </w:pPr>
      <w:r>
        <w:rPr>
          <w:b/>
          <w:bCs/>
        </w:rPr>
        <w:t>Science and Engineering Practices</w:t>
      </w:r>
      <w:r>
        <w:t xml:space="preserve"> </w:t>
      </w:r>
    </w:p>
    <w:p w14:paraId="2B7E3388" w14:textId="77777777" w:rsidR="006458C8" w:rsidRDefault="006458C8" w:rsidP="006458C8">
      <w:pPr>
        <w:spacing w:after="80"/>
      </w:pPr>
      <w:r>
        <w:t xml:space="preserve">1. Asking questions (for science) and defining problems (for engineering) </w:t>
      </w:r>
    </w:p>
    <w:p w14:paraId="238BA8D9" w14:textId="77777777" w:rsidR="006458C8" w:rsidRDefault="006458C8" w:rsidP="006458C8">
      <w:pPr>
        <w:spacing w:after="80"/>
      </w:pPr>
      <w:r>
        <w:t xml:space="preserve">2. Developing and using models </w:t>
      </w:r>
    </w:p>
    <w:p w14:paraId="3FD94866" w14:textId="77777777" w:rsidR="006458C8" w:rsidRDefault="006458C8" w:rsidP="006458C8">
      <w:pPr>
        <w:spacing w:after="80"/>
      </w:pPr>
      <w:r>
        <w:t xml:space="preserve">3. Planning and carrying out investigations </w:t>
      </w:r>
    </w:p>
    <w:p w14:paraId="0DBB5A68" w14:textId="77777777" w:rsidR="006458C8" w:rsidRDefault="006458C8" w:rsidP="006458C8">
      <w:pPr>
        <w:spacing w:after="80"/>
      </w:pPr>
      <w:r>
        <w:t xml:space="preserve">4. Analyzing and interpreting data </w:t>
      </w:r>
    </w:p>
    <w:p w14:paraId="67880A17" w14:textId="77777777" w:rsidR="006458C8" w:rsidRDefault="006458C8" w:rsidP="006458C8">
      <w:pPr>
        <w:spacing w:after="80"/>
      </w:pPr>
      <w:r>
        <w:t xml:space="preserve">5. Using mathematics and computational thinking </w:t>
      </w:r>
    </w:p>
    <w:p w14:paraId="68F80B0A" w14:textId="77777777" w:rsidR="006458C8" w:rsidRDefault="006458C8" w:rsidP="006458C8">
      <w:pPr>
        <w:spacing w:after="80"/>
      </w:pPr>
      <w:r>
        <w:t xml:space="preserve">6. Constructing explanations (for science) and designing solutions (for engineering) </w:t>
      </w:r>
    </w:p>
    <w:p w14:paraId="0ECC740C" w14:textId="77777777" w:rsidR="006458C8" w:rsidRDefault="006458C8" w:rsidP="006458C8">
      <w:pPr>
        <w:spacing w:after="80"/>
      </w:pPr>
      <w:r>
        <w:t xml:space="preserve">7. Engaging in an argument from evidence </w:t>
      </w:r>
    </w:p>
    <w:p w14:paraId="548CBC09" w14:textId="77777777" w:rsidR="006458C8" w:rsidRDefault="006458C8" w:rsidP="006458C8">
      <w:pPr>
        <w:spacing w:after="80"/>
        <w:rPr>
          <w:rStyle w:val="bold1"/>
          <w:b w:val="0"/>
          <w:sz w:val="28"/>
        </w:rPr>
      </w:pPr>
      <w:r>
        <w:t>8. Obtaining, evaluating, and communicating information</w:t>
      </w:r>
    </w:p>
    <w:p w14:paraId="25510376" w14:textId="77777777" w:rsidR="00586EEB" w:rsidRDefault="00586EEB"/>
    <w:sectPr w:rsidR="0058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A11E9"/>
    <w:multiLevelType w:val="hybridMultilevel"/>
    <w:tmpl w:val="8814CFD2"/>
    <w:lvl w:ilvl="0" w:tplc="45C87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34BD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B9E1D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27E11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216E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15CB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5284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26CE0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958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9488C"/>
    <w:multiLevelType w:val="hybridMultilevel"/>
    <w:tmpl w:val="E0328E12"/>
    <w:lvl w:ilvl="0" w:tplc="8624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CFAA3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C71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2CD9"/>
    <w:multiLevelType w:val="hybridMultilevel"/>
    <w:tmpl w:val="764A7D42"/>
    <w:lvl w:ilvl="0" w:tplc="DD78BF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C8"/>
    <w:rsid w:val="000B12F2"/>
    <w:rsid w:val="001C4F7A"/>
    <w:rsid w:val="0056547C"/>
    <w:rsid w:val="00586EEB"/>
    <w:rsid w:val="005D1DAD"/>
    <w:rsid w:val="006458C8"/>
    <w:rsid w:val="00672702"/>
    <w:rsid w:val="00696D15"/>
    <w:rsid w:val="00B974AF"/>
    <w:rsid w:val="00D04600"/>
    <w:rsid w:val="00E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720A"/>
  <w15:chartTrackingRefBased/>
  <w15:docId w15:val="{3EC8620E-6DCB-4E08-92F6-5946BF02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8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58C8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58C8"/>
    <w:pPr>
      <w:spacing w:before="100" w:beforeAutospacing="1" w:after="100" w:afterAutospacing="1"/>
    </w:pPr>
    <w:rPr>
      <w:rFonts w:ascii="Georgia" w:hAnsi="Georgia" w:cs="Arial Unicode MS"/>
    </w:rPr>
  </w:style>
  <w:style w:type="character" w:customStyle="1" w:styleId="ListParagraphChar">
    <w:name w:val="List Paragraph Char"/>
    <w:link w:val="ListParagraph"/>
    <w:uiPriority w:val="34"/>
    <w:locked/>
    <w:rsid w:val="006458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458C8"/>
    <w:pPr>
      <w:ind w:left="720"/>
    </w:pPr>
  </w:style>
  <w:style w:type="character" w:customStyle="1" w:styleId="bold1">
    <w:name w:val="bold1"/>
    <w:basedOn w:val="DefaultParagraphFont"/>
    <w:rsid w:val="006458C8"/>
    <w:rPr>
      <w:rFonts w:ascii="Times New Roman" w:hAnsi="Times New Roman" w:cs="Times New Roman" w:hint="default"/>
      <w:b/>
      <w:bCs/>
    </w:rPr>
  </w:style>
  <w:style w:type="table" w:styleId="TableGrid">
    <w:name w:val="Table Grid"/>
    <w:basedOn w:val="TableNormal"/>
    <w:uiPriority w:val="39"/>
    <w:rsid w:val="0064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6458C8"/>
    <w:rPr>
      <w:b/>
      <w:szCs w:val="28"/>
    </w:rPr>
  </w:style>
  <w:style w:type="character" w:styleId="Emphasis">
    <w:name w:val="Emphasis"/>
    <w:basedOn w:val="DefaultParagraphFont"/>
    <w:qFormat/>
    <w:rsid w:val="00EF20A2"/>
    <w:rPr>
      <w:rFonts w:ascii="Times New Roman" w:hAnsi="Times New Roman" w:cs="Times New Roman"/>
      <w:b/>
      <w:i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27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e.mass.edu/frameworks/scitech/2016-0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Portfolio Performance Appeals Next-Gen Requirements BIOLOGY or INTRODUCTORY PHYSICS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Portfolio Performance Appeals Next-Gen Requirements BIOLOGY or INTRODUCTORY PHYSICS</dc:title>
  <dc:subject/>
  <dc:creator>DESE</dc:creator>
  <cp:keywords/>
  <dc:description/>
  <cp:lastModifiedBy>Zou, Dong (EOE)</cp:lastModifiedBy>
  <cp:revision>7</cp:revision>
  <dcterms:created xsi:type="dcterms:W3CDTF">2021-08-09T13:16:00Z</dcterms:created>
  <dcterms:modified xsi:type="dcterms:W3CDTF">2021-08-11T20:52:00Z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11 2021</vt:lpwstr>
  </property>
</Properties>
</file>